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C9B25" w14:textId="77777777" w:rsidR="00D75E93" w:rsidRDefault="008A6F83" w:rsidP="00D75E93">
      <w:pPr>
        <w:pStyle w:val="Title"/>
        <w:spacing w:before="100" w:beforeAutospacing="1"/>
      </w:pPr>
      <w:r>
        <w:rPr>
          <w:rFonts w:asciiTheme="minorHAnsi" w:hAnsiTheme="minorHAnsi" w:cstheme="minorHAnsi"/>
          <w:b w:val="0"/>
          <w:bCs w:val="0"/>
          <w:noProof/>
          <w:sz w:val="80"/>
          <w:szCs w:val="80"/>
        </w:rPr>
        <w:drawing>
          <wp:inline distT="0" distB="0" distL="0" distR="0" wp14:anchorId="167ECB1E" wp14:editId="2E187098">
            <wp:extent cx="3865484" cy="5212080"/>
            <wp:effectExtent l="0" t="0" r="1905" b="7620"/>
            <wp:docPr id="9" name="Picture 9" descr="State of Maine outline with aerial photos of the camp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ily.bragg\AppData\Local\Microsoft\Windows\INetCache\Content.MSO\3F337E8E.tmp"/>
                    <pic:cNvPicPr>
                      <a:picLocks noChangeAspect="1" noChangeArrowheads="1"/>
                    </pic:cNvPicPr>
                  </pic:nvPicPr>
                  <pic:blipFill rotWithShape="1">
                    <a:blip r:embed="rId8">
                      <a:extLst>
                        <a:ext uri="{28A0092B-C50C-407E-A947-70E740481C1C}">
                          <a14:useLocalDpi xmlns:a14="http://schemas.microsoft.com/office/drawing/2010/main" val="0"/>
                        </a:ext>
                      </a:extLst>
                    </a:blip>
                    <a:srcRect l="26693" r="26094" b="1780"/>
                    <a:stretch/>
                  </pic:blipFill>
                  <pic:spPr bwMode="auto">
                    <a:xfrm>
                      <a:off x="0" y="0"/>
                      <a:ext cx="3865484" cy="5212080"/>
                    </a:xfrm>
                    <a:prstGeom prst="rect">
                      <a:avLst/>
                    </a:prstGeom>
                    <a:noFill/>
                    <a:ln>
                      <a:noFill/>
                    </a:ln>
                    <a:extLst>
                      <a:ext uri="{53640926-AAD7-44D8-BBD7-CCE9431645EC}">
                        <a14:shadowObscured xmlns:a14="http://schemas.microsoft.com/office/drawing/2010/main"/>
                      </a:ext>
                    </a:extLst>
                  </pic:spPr>
                </pic:pic>
              </a:graphicData>
            </a:graphic>
          </wp:inline>
        </w:drawing>
      </w:r>
      <w:r>
        <w:t> </w:t>
      </w:r>
    </w:p>
    <w:p w14:paraId="3B740CDF" w14:textId="3B15EA5C" w:rsidR="0073314D" w:rsidRPr="00A74468" w:rsidRDefault="00CB5849" w:rsidP="00D75E93">
      <w:pPr>
        <w:pStyle w:val="Title"/>
        <w:rPr>
          <w:rFonts w:cstheme="minorHAnsi"/>
          <w:b w:val="0"/>
          <w:sz w:val="80"/>
          <w:szCs w:val="80"/>
        </w:rPr>
      </w:pPr>
      <w:r w:rsidRPr="00A74468">
        <w:rPr>
          <w:rFonts w:asciiTheme="minorHAnsi" w:hAnsiTheme="minorHAnsi" w:cstheme="minorHAnsi"/>
          <w:sz w:val="80"/>
          <w:szCs w:val="80"/>
        </w:rPr>
        <w:t>20</w:t>
      </w:r>
      <w:r w:rsidR="009013B6">
        <w:rPr>
          <w:rFonts w:asciiTheme="minorHAnsi" w:hAnsiTheme="minorHAnsi" w:cstheme="minorHAnsi"/>
          <w:sz w:val="80"/>
          <w:szCs w:val="80"/>
        </w:rPr>
        <w:t>21</w:t>
      </w:r>
    </w:p>
    <w:p w14:paraId="6E1E9682" w14:textId="77777777" w:rsidR="0073314D" w:rsidRPr="00A74468" w:rsidRDefault="0073314D" w:rsidP="00D75E93">
      <w:pPr>
        <w:pStyle w:val="Title"/>
        <w:rPr>
          <w:rFonts w:cstheme="minorHAnsi"/>
          <w:b w:val="0"/>
          <w:sz w:val="80"/>
          <w:szCs w:val="80"/>
        </w:rPr>
      </w:pPr>
      <w:r w:rsidRPr="00A74468">
        <w:rPr>
          <w:rFonts w:asciiTheme="minorHAnsi" w:hAnsiTheme="minorHAnsi" w:cstheme="minorHAnsi"/>
          <w:sz w:val="80"/>
          <w:szCs w:val="80"/>
        </w:rPr>
        <w:t>University of Maine System</w:t>
      </w:r>
    </w:p>
    <w:p w14:paraId="2680EEB7" w14:textId="77777777" w:rsidR="0073314D" w:rsidRPr="00A74468" w:rsidRDefault="0073314D" w:rsidP="00D75E93">
      <w:pPr>
        <w:pStyle w:val="Title"/>
        <w:rPr>
          <w:rFonts w:cstheme="minorHAnsi"/>
          <w:sz w:val="80"/>
          <w:szCs w:val="80"/>
        </w:rPr>
      </w:pPr>
      <w:r w:rsidRPr="00A74468">
        <w:rPr>
          <w:rFonts w:asciiTheme="minorHAnsi" w:hAnsiTheme="minorHAnsi" w:cstheme="minorHAnsi"/>
          <w:sz w:val="80"/>
          <w:szCs w:val="80"/>
        </w:rPr>
        <w:t>Annual Financial Report</w:t>
      </w:r>
    </w:p>
    <w:p w14:paraId="3B52B521" w14:textId="77777777" w:rsidR="0073314D" w:rsidRPr="007A019F" w:rsidRDefault="0073314D" w:rsidP="0073314D">
      <w:pPr>
        <w:widowControl w:val="0"/>
        <w:rPr>
          <w:szCs w:val="24"/>
        </w:rPr>
      </w:pPr>
      <w:r w:rsidRPr="007A019F">
        <w:t> </w:t>
      </w:r>
    </w:p>
    <w:p w14:paraId="6CEF688A" w14:textId="77777777" w:rsidR="0073314D" w:rsidRPr="007A019F" w:rsidRDefault="0073314D" w:rsidP="00A316AD">
      <w:pPr>
        <w:widowControl w:val="0"/>
        <w:spacing w:before="440"/>
        <w:jc w:val="center"/>
        <w:rPr>
          <w:sz w:val="12"/>
          <w:szCs w:val="24"/>
        </w:rPr>
      </w:pPr>
      <w:r w:rsidRPr="007A019F">
        <w:rPr>
          <w:sz w:val="12"/>
          <w:szCs w:val="24"/>
        </w:rPr>
        <w:t>The University of Maine System is a Component Unit of the State of Maine</w:t>
      </w:r>
    </w:p>
    <w:p w14:paraId="378A6FD1" w14:textId="7F895AE3" w:rsidR="0073314D" w:rsidRPr="005424BE" w:rsidRDefault="0073314D" w:rsidP="0073314D">
      <w:pPr>
        <w:jc w:val="center"/>
        <w:rPr>
          <w:rFonts w:cs="Tahoma"/>
          <w:color w:val="0D0D0D" w:themeColor="text1" w:themeTint="F2"/>
          <w:sz w:val="12"/>
          <w:szCs w:val="16"/>
        </w:rPr>
      </w:pPr>
      <w:r w:rsidRPr="005424BE">
        <w:rPr>
          <w:rFonts w:cs="Tahoma"/>
          <w:color w:val="0D0D0D" w:themeColor="text1" w:themeTint="F2"/>
          <w:sz w:val="12"/>
          <w:szCs w:val="16"/>
        </w:rPr>
        <w:t>Electronic statements are available at</w:t>
      </w:r>
      <w:r w:rsidR="006A24DD">
        <w:rPr>
          <w:rFonts w:cs="Tahoma"/>
          <w:color w:val="0D0D0D" w:themeColor="text1" w:themeTint="F2"/>
          <w:sz w:val="12"/>
          <w:szCs w:val="16"/>
        </w:rPr>
        <w:t>:</w:t>
      </w:r>
    </w:p>
    <w:p w14:paraId="0B49F7B0" w14:textId="170C7352" w:rsidR="007349A0" w:rsidRPr="00DE50BF" w:rsidRDefault="00A23D24" w:rsidP="0073314D">
      <w:pPr>
        <w:jc w:val="center"/>
        <w:rPr>
          <w:sz w:val="12"/>
        </w:rPr>
      </w:pPr>
      <w:hyperlink r:id="rId9" w:history="1">
        <w:r w:rsidR="007349A0" w:rsidRPr="00DE50BF">
          <w:rPr>
            <w:rStyle w:val="Hyperlink"/>
            <w:sz w:val="12"/>
          </w:rPr>
          <w:t>https://www.maine.edu/finance/policies-procedures-and-reports/annual-financial-reports/</w:t>
        </w:r>
      </w:hyperlink>
    </w:p>
    <w:p w14:paraId="2924F7E9" w14:textId="3565F016" w:rsidR="0073314D" w:rsidRPr="005424BE" w:rsidRDefault="0073314D" w:rsidP="0073314D">
      <w:pPr>
        <w:jc w:val="center"/>
        <w:rPr>
          <w:rFonts w:cs="Tahoma"/>
          <w:color w:val="0D0D0D" w:themeColor="text1" w:themeTint="F2"/>
          <w:sz w:val="12"/>
          <w:szCs w:val="16"/>
        </w:rPr>
      </w:pPr>
      <w:r w:rsidRPr="005424BE">
        <w:rPr>
          <w:rFonts w:cs="Tahoma"/>
          <w:color w:val="0D0D0D" w:themeColor="text1" w:themeTint="F2"/>
          <w:sz w:val="12"/>
          <w:szCs w:val="16"/>
        </w:rPr>
        <w:t>Or by contacting:</w:t>
      </w:r>
    </w:p>
    <w:p w14:paraId="0A4779A5" w14:textId="77777777" w:rsidR="0073314D" w:rsidRPr="005424BE" w:rsidRDefault="0073314D" w:rsidP="0073314D">
      <w:pPr>
        <w:jc w:val="center"/>
        <w:rPr>
          <w:rFonts w:cs="Tahoma"/>
          <w:color w:val="0D0D0D" w:themeColor="text1" w:themeTint="F2"/>
          <w:sz w:val="12"/>
          <w:szCs w:val="16"/>
        </w:rPr>
      </w:pPr>
      <w:r w:rsidRPr="005424BE">
        <w:rPr>
          <w:rFonts w:cs="Tahoma"/>
          <w:color w:val="0D0D0D" w:themeColor="text1" w:themeTint="F2"/>
          <w:sz w:val="12"/>
          <w:szCs w:val="16"/>
        </w:rPr>
        <w:t>Controller’s Office</w:t>
      </w:r>
    </w:p>
    <w:p w14:paraId="731253CE" w14:textId="77777777" w:rsidR="0073314D" w:rsidRPr="005424BE" w:rsidRDefault="0073314D" w:rsidP="0073314D">
      <w:pPr>
        <w:jc w:val="center"/>
        <w:rPr>
          <w:rFonts w:cs="Tahoma"/>
          <w:color w:val="0D0D0D" w:themeColor="text1" w:themeTint="F2"/>
          <w:sz w:val="12"/>
          <w:szCs w:val="16"/>
        </w:rPr>
      </w:pPr>
      <w:r w:rsidRPr="005424BE">
        <w:rPr>
          <w:rFonts w:cs="Tahoma"/>
          <w:color w:val="0D0D0D" w:themeColor="text1" w:themeTint="F2"/>
          <w:sz w:val="12"/>
          <w:szCs w:val="16"/>
        </w:rPr>
        <w:t>5703 Alumni Hall Suite 101</w:t>
      </w:r>
    </w:p>
    <w:p w14:paraId="0F068CEB" w14:textId="2125EDC4" w:rsidR="002C083D" w:rsidRDefault="0073314D" w:rsidP="007E3550">
      <w:pPr>
        <w:tabs>
          <w:tab w:val="left" w:pos="720"/>
        </w:tabs>
        <w:autoSpaceDE w:val="0"/>
        <w:autoSpaceDN w:val="0"/>
        <w:adjustRightInd w:val="0"/>
        <w:jc w:val="center"/>
        <w:rPr>
          <w:rFonts w:ascii="Calibri" w:hAnsi="Calibri" w:cs="Tahoma"/>
          <w:sz w:val="56"/>
          <w:szCs w:val="72"/>
        </w:rPr>
        <w:sectPr w:rsidR="002C083D" w:rsidSect="0073314D">
          <w:footerReference w:type="default" r:id="rId10"/>
          <w:type w:val="continuous"/>
          <w:pgSz w:w="12240" w:h="15840" w:code="1"/>
          <w:pgMar w:top="1440" w:right="1440" w:bottom="1440" w:left="1440" w:header="720" w:footer="720" w:gutter="0"/>
          <w:cols w:space="0"/>
          <w:titlePg/>
          <w:docGrid w:linePitch="360"/>
        </w:sectPr>
      </w:pPr>
      <w:r w:rsidRPr="005424BE">
        <w:rPr>
          <w:rFonts w:cs="Tahoma"/>
          <w:color w:val="0D0D0D" w:themeColor="text1" w:themeTint="F2"/>
          <w:sz w:val="12"/>
          <w:szCs w:val="16"/>
        </w:rPr>
        <w:t>Orono, ME 04469-5703</w:t>
      </w:r>
    </w:p>
    <w:p w14:paraId="7D0C4BBD" w14:textId="46944254" w:rsidR="006D24BC" w:rsidRPr="007F0DC1" w:rsidRDefault="00775AD5" w:rsidP="006D24BC">
      <w:pPr>
        <w:pBdr>
          <w:top w:val="single" w:sz="6" w:space="6" w:color="5C8C7C"/>
          <w:bottom w:val="single" w:sz="6" w:space="6" w:color="5C8C7C"/>
        </w:pBdr>
        <w:spacing w:after="240"/>
        <w:jc w:val="center"/>
        <w:rPr>
          <w:rFonts w:eastAsiaTheme="majorEastAsia" w:cstheme="majorBidi"/>
          <w:caps/>
          <w:color w:val="5C8C7C"/>
          <w:sz w:val="24"/>
          <w:szCs w:val="24"/>
        </w:rPr>
      </w:pPr>
      <w:bookmarkStart w:id="0" w:name="_gjdgxs" w:colFirst="0" w:colLast="0"/>
      <w:bookmarkEnd w:id="0"/>
      <w:r w:rsidRPr="00706FBE">
        <w:rPr>
          <w:rFonts w:eastAsiaTheme="majorEastAsia" w:cstheme="majorBidi"/>
          <w:caps/>
          <w:color w:val="0D0D0D" w:themeColor="text1" w:themeTint="F2"/>
          <w:sz w:val="24"/>
          <w:szCs w:val="24"/>
        </w:rPr>
        <w:lastRenderedPageBreak/>
        <w:t>NO</w:t>
      </w:r>
      <w:r w:rsidR="006D24BC" w:rsidRPr="00706FBE">
        <w:rPr>
          <w:rFonts w:eastAsiaTheme="majorEastAsia" w:cstheme="majorBidi"/>
          <w:caps/>
          <w:color w:val="0D0D0D" w:themeColor="text1" w:themeTint="F2"/>
          <w:sz w:val="24"/>
          <w:szCs w:val="24"/>
        </w:rPr>
        <w:t>N-DISCRIMINATION NOTICE</w:t>
      </w:r>
    </w:p>
    <w:p w14:paraId="1B7DFAAF" w14:textId="4FC13306" w:rsidR="00775AD5" w:rsidRDefault="006D24BC" w:rsidP="006D24BC">
      <w:pPr>
        <w:autoSpaceDE w:val="0"/>
        <w:autoSpaceDN w:val="0"/>
        <w:adjustRightInd w:val="0"/>
        <w:ind w:right="523"/>
        <w:jc w:val="both"/>
        <w:rPr>
          <w:rFonts w:ascii="Calibri" w:hAnsi="Calibri" w:cs="Tahoma"/>
          <w:sz w:val="18"/>
          <w:szCs w:val="18"/>
        </w:rPr>
        <w:sectPr w:rsidR="00775AD5" w:rsidSect="00306DAA">
          <w:headerReference w:type="default" r:id="rId11"/>
          <w:footerReference w:type="default" r:id="rId12"/>
          <w:type w:val="continuous"/>
          <w:pgSz w:w="12240" w:h="15840" w:code="1"/>
          <w:pgMar w:top="12240" w:right="1440" w:bottom="1440" w:left="1440" w:header="720" w:footer="720" w:gutter="0"/>
          <w:cols w:sep="1" w:space="432"/>
          <w:docGrid w:linePitch="360"/>
        </w:sectPr>
      </w:pPr>
      <w:r w:rsidRPr="00CC42DD">
        <w:rPr>
          <w:rFonts w:ascii="Calibri" w:hAnsi="Calibri" w:cs="Tahoma"/>
          <w:color w:val="000000" w:themeColor="text1"/>
          <w:sz w:val="18"/>
          <w:szCs w:val="18"/>
        </w:rPr>
        <w:t xml:space="preserve">The University of Maine System </w:t>
      </w:r>
      <w:r>
        <w:rPr>
          <w:rFonts w:ascii="Calibri" w:hAnsi="Calibri" w:cs="Tahoma"/>
          <w:color w:val="000000" w:themeColor="text1"/>
          <w:sz w:val="18"/>
          <w:szCs w:val="18"/>
        </w:rPr>
        <w:t xml:space="preserve">is an EEO/AA employer, and </w:t>
      </w:r>
      <w:r w:rsidRPr="00CC42DD">
        <w:rPr>
          <w:rFonts w:ascii="Calibri" w:hAnsi="Calibri" w:cs="Tahoma"/>
          <w:color w:val="000000" w:themeColor="text1"/>
          <w:sz w:val="18"/>
          <w:szCs w:val="18"/>
        </w:rPr>
        <w:t>does not discriminate on the grounds of race, color, religion, sex, sexual orientation, transgender status</w:t>
      </w:r>
      <w:r>
        <w:rPr>
          <w:rFonts w:ascii="Calibri" w:hAnsi="Calibri" w:cs="Tahoma"/>
          <w:color w:val="000000" w:themeColor="text1"/>
          <w:sz w:val="18"/>
          <w:szCs w:val="18"/>
        </w:rPr>
        <w:t xml:space="preserve">, </w:t>
      </w:r>
      <w:r w:rsidRPr="00CC42DD">
        <w:rPr>
          <w:rFonts w:ascii="Calibri" w:hAnsi="Calibri" w:cs="Tahoma"/>
          <w:color w:val="000000" w:themeColor="text1"/>
          <w:sz w:val="18"/>
          <w:szCs w:val="18"/>
        </w:rPr>
        <w:t>gender expression, national origin, citizenship status, age, disability, genetic information or veteran</w:t>
      </w:r>
      <w:r>
        <w:rPr>
          <w:rFonts w:ascii="Calibri" w:hAnsi="Calibri" w:cs="Tahoma"/>
          <w:color w:val="000000" w:themeColor="text1"/>
          <w:sz w:val="18"/>
          <w:szCs w:val="18"/>
        </w:rPr>
        <w:t>’</w:t>
      </w:r>
      <w:r w:rsidRPr="00CC42DD">
        <w:rPr>
          <w:rFonts w:ascii="Calibri" w:hAnsi="Calibri" w:cs="Tahoma"/>
          <w:color w:val="000000" w:themeColor="text1"/>
          <w:sz w:val="18"/>
          <w:szCs w:val="18"/>
        </w:rPr>
        <w:t>s status in employment, education, and all other programs and activities</w:t>
      </w:r>
      <w:r w:rsidRPr="00620AE6">
        <w:rPr>
          <w:rFonts w:ascii="Calibri" w:hAnsi="Calibri" w:cs="Tahoma"/>
          <w:sz w:val="18"/>
          <w:szCs w:val="18"/>
        </w:rPr>
        <w:t>.</w:t>
      </w:r>
      <w:r>
        <w:rPr>
          <w:rFonts w:ascii="Calibri" w:hAnsi="Calibri" w:cs="Tahoma"/>
          <w:sz w:val="18"/>
          <w:szCs w:val="18"/>
        </w:rPr>
        <w:t xml:space="preserve"> The following person has been designated to handle inquiries regarding non-discrimination policies</w:t>
      </w:r>
      <w:r w:rsidRPr="00620AE6">
        <w:rPr>
          <w:rFonts w:ascii="Calibri" w:hAnsi="Calibri" w:cs="Tahoma"/>
          <w:sz w:val="18"/>
          <w:szCs w:val="18"/>
        </w:rPr>
        <w:t>: Director of Equal Opportunity, 101 N</w:t>
      </w:r>
      <w:r>
        <w:rPr>
          <w:rFonts w:ascii="Calibri" w:hAnsi="Calibri" w:cs="Tahoma"/>
          <w:sz w:val="18"/>
          <w:szCs w:val="18"/>
        </w:rPr>
        <w:t>orth</w:t>
      </w:r>
      <w:r w:rsidRPr="00620AE6">
        <w:rPr>
          <w:rFonts w:ascii="Calibri" w:hAnsi="Calibri" w:cs="Tahoma"/>
          <w:sz w:val="18"/>
          <w:szCs w:val="18"/>
        </w:rPr>
        <w:t xml:space="preserve"> Steven</w:t>
      </w:r>
      <w:r w:rsidR="00775AD5">
        <w:rPr>
          <w:rFonts w:ascii="Calibri" w:hAnsi="Calibri" w:cs="Tahoma"/>
          <w:sz w:val="18"/>
          <w:szCs w:val="18"/>
        </w:rPr>
        <w:t xml:space="preserve">s </w:t>
      </w:r>
      <w:r w:rsidRPr="00620AE6">
        <w:rPr>
          <w:rFonts w:ascii="Calibri" w:hAnsi="Calibri" w:cs="Tahoma"/>
          <w:sz w:val="18"/>
          <w:szCs w:val="18"/>
        </w:rPr>
        <w:t xml:space="preserve">Hall, </w:t>
      </w:r>
      <w:r>
        <w:rPr>
          <w:rFonts w:ascii="Calibri" w:hAnsi="Calibri" w:cs="Tahoma"/>
          <w:sz w:val="18"/>
          <w:szCs w:val="18"/>
        </w:rPr>
        <w:t xml:space="preserve">University of Maine, </w:t>
      </w:r>
      <w:r w:rsidRPr="00620AE6">
        <w:rPr>
          <w:rFonts w:ascii="Calibri" w:hAnsi="Calibri" w:cs="Tahoma"/>
          <w:sz w:val="18"/>
          <w:szCs w:val="18"/>
        </w:rPr>
        <w:t>Orono, ME 04469</w:t>
      </w:r>
      <w:r>
        <w:rPr>
          <w:rFonts w:ascii="Calibri" w:hAnsi="Calibri" w:cs="Tahoma"/>
          <w:sz w:val="18"/>
          <w:szCs w:val="18"/>
        </w:rPr>
        <w:t>-5754</w:t>
      </w:r>
      <w:r w:rsidRPr="00620AE6">
        <w:rPr>
          <w:rFonts w:ascii="Calibri" w:hAnsi="Calibri" w:cs="Tahoma"/>
          <w:sz w:val="18"/>
          <w:szCs w:val="18"/>
        </w:rPr>
        <w:t>, 207</w:t>
      </w:r>
      <w:r>
        <w:rPr>
          <w:rFonts w:ascii="Calibri" w:hAnsi="Calibri" w:cs="Tahoma"/>
          <w:sz w:val="18"/>
          <w:szCs w:val="18"/>
        </w:rPr>
        <w:t>.</w:t>
      </w:r>
      <w:r w:rsidRPr="00620AE6">
        <w:rPr>
          <w:rFonts w:ascii="Calibri" w:hAnsi="Calibri" w:cs="Tahoma"/>
          <w:sz w:val="18"/>
          <w:szCs w:val="18"/>
        </w:rPr>
        <w:t>581</w:t>
      </w:r>
      <w:r>
        <w:rPr>
          <w:rFonts w:ascii="Calibri" w:hAnsi="Calibri" w:cs="Tahoma"/>
          <w:sz w:val="18"/>
          <w:szCs w:val="18"/>
        </w:rPr>
        <w:t>.</w:t>
      </w:r>
      <w:r w:rsidRPr="00620AE6">
        <w:rPr>
          <w:rFonts w:ascii="Calibri" w:hAnsi="Calibri" w:cs="Tahoma"/>
          <w:sz w:val="18"/>
          <w:szCs w:val="18"/>
        </w:rPr>
        <w:t>1226, TTY 711 (Maine Relay System)</w:t>
      </w:r>
      <w:r w:rsidR="00F65664">
        <w:rPr>
          <w:rFonts w:ascii="Calibri" w:hAnsi="Calibri" w:cs="Tahoma"/>
          <w:sz w:val="18"/>
          <w:szCs w:val="18"/>
        </w:rPr>
        <w:t xml:space="preserve"> or by email to: equal.opportunity@maine.edu.</w:t>
      </w:r>
    </w:p>
    <w:p w14:paraId="52AD59AB" w14:textId="77777777" w:rsidR="006D24BC" w:rsidRPr="00E73E6E" w:rsidRDefault="006D24BC" w:rsidP="003339A9">
      <w:pPr>
        <w:pStyle w:val="Heading4"/>
        <w:tabs>
          <w:tab w:val="clear" w:pos="10620"/>
          <w:tab w:val="left" w:pos="9360"/>
          <w:tab w:val="left" w:pos="10530"/>
        </w:tabs>
        <w:spacing w:after="240"/>
        <w:rPr>
          <w:b/>
          <w:sz w:val="28"/>
        </w:rPr>
      </w:pPr>
      <w:r w:rsidRPr="00E73E6E">
        <w:rPr>
          <w:b/>
          <w:sz w:val="28"/>
        </w:rPr>
        <w:lastRenderedPageBreak/>
        <w:t>TABLE OF CONTENTS</w:t>
      </w:r>
    </w:p>
    <w:tbl>
      <w:tblPr>
        <w:tblStyle w:val="TableGrid"/>
        <w:tblW w:w="9360" w:type="dxa"/>
        <w:tblLook w:val="04A0" w:firstRow="1" w:lastRow="0" w:firstColumn="1" w:lastColumn="0" w:noHBand="0" w:noVBand="1"/>
        <w:tblCaption w:val="Table of Contents"/>
        <w:tblDescription w:val="Chancellor's Letter page 4&#10;Board of Trustees and Management page 5&#10;Independent Auditor's Report page 6&#10;Management's Discussion and Analysis page 9&#10;Statements of Net Position page 34&#10;Statements of Financial Position - Discretely Presented Component Unit page 35&#10;Statements of Revenues, Expenses and Changes in Net Position page 36&#10;Statements of Activities - Discretely Presented Component Unit page 37&#10;Statements of Cash Flows page 38&#10;Notes to Financial Statements page 40&#10;Required Supplemental Information - Retirement and Other than Pension Employee Benefits (OPEB) page 84&#10;Supplemental Information Required by the State of Maine page 92&#10;Independent Auditor's Report on Internal Control over Financial Reporting and on Compliance and Other Matters Based on an Audit of Financial Statements Performed in Accordance with Government Auditing Standards page 93"/>
      </w:tblPr>
      <w:tblGrid>
        <w:gridCol w:w="8672"/>
        <w:gridCol w:w="688"/>
      </w:tblGrid>
      <w:tr w:rsidR="006D24BC" w14:paraId="64AF5D7D" w14:textId="77777777" w:rsidTr="00882E81">
        <w:trPr>
          <w:tblHeader/>
        </w:trPr>
        <w:tc>
          <w:tcPr>
            <w:tcW w:w="8672" w:type="dxa"/>
            <w:tcBorders>
              <w:top w:val="nil"/>
              <w:left w:val="nil"/>
              <w:bottom w:val="nil"/>
              <w:right w:val="nil"/>
            </w:tcBorders>
          </w:tcPr>
          <w:p w14:paraId="649F7EEB" w14:textId="77777777" w:rsidR="006D24BC" w:rsidRPr="00892DE0" w:rsidRDefault="006D24BC" w:rsidP="00A74468">
            <w:pPr>
              <w:spacing w:before="120" w:after="120"/>
              <w:jc w:val="both"/>
              <w:rPr>
                <w:rFonts w:ascii="Calibri" w:eastAsia="Times New Roman" w:hAnsi="Calibri" w:cs="Tahoma"/>
                <w:sz w:val="24"/>
                <w:szCs w:val="24"/>
              </w:rPr>
            </w:pPr>
          </w:p>
        </w:tc>
        <w:tc>
          <w:tcPr>
            <w:tcW w:w="688" w:type="dxa"/>
            <w:tcBorders>
              <w:top w:val="nil"/>
              <w:left w:val="nil"/>
              <w:bottom w:val="nil"/>
              <w:right w:val="nil"/>
            </w:tcBorders>
          </w:tcPr>
          <w:p w14:paraId="55D4EDB0" w14:textId="77777777" w:rsidR="006D24BC" w:rsidRPr="00892DE0" w:rsidRDefault="006D24BC" w:rsidP="00A74468">
            <w:pPr>
              <w:spacing w:before="120" w:after="120"/>
              <w:jc w:val="right"/>
              <w:rPr>
                <w:rFonts w:ascii="Calibri" w:eastAsia="Times New Roman" w:hAnsi="Calibri" w:cs="Tahoma"/>
                <w:sz w:val="24"/>
                <w:szCs w:val="24"/>
              </w:rPr>
            </w:pPr>
            <w:r>
              <w:rPr>
                <w:rFonts w:ascii="Calibri" w:eastAsia="Times New Roman" w:hAnsi="Calibri" w:cs="Tahoma"/>
                <w:sz w:val="24"/>
                <w:szCs w:val="20"/>
              </w:rPr>
              <w:t>Page</w:t>
            </w:r>
          </w:p>
        </w:tc>
      </w:tr>
      <w:tr w:rsidR="006D24BC" w14:paraId="75FD41ED" w14:textId="77777777" w:rsidTr="001A18A6">
        <w:trPr>
          <w:trHeight w:val="909"/>
        </w:trPr>
        <w:tc>
          <w:tcPr>
            <w:tcW w:w="8672" w:type="dxa"/>
            <w:tcBorders>
              <w:top w:val="nil"/>
              <w:left w:val="nil"/>
              <w:bottom w:val="nil"/>
              <w:right w:val="nil"/>
            </w:tcBorders>
            <w:vAlign w:val="bottom"/>
          </w:tcPr>
          <w:p w14:paraId="12679C7D" w14:textId="05AE504C" w:rsidR="006D24BC" w:rsidRPr="00892DE0" w:rsidRDefault="006D24BC" w:rsidP="00DE6182">
            <w:pPr>
              <w:spacing w:before="120" w:after="120"/>
              <w:rPr>
                <w:rFonts w:ascii="Calibri" w:eastAsia="Times New Roman" w:hAnsi="Calibri" w:cs="Tahoma"/>
                <w:sz w:val="24"/>
                <w:szCs w:val="24"/>
              </w:rPr>
            </w:pPr>
            <w:r w:rsidRPr="00892DE0">
              <w:rPr>
                <w:rFonts w:ascii="Calibri" w:eastAsia="Times New Roman" w:hAnsi="Calibri" w:cs="Tahoma"/>
                <w:sz w:val="24"/>
                <w:szCs w:val="24"/>
              </w:rPr>
              <w:t>Chancellor’s Letter…………………………………………………………………………………………………</w:t>
            </w:r>
            <w:proofErr w:type="gramStart"/>
            <w:r w:rsidRPr="00892DE0">
              <w:rPr>
                <w:rFonts w:ascii="Calibri" w:eastAsia="Times New Roman" w:hAnsi="Calibri" w:cs="Tahoma"/>
                <w:sz w:val="24"/>
                <w:szCs w:val="24"/>
              </w:rPr>
              <w:t>…</w:t>
            </w:r>
            <w:r w:rsidR="004A7B35">
              <w:rPr>
                <w:rFonts w:ascii="Calibri" w:eastAsia="Times New Roman" w:hAnsi="Calibri" w:cs="Tahoma"/>
                <w:sz w:val="24"/>
                <w:szCs w:val="24"/>
              </w:rPr>
              <w:t>..</w:t>
            </w:r>
            <w:proofErr w:type="gramEnd"/>
            <w:r w:rsidRPr="00892DE0">
              <w:rPr>
                <w:rFonts w:ascii="Calibri" w:eastAsia="Times New Roman" w:hAnsi="Calibri" w:cs="Tahoma"/>
                <w:sz w:val="24"/>
                <w:szCs w:val="24"/>
              </w:rPr>
              <w:t>…</w:t>
            </w:r>
          </w:p>
        </w:tc>
        <w:tc>
          <w:tcPr>
            <w:tcW w:w="688" w:type="dxa"/>
            <w:tcBorders>
              <w:top w:val="nil"/>
              <w:left w:val="nil"/>
              <w:bottom w:val="nil"/>
              <w:right w:val="nil"/>
            </w:tcBorders>
            <w:vAlign w:val="bottom"/>
          </w:tcPr>
          <w:p w14:paraId="2BEB1E7C" w14:textId="77777777" w:rsidR="006D24BC" w:rsidRPr="00892DE0" w:rsidRDefault="006D24BC">
            <w:pPr>
              <w:spacing w:before="120" w:after="120"/>
              <w:jc w:val="right"/>
              <w:rPr>
                <w:rFonts w:ascii="Calibri" w:eastAsia="Times New Roman" w:hAnsi="Calibri" w:cs="Tahoma"/>
                <w:sz w:val="24"/>
                <w:szCs w:val="24"/>
              </w:rPr>
            </w:pPr>
            <w:r w:rsidRPr="00892DE0">
              <w:rPr>
                <w:rFonts w:ascii="Calibri" w:eastAsia="Times New Roman" w:hAnsi="Calibri" w:cs="Tahoma"/>
                <w:sz w:val="24"/>
                <w:szCs w:val="24"/>
              </w:rPr>
              <w:t>4</w:t>
            </w:r>
          </w:p>
        </w:tc>
      </w:tr>
      <w:tr w:rsidR="006D24BC" w14:paraId="187F828F" w14:textId="77777777" w:rsidTr="00882E81">
        <w:tc>
          <w:tcPr>
            <w:tcW w:w="8672" w:type="dxa"/>
            <w:tcBorders>
              <w:top w:val="nil"/>
              <w:left w:val="nil"/>
              <w:bottom w:val="nil"/>
              <w:right w:val="nil"/>
            </w:tcBorders>
          </w:tcPr>
          <w:p w14:paraId="4A2E23D7" w14:textId="322DE45E" w:rsidR="006D24BC" w:rsidRPr="00892DE0" w:rsidRDefault="006D24BC" w:rsidP="00A74468">
            <w:pPr>
              <w:spacing w:before="120" w:after="120"/>
              <w:rPr>
                <w:rFonts w:ascii="Calibri" w:eastAsia="Times New Roman" w:hAnsi="Calibri" w:cs="Tahoma"/>
                <w:sz w:val="24"/>
                <w:szCs w:val="24"/>
              </w:rPr>
            </w:pPr>
            <w:r w:rsidRPr="00892DE0">
              <w:rPr>
                <w:rFonts w:ascii="Calibri" w:eastAsia="Times New Roman" w:hAnsi="Calibri" w:cs="Tahoma"/>
                <w:sz w:val="24"/>
                <w:szCs w:val="24"/>
              </w:rPr>
              <w:t>Board of Trustees and Management……………………………………………………………………</w:t>
            </w:r>
            <w:proofErr w:type="gramStart"/>
            <w:r w:rsidRPr="00892DE0">
              <w:rPr>
                <w:rFonts w:ascii="Calibri" w:eastAsia="Times New Roman" w:hAnsi="Calibri" w:cs="Tahoma"/>
                <w:sz w:val="24"/>
                <w:szCs w:val="24"/>
              </w:rPr>
              <w:t>…</w:t>
            </w:r>
            <w:r w:rsidR="004A7B35">
              <w:rPr>
                <w:rFonts w:ascii="Calibri" w:eastAsia="Times New Roman" w:hAnsi="Calibri" w:cs="Tahoma"/>
                <w:sz w:val="24"/>
                <w:szCs w:val="24"/>
              </w:rPr>
              <w:t>..</w:t>
            </w:r>
            <w:proofErr w:type="gramEnd"/>
            <w:r w:rsidRPr="00892DE0">
              <w:rPr>
                <w:rFonts w:ascii="Calibri" w:eastAsia="Times New Roman" w:hAnsi="Calibri" w:cs="Tahoma"/>
                <w:sz w:val="24"/>
                <w:szCs w:val="24"/>
              </w:rPr>
              <w:t>……</w:t>
            </w:r>
          </w:p>
        </w:tc>
        <w:tc>
          <w:tcPr>
            <w:tcW w:w="688" w:type="dxa"/>
            <w:tcBorders>
              <w:top w:val="nil"/>
              <w:left w:val="nil"/>
              <w:bottom w:val="nil"/>
              <w:right w:val="nil"/>
            </w:tcBorders>
          </w:tcPr>
          <w:p w14:paraId="6721D89A" w14:textId="77B10C81" w:rsidR="006D24BC" w:rsidRPr="00892DE0" w:rsidRDefault="0083414B" w:rsidP="00A74468">
            <w:pPr>
              <w:spacing w:before="120" w:after="120"/>
              <w:jc w:val="right"/>
              <w:rPr>
                <w:rFonts w:ascii="Calibri" w:eastAsia="Times New Roman" w:hAnsi="Calibri" w:cs="Tahoma"/>
                <w:sz w:val="24"/>
                <w:szCs w:val="24"/>
              </w:rPr>
            </w:pPr>
            <w:r>
              <w:rPr>
                <w:rFonts w:ascii="Calibri" w:eastAsia="Times New Roman" w:hAnsi="Calibri" w:cs="Tahoma"/>
                <w:sz w:val="24"/>
                <w:szCs w:val="24"/>
              </w:rPr>
              <w:t>6</w:t>
            </w:r>
          </w:p>
        </w:tc>
      </w:tr>
      <w:tr w:rsidR="006D24BC" w14:paraId="4930345C" w14:textId="77777777" w:rsidTr="00882E81">
        <w:tc>
          <w:tcPr>
            <w:tcW w:w="8672" w:type="dxa"/>
            <w:tcBorders>
              <w:top w:val="nil"/>
              <w:left w:val="nil"/>
              <w:bottom w:val="nil"/>
              <w:right w:val="nil"/>
            </w:tcBorders>
          </w:tcPr>
          <w:p w14:paraId="6796B2B4" w14:textId="61EFA46D" w:rsidR="006D24BC" w:rsidRPr="00892DE0" w:rsidRDefault="006D24BC" w:rsidP="00A74468">
            <w:pPr>
              <w:spacing w:before="120" w:after="120"/>
              <w:rPr>
                <w:rFonts w:ascii="Calibri" w:eastAsia="Times New Roman" w:hAnsi="Calibri" w:cs="Tahoma"/>
                <w:sz w:val="24"/>
                <w:szCs w:val="24"/>
              </w:rPr>
            </w:pPr>
            <w:r w:rsidRPr="00892DE0">
              <w:rPr>
                <w:rFonts w:ascii="Calibri" w:eastAsia="Times New Roman" w:hAnsi="Calibri" w:cs="Tahoma"/>
                <w:sz w:val="24"/>
                <w:szCs w:val="24"/>
              </w:rPr>
              <w:t>Independent Auditor’s Report……………………………………………………………………………</w:t>
            </w:r>
            <w:proofErr w:type="gramStart"/>
            <w:r w:rsidRPr="00892DE0">
              <w:rPr>
                <w:rFonts w:ascii="Calibri" w:eastAsia="Times New Roman" w:hAnsi="Calibri" w:cs="Tahoma"/>
                <w:sz w:val="24"/>
                <w:szCs w:val="24"/>
              </w:rPr>
              <w:t>…</w:t>
            </w:r>
            <w:r w:rsidR="004A7B35">
              <w:rPr>
                <w:rFonts w:ascii="Calibri" w:eastAsia="Times New Roman" w:hAnsi="Calibri" w:cs="Tahoma"/>
                <w:sz w:val="24"/>
                <w:szCs w:val="24"/>
              </w:rPr>
              <w:t>..</w:t>
            </w:r>
            <w:proofErr w:type="gramEnd"/>
            <w:r w:rsidRPr="00892DE0">
              <w:rPr>
                <w:rFonts w:ascii="Calibri" w:eastAsia="Times New Roman" w:hAnsi="Calibri" w:cs="Tahoma"/>
                <w:sz w:val="24"/>
                <w:szCs w:val="24"/>
              </w:rPr>
              <w:t>…….</w:t>
            </w:r>
          </w:p>
        </w:tc>
        <w:tc>
          <w:tcPr>
            <w:tcW w:w="688" w:type="dxa"/>
            <w:tcBorders>
              <w:top w:val="nil"/>
              <w:left w:val="nil"/>
              <w:bottom w:val="nil"/>
              <w:right w:val="nil"/>
            </w:tcBorders>
          </w:tcPr>
          <w:p w14:paraId="1B528E77" w14:textId="0C137013" w:rsidR="006D24BC" w:rsidRPr="00892DE0" w:rsidRDefault="0083414B" w:rsidP="00A74468">
            <w:pPr>
              <w:spacing w:before="120" w:after="120"/>
              <w:jc w:val="right"/>
              <w:rPr>
                <w:rFonts w:ascii="Calibri" w:eastAsia="Times New Roman" w:hAnsi="Calibri" w:cs="Tahoma"/>
                <w:sz w:val="24"/>
                <w:szCs w:val="24"/>
              </w:rPr>
            </w:pPr>
            <w:r>
              <w:rPr>
                <w:rFonts w:ascii="Calibri" w:eastAsia="Times New Roman" w:hAnsi="Calibri" w:cs="Tahoma"/>
                <w:sz w:val="24"/>
                <w:szCs w:val="24"/>
              </w:rPr>
              <w:t>7</w:t>
            </w:r>
          </w:p>
        </w:tc>
      </w:tr>
      <w:tr w:rsidR="006D24BC" w14:paraId="61AB551B" w14:textId="77777777" w:rsidTr="00882E81">
        <w:tc>
          <w:tcPr>
            <w:tcW w:w="8672" w:type="dxa"/>
            <w:tcBorders>
              <w:top w:val="nil"/>
              <w:left w:val="nil"/>
              <w:bottom w:val="nil"/>
              <w:right w:val="nil"/>
            </w:tcBorders>
          </w:tcPr>
          <w:p w14:paraId="42D0D464" w14:textId="2CC362C5" w:rsidR="006D24BC" w:rsidRPr="00892DE0" w:rsidRDefault="006D24BC" w:rsidP="00A74468">
            <w:pPr>
              <w:spacing w:before="120" w:after="120"/>
              <w:rPr>
                <w:rFonts w:ascii="Calibri" w:eastAsia="Times New Roman" w:hAnsi="Calibri" w:cs="Tahoma"/>
                <w:sz w:val="24"/>
                <w:szCs w:val="24"/>
              </w:rPr>
            </w:pPr>
            <w:r w:rsidRPr="00892DE0">
              <w:rPr>
                <w:rFonts w:ascii="Calibri" w:eastAsia="Times New Roman" w:hAnsi="Calibri" w:cs="Tahoma"/>
                <w:sz w:val="24"/>
                <w:szCs w:val="24"/>
              </w:rPr>
              <w:t>Management’s Discussion and Analysis…………………………………………………………………………</w:t>
            </w:r>
          </w:p>
        </w:tc>
        <w:tc>
          <w:tcPr>
            <w:tcW w:w="688" w:type="dxa"/>
            <w:tcBorders>
              <w:top w:val="nil"/>
              <w:left w:val="nil"/>
              <w:bottom w:val="nil"/>
              <w:right w:val="nil"/>
            </w:tcBorders>
          </w:tcPr>
          <w:p w14:paraId="6070C7BC" w14:textId="4CA06BC8" w:rsidR="006D24BC" w:rsidRPr="00892DE0" w:rsidRDefault="0083414B" w:rsidP="00A74468">
            <w:pPr>
              <w:spacing w:before="120" w:after="120"/>
              <w:jc w:val="right"/>
              <w:rPr>
                <w:rFonts w:ascii="Calibri" w:eastAsia="Times New Roman" w:hAnsi="Calibri" w:cs="Tahoma"/>
                <w:sz w:val="24"/>
                <w:szCs w:val="24"/>
              </w:rPr>
            </w:pPr>
            <w:r>
              <w:rPr>
                <w:rFonts w:ascii="Calibri" w:eastAsia="Times New Roman" w:hAnsi="Calibri" w:cs="Tahoma"/>
                <w:sz w:val="24"/>
                <w:szCs w:val="24"/>
              </w:rPr>
              <w:t>10</w:t>
            </w:r>
          </w:p>
        </w:tc>
      </w:tr>
      <w:tr w:rsidR="006D24BC" w14:paraId="280337D5" w14:textId="77777777" w:rsidTr="00882E81">
        <w:tc>
          <w:tcPr>
            <w:tcW w:w="8672" w:type="dxa"/>
            <w:tcBorders>
              <w:top w:val="nil"/>
              <w:left w:val="nil"/>
              <w:bottom w:val="nil"/>
              <w:right w:val="nil"/>
            </w:tcBorders>
          </w:tcPr>
          <w:p w14:paraId="0CEF0490" w14:textId="44D005F0" w:rsidR="006D24BC" w:rsidRPr="00892DE0" w:rsidRDefault="006D24BC" w:rsidP="00A74468">
            <w:pPr>
              <w:spacing w:before="120" w:after="120"/>
              <w:rPr>
                <w:rFonts w:ascii="Calibri" w:eastAsia="Times New Roman" w:hAnsi="Calibri" w:cs="Tahoma"/>
                <w:sz w:val="24"/>
                <w:szCs w:val="24"/>
              </w:rPr>
            </w:pPr>
            <w:r w:rsidRPr="00892DE0">
              <w:rPr>
                <w:rFonts w:ascii="Calibri" w:eastAsia="Times New Roman" w:hAnsi="Calibri" w:cs="Tahoma"/>
                <w:sz w:val="24"/>
                <w:szCs w:val="24"/>
              </w:rPr>
              <w:t>Financial Statements</w:t>
            </w:r>
            <w:r w:rsidR="00882E81">
              <w:rPr>
                <w:rFonts w:ascii="Calibri" w:eastAsia="Times New Roman" w:hAnsi="Calibri" w:cs="Tahoma"/>
                <w:sz w:val="24"/>
                <w:szCs w:val="24"/>
              </w:rPr>
              <w:t>:</w:t>
            </w:r>
          </w:p>
        </w:tc>
        <w:tc>
          <w:tcPr>
            <w:tcW w:w="688" w:type="dxa"/>
            <w:tcBorders>
              <w:top w:val="nil"/>
              <w:left w:val="nil"/>
              <w:bottom w:val="nil"/>
              <w:right w:val="nil"/>
            </w:tcBorders>
          </w:tcPr>
          <w:p w14:paraId="488EC408" w14:textId="77777777" w:rsidR="006D24BC" w:rsidRPr="00892DE0" w:rsidRDefault="006D24BC" w:rsidP="00A74468">
            <w:pPr>
              <w:spacing w:before="120" w:after="120"/>
              <w:jc w:val="right"/>
              <w:rPr>
                <w:rFonts w:ascii="Calibri" w:eastAsia="Times New Roman" w:hAnsi="Calibri" w:cs="Tahoma"/>
                <w:sz w:val="24"/>
                <w:szCs w:val="24"/>
              </w:rPr>
            </w:pPr>
          </w:p>
        </w:tc>
      </w:tr>
      <w:tr w:rsidR="006D24BC" w14:paraId="64A4E6CB" w14:textId="77777777" w:rsidTr="00882E81">
        <w:tc>
          <w:tcPr>
            <w:tcW w:w="8672" w:type="dxa"/>
            <w:tcBorders>
              <w:top w:val="nil"/>
              <w:left w:val="nil"/>
              <w:bottom w:val="nil"/>
              <w:right w:val="nil"/>
            </w:tcBorders>
          </w:tcPr>
          <w:p w14:paraId="6DF52CD9" w14:textId="21289098" w:rsidR="006D24BC" w:rsidRPr="00892DE0" w:rsidRDefault="006D24BC" w:rsidP="00603E2C">
            <w:pPr>
              <w:spacing w:before="120" w:after="120"/>
              <w:ind w:firstLine="257"/>
              <w:rPr>
                <w:rFonts w:ascii="Calibri" w:hAnsi="Calibri" w:cs="Tahoma"/>
              </w:rPr>
            </w:pPr>
            <w:r w:rsidRPr="00892DE0">
              <w:rPr>
                <w:rFonts w:ascii="Calibri" w:hAnsi="Calibri" w:cs="Tahoma"/>
                <w:sz w:val="24"/>
                <w:szCs w:val="24"/>
              </w:rPr>
              <w:t>Statements of Net Position…………………………………………………………………………………</w:t>
            </w:r>
            <w:r w:rsidR="004A7B35">
              <w:rPr>
                <w:rFonts w:ascii="Calibri" w:hAnsi="Calibri" w:cs="Tahoma"/>
                <w:sz w:val="24"/>
                <w:szCs w:val="24"/>
              </w:rPr>
              <w:t>…</w:t>
            </w:r>
            <w:r w:rsidRPr="00892DE0">
              <w:rPr>
                <w:rFonts w:ascii="Calibri" w:hAnsi="Calibri" w:cs="Tahoma"/>
                <w:sz w:val="24"/>
                <w:szCs w:val="24"/>
              </w:rPr>
              <w:t>…</w:t>
            </w:r>
          </w:p>
        </w:tc>
        <w:tc>
          <w:tcPr>
            <w:tcW w:w="688" w:type="dxa"/>
            <w:tcBorders>
              <w:top w:val="nil"/>
              <w:left w:val="nil"/>
              <w:bottom w:val="nil"/>
              <w:right w:val="nil"/>
            </w:tcBorders>
          </w:tcPr>
          <w:p w14:paraId="71C66F33" w14:textId="4C591603" w:rsidR="006D24BC" w:rsidRPr="00892DE0" w:rsidRDefault="006B4BB1">
            <w:pPr>
              <w:spacing w:before="120" w:after="120"/>
              <w:jc w:val="right"/>
              <w:rPr>
                <w:rFonts w:ascii="Calibri" w:eastAsia="Times New Roman" w:hAnsi="Calibri" w:cs="Tahoma"/>
                <w:sz w:val="24"/>
                <w:szCs w:val="24"/>
              </w:rPr>
            </w:pPr>
            <w:r>
              <w:rPr>
                <w:rFonts w:ascii="Calibri" w:eastAsia="Times New Roman" w:hAnsi="Calibri" w:cs="Tahoma"/>
                <w:sz w:val="24"/>
                <w:szCs w:val="24"/>
              </w:rPr>
              <w:t>40</w:t>
            </w:r>
          </w:p>
        </w:tc>
      </w:tr>
      <w:tr w:rsidR="006D24BC" w14:paraId="30DCFA2D" w14:textId="77777777" w:rsidTr="00882E81">
        <w:tc>
          <w:tcPr>
            <w:tcW w:w="8672" w:type="dxa"/>
            <w:tcBorders>
              <w:top w:val="nil"/>
              <w:left w:val="nil"/>
              <w:bottom w:val="nil"/>
              <w:right w:val="nil"/>
            </w:tcBorders>
          </w:tcPr>
          <w:p w14:paraId="479E8247" w14:textId="23A6FA13" w:rsidR="006D24BC" w:rsidRPr="00892DE0" w:rsidRDefault="006D24BC" w:rsidP="00603E2C">
            <w:pPr>
              <w:spacing w:before="120" w:after="120"/>
              <w:ind w:firstLine="257"/>
              <w:rPr>
                <w:rFonts w:ascii="Calibri" w:hAnsi="Calibri" w:cs="Tahoma"/>
              </w:rPr>
            </w:pPr>
            <w:r w:rsidRPr="00892DE0">
              <w:rPr>
                <w:rFonts w:ascii="Calibri" w:hAnsi="Calibri" w:cs="Tahoma"/>
                <w:sz w:val="24"/>
                <w:szCs w:val="24"/>
              </w:rPr>
              <w:t>Statements of Financial Position – Discretely Presented Component Unit……………</w:t>
            </w:r>
            <w:r w:rsidR="004A7B35">
              <w:rPr>
                <w:rFonts w:ascii="Calibri" w:hAnsi="Calibri" w:cs="Tahoma"/>
                <w:sz w:val="24"/>
                <w:szCs w:val="24"/>
              </w:rPr>
              <w:t>.</w:t>
            </w:r>
            <w:r w:rsidRPr="00892DE0">
              <w:rPr>
                <w:rFonts w:ascii="Calibri" w:hAnsi="Calibri" w:cs="Tahoma"/>
                <w:sz w:val="24"/>
                <w:szCs w:val="24"/>
              </w:rPr>
              <w:t>…</w:t>
            </w:r>
          </w:p>
        </w:tc>
        <w:tc>
          <w:tcPr>
            <w:tcW w:w="688" w:type="dxa"/>
            <w:tcBorders>
              <w:top w:val="nil"/>
              <w:left w:val="nil"/>
              <w:bottom w:val="nil"/>
              <w:right w:val="nil"/>
            </w:tcBorders>
          </w:tcPr>
          <w:p w14:paraId="26F8C652" w14:textId="0E7E6080" w:rsidR="006D24BC" w:rsidRPr="00892DE0" w:rsidRDefault="00831AE2">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6B4BB1">
              <w:rPr>
                <w:rFonts w:ascii="Calibri" w:eastAsia="Times New Roman" w:hAnsi="Calibri" w:cs="Tahoma"/>
                <w:sz w:val="24"/>
                <w:szCs w:val="24"/>
              </w:rPr>
              <w:t>1</w:t>
            </w:r>
          </w:p>
        </w:tc>
      </w:tr>
      <w:tr w:rsidR="006D24BC" w14:paraId="78E027A4" w14:textId="77777777" w:rsidTr="00882E81">
        <w:tc>
          <w:tcPr>
            <w:tcW w:w="8672" w:type="dxa"/>
            <w:tcBorders>
              <w:top w:val="nil"/>
              <w:left w:val="nil"/>
              <w:bottom w:val="nil"/>
              <w:right w:val="nil"/>
            </w:tcBorders>
          </w:tcPr>
          <w:p w14:paraId="6172C981" w14:textId="060218AE" w:rsidR="006D24BC" w:rsidRPr="00892DE0" w:rsidRDefault="006D24BC" w:rsidP="00603E2C">
            <w:pPr>
              <w:spacing w:before="120" w:after="120"/>
              <w:ind w:firstLine="257"/>
              <w:rPr>
                <w:rFonts w:ascii="Calibri" w:hAnsi="Calibri" w:cs="Tahoma"/>
              </w:rPr>
            </w:pPr>
            <w:r w:rsidRPr="00892DE0">
              <w:rPr>
                <w:rFonts w:ascii="Calibri" w:hAnsi="Calibri" w:cs="Tahoma"/>
                <w:sz w:val="24"/>
                <w:szCs w:val="24"/>
              </w:rPr>
              <w:t>Statements of Revenues, Expenses and Changes in Net Position……………………</w:t>
            </w:r>
            <w:r w:rsidR="004A7B35">
              <w:rPr>
                <w:rFonts w:ascii="Calibri" w:hAnsi="Calibri" w:cs="Tahoma"/>
                <w:sz w:val="24"/>
                <w:szCs w:val="24"/>
              </w:rPr>
              <w:t>.</w:t>
            </w:r>
            <w:r w:rsidRPr="00892DE0">
              <w:rPr>
                <w:rFonts w:ascii="Calibri" w:hAnsi="Calibri" w:cs="Tahoma"/>
                <w:sz w:val="24"/>
                <w:szCs w:val="24"/>
              </w:rPr>
              <w:t>………</w:t>
            </w:r>
          </w:p>
        </w:tc>
        <w:tc>
          <w:tcPr>
            <w:tcW w:w="688" w:type="dxa"/>
            <w:tcBorders>
              <w:top w:val="nil"/>
              <w:left w:val="nil"/>
              <w:bottom w:val="nil"/>
              <w:right w:val="nil"/>
            </w:tcBorders>
          </w:tcPr>
          <w:p w14:paraId="0BA94C48" w14:textId="0355FB6A" w:rsidR="006D24BC" w:rsidRPr="00892DE0" w:rsidRDefault="00831AE2">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6B4BB1">
              <w:rPr>
                <w:rFonts w:ascii="Calibri" w:eastAsia="Times New Roman" w:hAnsi="Calibri" w:cs="Tahoma"/>
                <w:sz w:val="24"/>
                <w:szCs w:val="24"/>
              </w:rPr>
              <w:t>2</w:t>
            </w:r>
          </w:p>
        </w:tc>
      </w:tr>
      <w:tr w:rsidR="006D24BC" w14:paraId="749D25D8" w14:textId="77777777" w:rsidTr="00882E81">
        <w:tc>
          <w:tcPr>
            <w:tcW w:w="8672" w:type="dxa"/>
            <w:tcBorders>
              <w:top w:val="nil"/>
              <w:left w:val="nil"/>
              <w:bottom w:val="nil"/>
              <w:right w:val="nil"/>
            </w:tcBorders>
          </w:tcPr>
          <w:p w14:paraId="0802A0B4" w14:textId="2073276C" w:rsidR="006D24BC" w:rsidRPr="00892DE0" w:rsidRDefault="006D24BC" w:rsidP="00603E2C">
            <w:pPr>
              <w:spacing w:before="120" w:after="120"/>
              <w:ind w:firstLine="257"/>
              <w:rPr>
                <w:rFonts w:ascii="Calibri" w:hAnsi="Calibri" w:cs="Tahoma"/>
              </w:rPr>
            </w:pPr>
            <w:r w:rsidRPr="00892DE0">
              <w:rPr>
                <w:rFonts w:ascii="Calibri" w:hAnsi="Calibri" w:cs="Tahoma"/>
                <w:sz w:val="24"/>
                <w:szCs w:val="24"/>
              </w:rPr>
              <w:t>Statements of Activities – Discretely Presented Component Unit……………………………</w:t>
            </w:r>
          </w:p>
        </w:tc>
        <w:tc>
          <w:tcPr>
            <w:tcW w:w="688" w:type="dxa"/>
            <w:tcBorders>
              <w:top w:val="nil"/>
              <w:left w:val="nil"/>
              <w:bottom w:val="nil"/>
              <w:right w:val="nil"/>
            </w:tcBorders>
          </w:tcPr>
          <w:p w14:paraId="67DBC18D" w14:textId="2B44BA35" w:rsidR="006D24BC" w:rsidRPr="00892DE0" w:rsidRDefault="006B4BB1">
            <w:pPr>
              <w:spacing w:before="120" w:after="120"/>
              <w:jc w:val="right"/>
              <w:rPr>
                <w:rFonts w:ascii="Calibri" w:eastAsia="Times New Roman" w:hAnsi="Calibri" w:cs="Tahoma"/>
                <w:sz w:val="24"/>
                <w:szCs w:val="24"/>
              </w:rPr>
            </w:pPr>
            <w:r>
              <w:rPr>
                <w:rFonts w:ascii="Calibri" w:eastAsia="Times New Roman" w:hAnsi="Calibri" w:cs="Tahoma"/>
                <w:sz w:val="24"/>
                <w:szCs w:val="24"/>
              </w:rPr>
              <w:t>43</w:t>
            </w:r>
          </w:p>
        </w:tc>
      </w:tr>
      <w:tr w:rsidR="006D24BC" w14:paraId="336B0370" w14:textId="77777777" w:rsidTr="00882E81">
        <w:tc>
          <w:tcPr>
            <w:tcW w:w="8672" w:type="dxa"/>
            <w:tcBorders>
              <w:top w:val="nil"/>
              <w:left w:val="nil"/>
              <w:bottom w:val="nil"/>
              <w:right w:val="nil"/>
            </w:tcBorders>
          </w:tcPr>
          <w:p w14:paraId="667C5D77" w14:textId="55ABF0B1" w:rsidR="006D24BC" w:rsidRPr="00892DE0" w:rsidRDefault="006D24BC" w:rsidP="00603E2C">
            <w:pPr>
              <w:spacing w:before="120" w:after="120"/>
              <w:ind w:firstLine="257"/>
              <w:rPr>
                <w:rFonts w:ascii="Calibri" w:hAnsi="Calibri" w:cs="Tahoma"/>
              </w:rPr>
            </w:pPr>
            <w:r w:rsidRPr="00892DE0">
              <w:rPr>
                <w:rFonts w:ascii="Calibri" w:hAnsi="Calibri" w:cs="Tahoma"/>
                <w:sz w:val="24"/>
                <w:szCs w:val="24"/>
              </w:rPr>
              <w:t>Statements of Cash Flows………………………………………………………………………………</w:t>
            </w:r>
            <w:proofErr w:type="gramStart"/>
            <w:r w:rsidRPr="00892DE0">
              <w:rPr>
                <w:rFonts w:ascii="Calibri" w:hAnsi="Calibri" w:cs="Tahoma"/>
                <w:sz w:val="24"/>
                <w:szCs w:val="24"/>
              </w:rPr>
              <w:t>…</w:t>
            </w:r>
            <w:r w:rsidR="004A7B35">
              <w:rPr>
                <w:rFonts w:ascii="Calibri" w:hAnsi="Calibri" w:cs="Tahoma"/>
                <w:sz w:val="24"/>
                <w:szCs w:val="24"/>
              </w:rPr>
              <w:t>..</w:t>
            </w:r>
            <w:proofErr w:type="gramEnd"/>
            <w:r w:rsidRPr="00892DE0">
              <w:rPr>
                <w:rFonts w:ascii="Calibri" w:hAnsi="Calibri" w:cs="Tahoma"/>
                <w:sz w:val="24"/>
                <w:szCs w:val="24"/>
              </w:rPr>
              <w:t>……</w:t>
            </w:r>
          </w:p>
        </w:tc>
        <w:tc>
          <w:tcPr>
            <w:tcW w:w="688" w:type="dxa"/>
            <w:tcBorders>
              <w:top w:val="nil"/>
              <w:left w:val="nil"/>
              <w:bottom w:val="nil"/>
              <w:right w:val="nil"/>
            </w:tcBorders>
          </w:tcPr>
          <w:p w14:paraId="4C1A98F6" w14:textId="754E3D8C" w:rsidR="006D24BC" w:rsidRPr="00892DE0" w:rsidRDefault="00831AE2">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6B4BB1">
              <w:rPr>
                <w:rFonts w:ascii="Calibri" w:eastAsia="Times New Roman" w:hAnsi="Calibri" w:cs="Tahoma"/>
                <w:sz w:val="24"/>
                <w:szCs w:val="24"/>
              </w:rPr>
              <w:t>4</w:t>
            </w:r>
          </w:p>
        </w:tc>
      </w:tr>
      <w:tr w:rsidR="00352D1F" w14:paraId="5F732222" w14:textId="77777777" w:rsidTr="00882E81">
        <w:tc>
          <w:tcPr>
            <w:tcW w:w="8672" w:type="dxa"/>
            <w:tcBorders>
              <w:top w:val="nil"/>
              <w:left w:val="nil"/>
              <w:bottom w:val="nil"/>
              <w:right w:val="nil"/>
            </w:tcBorders>
          </w:tcPr>
          <w:p w14:paraId="415D7DC5" w14:textId="4D4FB9E8" w:rsidR="00352D1F" w:rsidRPr="00892DE0" w:rsidRDefault="00352D1F" w:rsidP="00352D1F">
            <w:pPr>
              <w:spacing w:before="120" w:after="120"/>
              <w:ind w:firstLine="257"/>
              <w:rPr>
                <w:rFonts w:ascii="Calibri" w:hAnsi="Calibri" w:cs="Tahoma"/>
                <w:sz w:val="24"/>
                <w:szCs w:val="24"/>
              </w:rPr>
            </w:pPr>
            <w:r w:rsidRPr="00892DE0">
              <w:rPr>
                <w:rFonts w:ascii="Calibri" w:hAnsi="Calibri" w:cs="Tahoma"/>
                <w:sz w:val="24"/>
                <w:szCs w:val="24"/>
              </w:rPr>
              <w:t xml:space="preserve">Statements of </w:t>
            </w:r>
            <w:r>
              <w:rPr>
                <w:rFonts w:ascii="Calibri" w:hAnsi="Calibri" w:cs="Tahoma"/>
                <w:sz w:val="24"/>
                <w:szCs w:val="24"/>
              </w:rPr>
              <w:t>Fiduciary Net Position</w:t>
            </w:r>
            <w:r w:rsidRPr="00892DE0">
              <w:rPr>
                <w:rFonts w:ascii="Calibri" w:hAnsi="Calibri" w:cs="Tahoma"/>
                <w:sz w:val="24"/>
                <w:szCs w:val="24"/>
              </w:rPr>
              <w:t>…………………………………………………………</w:t>
            </w:r>
            <w:proofErr w:type="gramStart"/>
            <w:r w:rsidRPr="00892DE0">
              <w:rPr>
                <w:rFonts w:ascii="Calibri" w:hAnsi="Calibri" w:cs="Tahoma"/>
                <w:sz w:val="24"/>
                <w:szCs w:val="24"/>
              </w:rPr>
              <w:t>…</w:t>
            </w:r>
            <w:r>
              <w:rPr>
                <w:rFonts w:ascii="Calibri" w:hAnsi="Calibri" w:cs="Tahoma"/>
                <w:sz w:val="24"/>
                <w:szCs w:val="24"/>
              </w:rPr>
              <w:t>..</w:t>
            </w:r>
            <w:proofErr w:type="gramEnd"/>
            <w:r w:rsidRPr="00892DE0">
              <w:rPr>
                <w:rFonts w:ascii="Calibri" w:hAnsi="Calibri" w:cs="Tahoma"/>
                <w:sz w:val="24"/>
                <w:szCs w:val="24"/>
              </w:rPr>
              <w:t>……</w:t>
            </w:r>
          </w:p>
        </w:tc>
        <w:tc>
          <w:tcPr>
            <w:tcW w:w="688" w:type="dxa"/>
            <w:tcBorders>
              <w:top w:val="nil"/>
              <w:left w:val="nil"/>
              <w:bottom w:val="nil"/>
              <w:right w:val="nil"/>
            </w:tcBorders>
          </w:tcPr>
          <w:p w14:paraId="3AAED020" w14:textId="474A813E" w:rsidR="00352D1F" w:rsidRPr="00892DE0" w:rsidRDefault="00831AE2" w:rsidP="00352D1F">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6B4BB1">
              <w:rPr>
                <w:rFonts w:ascii="Calibri" w:eastAsia="Times New Roman" w:hAnsi="Calibri" w:cs="Tahoma"/>
                <w:sz w:val="24"/>
                <w:szCs w:val="24"/>
              </w:rPr>
              <w:t>6</w:t>
            </w:r>
          </w:p>
        </w:tc>
      </w:tr>
      <w:tr w:rsidR="00352D1F" w14:paraId="2EE849CA" w14:textId="77777777" w:rsidTr="00882E81">
        <w:tc>
          <w:tcPr>
            <w:tcW w:w="8672" w:type="dxa"/>
            <w:tcBorders>
              <w:top w:val="nil"/>
              <w:left w:val="nil"/>
              <w:bottom w:val="nil"/>
              <w:right w:val="nil"/>
            </w:tcBorders>
          </w:tcPr>
          <w:p w14:paraId="0B4ED5D9" w14:textId="5C597EE9" w:rsidR="00352D1F" w:rsidRPr="00892DE0" w:rsidRDefault="00352D1F" w:rsidP="00352D1F">
            <w:pPr>
              <w:spacing w:before="120" w:after="120"/>
              <w:ind w:firstLine="257"/>
              <w:rPr>
                <w:rFonts w:ascii="Calibri" w:hAnsi="Calibri" w:cs="Tahoma"/>
                <w:sz w:val="24"/>
                <w:szCs w:val="24"/>
              </w:rPr>
            </w:pPr>
            <w:r w:rsidRPr="00892DE0">
              <w:rPr>
                <w:rFonts w:ascii="Calibri" w:hAnsi="Calibri" w:cs="Tahoma"/>
                <w:sz w:val="24"/>
                <w:szCs w:val="24"/>
              </w:rPr>
              <w:t xml:space="preserve">Statements of </w:t>
            </w:r>
            <w:r>
              <w:rPr>
                <w:rFonts w:ascii="Calibri" w:hAnsi="Calibri" w:cs="Tahoma"/>
                <w:sz w:val="24"/>
                <w:szCs w:val="24"/>
              </w:rPr>
              <w:t xml:space="preserve">Changes in </w:t>
            </w:r>
            <w:r w:rsidR="00D15D96">
              <w:rPr>
                <w:rFonts w:ascii="Calibri" w:hAnsi="Calibri" w:cs="Tahoma"/>
                <w:sz w:val="24"/>
                <w:szCs w:val="24"/>
              </w:rPr>
              <w:t xml:space="preserve">Fiduciary </w:t>
            </w:r>
            <w:r>
              <w:rPr>
                <w:rFonts w:ascii="Calibri" w:hAnsi="Calibri" w:cs="Tahoma"/>
                <w:sz w:val="24"/>
                <w:szCs w:val="24"/>
              </w:rPr>
              <w:t>Net Position</w:t>
            </w:r>
            <w:r w:rsidRPr="00892DE0">
              <w:rPr>
                <w:rFonts w:ascii="Calibri" w:hAnsi="Calibri" w:cs="Tahoma"/>
                <w:sz w:val="24"/>
                <w:szCs w:val="24"/>
              </w:rPr>
              <w:t>………</w:t>
            </w:r>
            <w:r>
              <w:rPr>
                <w:rFonts w:ascii="Calibri" w:hAnsi="Calibri" w:cs="Tahoma"/>
                <w:sz w:val="24"/>
                <w:szCs w:val="24"/>
              </w:rPr>
              <w:t>…</w:t>
            </w:r>
            <w:r w:rsidR="00D15D96">
              <w:rPr>
                <w:rFonts w:ascii="Calibri" w:hAnsi="Calibri" w:cs="Tahoma"/>
                <w:sz w:val="24"/>
                <w:szCs w:val="24"/>
              </w:rPr>
              <w:t>………………………………</w:t>
            </w:r>
            <w:proofErr w:type="gramStart"/>
            <w:r w:rsidR="00D15D96">
              <w:rPr>
                <w:rFonts w:ascii="Calibri" w:hAnsi="Calibri" w:cs="Tahoma"/>
                <w:sz w:val="24"/>
                <w:szCs w:val="24"/>
              </w:rPr>
              <w:t>…..</w:t>
            </w:r>
            <w:proofErr w:type="gramEnd"/>
            <w:r w:rsidRPr="00892DE0">
              <w:rPr>
                <w:rFonts w:ascii="Calibri" w:hAnsi="Calibri" w:cs="Tahoma"/>
                <w:sz w:val="24"/>
                <w:szCs w:val="24"/>
              </w:rPr>
              <w:t>……</w:t>
            </w:r>
          </w:p>
        </w:tc>
        <w:tc>
          <w:tcPr>
            <w:tcW w:w="688" w:type="dxa"/>
            <w:tcBorders>
              <w:top w:val="nil"/>
              <w:left w:val="nil"/>
              <w:bottom w:val="nil"/>
              <w:right w:val="nil"/>
            </w:tcBorders>
          </w:tcPr>
          <w:p w14:paraId="6A6E921D" w14:textId="7BD3C3D9" w:rsidR="00352D1F" w:rsidRPr="00892DE0" w:rsidRDefault="00831AE2" w:rsidP="00352D1F">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6B4BB1">
              <w:rPr>
                <w:rFonts w:ascii="Calibri" w:eastAsia="Times New Roman" w:hAnsi="Calibri" w:cs="Tahoma"/>
                <w:sz w:val="24"/>
                <w:szCs w:val="24"/>
              </w:rPr>
              <w:t>7</w:t>
            </w:r>
          </w:p>
        </w:tc>
      </w:tr>
      <w:tr w:rsidR="00352D1F" w14:paraId="17A311C0" w14:textId="77777777" w:rsidTr="00882E81">
        <w:tc>
          <w:tcPr>
            <w:tcW w:w="8672" w:type="dxa"/>
            <w:tcBorders>
              <w:top w:val="nil"/>
              <w:left w:val="nil"/>
              <w:bottom w:val="nil"/>
              <w:right w:val="nil"/>
            </w:tcBorders>
          </w:tcPr>
          <w:p w14:paraId="77332CF7" w14:textId="402C7AB3" w:rsidR="00352D1F" w:rsidRPr="00892DE0" w:rsidRDefault="00352D1F" w:rsidP="00352D1F">
            <w:pPr>
              <w:spacing w:before="120" w:after="120"/>
              <w:rPr>
                <w:rFonts w:ascii="Calibri" w:eastAsia="Times New Roman" w:hAnsi="Calibri" w:cs="Tahoma"/>
                <w:sz w:val="24"/>
                <w:szCs w:val="24"/>
              </w:rPr>
            </w:pPr>
            <w:r w:rsidRPr="00892DE0">
              <w:rPr>
                <w:rFonts w:ascii="Calibri" w:eastAsia="Times New Roman" w:hAnsi="Calibri" w:cs="Tahoma"/>
                <w:sz w:val="24"/>
                <w:szCs w:val="24"/>
              </w:rPr>
              <w:t>Notes to Financial Statements…………………………………………………………………………</w:t>
            </w:r>
            <w:r w:rsidR="00D15D96">
              <w:rPr>
                <w:rFonts w:ascii="Calibri" w:eastAsia="Times New Roman" w:hAnsi="Calibri" w:cs="Tahoma"/>
                <w:sz w:val="24"/>
                <w:szCs w:val="24"/>
              </w:rPr>
              <w:t>….</w:t>
            </w:r>
            <w:r w:rsidRPr="00892DE0">
              <w:rPr>
                <w:rFonts w:ascii="Calibri" w:eastAsia="Times New Roman" w:hAnsi="Calibri" w:cs="Tahoma"/>
                <w:sz w:val="24"/>
                <w:szCs w:val="24"/>
              </w:rPr>
              <w:t>…….</w:t>
            </w:r>
          </w:p>
        </w:tc>
        <w:tc>
          <w:tcPr>
            <w:tcW w:w="688" w:type="dxa"/>
            <w:tcBorders>
              <w:top w:val="nil"/>
              <w:left w:val="nil"/>
              <w:bottom w:val="nil"/>
              <w:right w:val="nil"/>
            </w:tcBorders>
          </w:tcPr>
          <w:p w14:paraId="0150E663" w14:textId="01896255" w:rsidR="00352D1F" w:rsidRPr="00892DE0" w:rsidRDefault="00831AE2" w:rsidP="00352D1F">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6B4BB1">
              <w:rPr>
                <w:rFonts w:ascii="Calibri" w:eastAsia="Times New Roman" w:hAnsi="Calibri" w:cs="Tahoma"/>
                <w:sz w:val="24"/>
                <w:szCs w:val="24"/>
              </w:rPr>
              <w:t>8</w:t>
            </w:r>
          </w:p>
        </w:tc>
      </w:tr>
      <w:tr w:rsidR="00352D1F" w14:paraId="7102E70F" w14:textId="77777777" w:rsidTr="00882E81">
        <w:tc>
          <w:tcPr>
            <w:tcW w:w="8672" w:type="dxa"/>
            <w:tcBorders>
              <w:top w:val="nil"/>
              <w:left w:val="nil"/>
              <w:bottom w:val="nil"/>
              <w:right w:val="nil"/>
            </w:tcBorders>
          </w:tcPr>
          <w:p w14:paraId="4297FD68" w14:textId="1C456F01" w:rsidR="00352D1F" w:rsidRPr="00892DE0" w:rsidRDefault="00352D1F" w:rsidP="00352D1F">
            <w:pPr>
              <w:spacing w:before="120" w:after="120"/>
              <w:rPr>
                <w:rFonts w:ascii="Calibri" w:eastAsia="Times New Roman" w:hAnsi="Calibri" w:cs="Tahoma"/>
                <w:sz w:val="24"/>
                <w:szCs w:val="24"/>
              </w:rPr>
            </w:pPr>
            <w:r w:rsidRPr="00892DE0">
              <w:rPr>
                <w:rFonts w:ascii="Calibri" w:eastAsia="Times New Roman" w:hAnsi="Calibri" w:cs="Tahoma"/>
                <w:sz w:val="24"/>
                <w:szCs w:val="24"/>
              </w:rPr>
              <w:t>Required Supplemental Information – Retirement and OPEB Plans…………………………</w:t>
            </w:r>
            <w:r w:rsidR="00D15D96">
              <w:rPr>
                <w:rFonts w:ascii="Calibri" w:eastAsia="Times New Roman" w:hAnsi="Calibri" w:cs="Tahoma"/>
                <w:sz w:val="24"/>
                <w:szCs w:val="24"/>
              </w:rPr>
              <w:t>..</w:t>
            </w:r>
          </w:p>
        </w:tc>
        <w:tc>
          <w:tcPr>
            <w:tcW w:w="688" w:type="dxa"/>
            <w:tcBorders>
              <w:top w:val="nil"/>
              <w:left w:val="nil"/>
              <w:bottom w:val="nil"/>
              <w:right w:val="nil"/>
            </w:tcBorders>
          </w:tcPr>
          <w:p w14:paraId="5BE16595" w14:textId="757408C8" w:rsidR="00352D1F" w:rsidRPr="00892DE0" w:rsidRDefault="00D40E31" w:rsidP="00352D1F">
            <w:pPr>
              <w:spacing w:before="120" w:after="120"/>
              <w:jc w:val="right"/>
              <w:rPr>
                <w:rFonts w:ascii="Calibri" w:eastAsia="Times New Roman" w:hAnsi="Calibri" w:cs="Tahoma"/>
                <w:sz w:val="24"/>
                <w:szCs w:val="24"/>
              </w:rPr>
            </w:pPr>
            <w:r>
              <w:rPr>
                <w:rFonts w:ascii="Calibri" w:eastAsia="Times New Roman" w:hAnsi="Calibri" w:cs="Tahoma"/>
                <w:sz w:val="24"/>
                <w:szCs w:val="24"/>
              </w:rPr>
              <w:t>100</w:t>
            </w:r>
          </w:p>
        </w:tc>
      </w:tr>
      <w:tr w:rsidR="00352D1F" w14:paraId="4EC9CECD" w14:textId="77777777" w:rsidTr="00882E81">
        <w:tc>
          <w:tcPr>
            <w:tcW w:w="8672" w:type="dxa"/>
            <w:tcBorders>
              <w:top w:val="nil"/>
              <w:left w:val="nil"/>
              <w:bottom w:val="nil"/>
              <w:right w:val="nil"/>
            </w:tcBorders>
          </w:tcPr>
          <w:p w14:paraId="686F61EF" w14:textId="1D14EAD3" w:rsidR="00352D1F" w:rsidRPr="00892DE0" w:rsidRDefault="00352D1F" w:rsidP="00352D1F">
            <w:pPr>
              <w:spacing w:before="120" w:after="120"/>
              <w:rPr>
                <w:rFonts w:ascii="Calibri" w:eastAsia="Times New Roman" w:hAnsi="Calibri" w:cs="Tahoma"/>
                <w:sz w:val="24"/>
                <w:szCs w:val="24"/>
              </w:rPr>
            </w:pPr>
            <w:r w:rsidRPr="00892DE0">
              <w:rPr>
                <w:rFonts w:ascii="Calibri" w:eastAsia="Times New Roman" w:hAnsi="Calibri" w:cs="Tahoma"/>
                <w:sz w:val="24"/>
                <w:szCs w:val="24"/>
              </w:rPr>
              <w:t>Supplemental Information Required by the State of Maine……………………………</w:t>
            </w:r>
            <w:proofErr w:type="gramStart"/>
            <w:r w:rsidRPr="00892DE0">
              <w:rPr>
                <w:rFonts w:ascii="Calibri" w:eastAsia="Times New Roman" w:hAnsi="Calibri" w:cs="Tahoma"/>
                <w:sz w:val="24"/>
                <w:szCs w:val="24"/>
              </w:rPr>
              <w:t>…</w:t>
            </w:r>
            <w:r>
              <w:rPr>
                <w:rFonts w:ascii="Calibri" w:eastAsia="Times New Roman" w:hAnsi="Calibri" w:cs="Tahoma"/>
                <w:sz w:val="24"/>
                <w:szCs w:val="24"/>
              </w:rPr>
              <w:t>..</w:t>
            </w:r>
            <w:proofErr w:type="gramEnd"/>
            <w:r w:rsidRPr="00892DE0">
              <w:rPr>
                <w:rFonts w:ascii="Calibri" w:eastAsia="Times New Roman" w:hAnsi="Calibri" w:cs="Tahoma"/>
                <w:sz w:val="24"/>
                <w:szCs w:val="24"/>
              </w:rPr>
              <w:t>……</w:t>
            </w:r>
            <w:r w:rsidR="00D15D96">
              <w:rPr>
                <w:rFonts w:ascii="Calibri" w:eastAsia="Times New Roman" w:hAnsi="Calibri" w:cs="Tahoma"/>
                <w:sz w:val="24"/>
                <w:szCs w:val="24"/>
              </w:rPr>
              <w:t>.</w:t>
            </w:r>
          </w:p>
        </w:tc>
        <w:tc>
          <w:tcPr>
            <w:tcW w:w="688" w:type="dxa"/>
            <w:tcBorders>
              <w:top w:val="nil"/>
              <w:left w:val="nil"/>
              <w:bottom w:val="nil"/>
              <w:right w:val="nil"/>
            </w:tcBorders>
          </w:tcPr>
          <w:p w14:paraId="140CEC16" w14:textId="65469AAF" w:rsidR="00352D1F" w:rsidRPr="00892DE0" w:rsidRDefault="00831AE2" w:rsidP="00D40E31">
            <w:pPr>
              <w:spacing w:before="120" w:after="120"/>
              <w:jc w:val="right"/>
              <w:rPr>
                <w:rFonts w:ascii="Calibri" w:eastAsia="Times New Roman" w:hAnsi="Calibri" w:cs="Tahoma"/>
                <w:sz w:val="24"/>
                <w:szCs w:val="24"/>
              </w:rPr>
            </w:pPr>
            <w:r>
              <w:rPr>
                <w:rFonts w:ascii="Calibri" w:eastAsia="Times New Roman" w:hAnsi="Calibri" w:cs="Tahoma"/>
                <w:sz w:val="24"/>
                <w:szCs w:val="24"/>
              </w:rPr>
              <w:t>10</w:t>
            </w:r>
            <w:r w:rsidR="00D40E31">
              <w:rPr>
                <w:rFonts w:ascii="Calibri" w:eastAsia="Times New Roman" w:hAnsi="Calibri" w:cs="Tahoma"/>
                <w:sz w:val="24"/>
                <w:szCs w:val="24"/>
              </w:rPr>
              <w:t>9</w:t>
            </w:r>
          </w:p>
        </w:tc>
      </w:tr>
      <w:tr w:rsidR="00352D1F" w14:paraId="71647941" w14:textId="77777777" w:rsidTr="00882E81">
        <w:tc>
          <w:tcPr>
            <w:tcW w:w="8672" w:type="dxa"/>
            <w:tcBorders>
              <w:top w:val="nil"/>
              <w:left w:val="nil"/>
              <w:bottom w:val="nil"/>
              <w:right w:val="nil"/>
            </w:tcBorders>
          </w:tcPr>
          <w:p w14:paraId="2F0F5AE7" w14:textId="6B8ADBE4" w:rsidR="00352D1F" w:rsidRPr="00892DE0" w:rsidRDefault="00352D1F" w:rsidP="00352D1F">
            <w:pPr>
              <w:spacing w:before="120" w:after="120"/>
              <w:rPr>
                <w:rFonts w:ascii="Calibri" w:eastAsia="Times New Roman" w:hAnsi="Calibri" w:cs="Tahoma"/>
                <w:sz w:val="24"/>
                <w:szCs w:val="24"/>
              </w:rPr>
            </w:pPr>
            <w:r w:rsidRPr="00892DE0">
              <w:rPr>
                <w:rFonts w:ascii="Calibri" w:eastAsia="Times New Roman" w:hAnsi="Calibri" w:cs="Tahoma"/>
                <w:sz w:val="24"/>
                <w:szCs w:val="24"/>
              </w:rPr>
              <w:t xml:space="preserve">Independent Auditor’s Report on Internal Control Over Financial Reporting and on Compliance and Other Matters Based on an Audit of Financial Statements Performed in Accordance with </w:t>
            </w:r>
            <w:r w:rsidRPr="00892DE0">
              <w:rPr>
                <w:rFonts w:ascii="Calibri" w:eastAsia="Times New Roman" w:hAnsi="Calibri" w:cs="Tahoma"/>
                <w:i/>
                <w:sz w:val="24"/>
                <w:szCs w:val="24"/>
              </w:rPr>
              <w:t>Government Auditing Standards</w:t>
            </w:r>
            <w:r w:rsidRPr="00892DE0">
              <w:rPr>
                <w:rFonts w:ascii="Calibri" w:eastAsia="Times New Roman" w:hAnsi="Calibri" w:cs="Tahoma"/>
                <w:sz w:val="24"/>
                <w:szCs w:val="24"/>
              </w:rPr>
              <w:t>…………………………</w:t>
            </w:r>
            <w:r>
              <w:rPr>
                <w:rFonts w:ascii="Calibri" w:eastAsia="Times New Roman" w:hAnsi="Calibri" w:cs="Tahoma"/>
                <w:sz w:val="24"/>
                <w:szCs w:val="24"/>
              </w:rPr>
              <w:t>.</w:t>
            </w:r>
            <w:r w:rsidRPr="00892DE0">
              <w:rPr>
                <w:rFonts w:ascii="Calibri" w:eastAsia="Times New Roman" w:hAnsi="Calibri" w:cs="Tahoma"/>
                <w:sz w:val="24"/>
                <w:szCs w:val="24"/>
              </w:rPr>
              <w:t>……</w:t>
            </w:r>
          </w:p>
        </w:tc>
        <w:tc>
          <w:tcPr>
            <w:tcW w:w="688" w:type="dxa"/>
            <w:tcBorders>
              <w:top w:val="nil"/>
              <w:left w:val="nil"/>
              <w:bottom w:val="nil"/>
              <w:right w:val="nil"/>
            </w:tcBorders>
            <w:vAlign w:val="bottom"/>
          </w:tcPr>
          <w:p w14:paraId="7B1F0DE1" w14:textId="67273731" w:rsidR="00352D1F" w:rsidRPr="00892DE0" w:rsidRDefault="00831AE2" w:rsidP="00D40E31">
            <w:pPr>
              <w:spacing w:before="120" w:after="120"/>
              <w:jc w:val="right"/>
              <w:rPr>
                <w:rFonts w:ascii="Calibri" w:eastAsia="Times New Roman" w:hAnsi="Calibri" w:cs="Tahoma"/>
                <w:sz w:val="24"/>
                <w:szCs w:val="24"/>
              </w:rPr>
            </w:pPr>
            <w:r>
              <w:rPr>
                <w:rFonts w:ascii="Calibri" w:eastAsia="Times New Roman" w:hAnsi="Calibri" w:cs="Tahoma"/>
                <w:sz w:val="24"/>
                <w:szCs w:val="24"/>
              </w:rPr>
              <w:t>1</w:t>
            </w:r>
            <w:r w:rsidR="00D40E31">
              <w:rPr>
                <w:rFonts w:ascii="Calibri" w:eastAsia="Times New Roman" w:hAnsi="Calibri" w:cs="Tahoma"/>
                <w:sz w:val="24"/>
                <w:szCs w:val="24"/>
              </w:rPr>
              <w:t>10</w:t>
            </w:r>
          </w:p>
        </w:tc>
      </w:tr>
    </w:tbl>
    <w:p w14:paraId="368CB105" w14:textId="77777777" w:rsidR="006D24BC" w:rsidRDefault="006D24BC" w:rsidP="006D24BC">
      <w:pPr>
        <w:spacing w:after="160" w:line="259" w:lineRule="auto"/>
      </w:pPr>
      <w:r>
        <w:br w:type="page"/>
      </w:r>
    </w:p>
    <w:p w14:paraId="2FF715BE" w14:textId="55DC080A" w:rsidR="00775AD5" w:rsidRDefault="00D41941" w:rsidP="00D476BE">
      <w:r>
        <w:rPr>
          <w:noProof/>
        </w:rPr>
        <w:lastRenderedPageBreak/>
        <w:drawing>
          <wp:inline distT="114300" distB="114300" distL="114300" distR="114300" wp14:anchorId="53C2AF63" wp14:editId="17B9037A">
            <wp:extent cx="1882162" cy="902939"/>
            <wp:effectExtent l="0" t="0" r="3810" b="0"/>
            <wp:docPr id="5"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1882162" cy="902939"/>
                    </a:xfrm>
                    <a:prstGeom prst="rect">
                      <a:avLst/>
                    </a:prstGeom>
                    <a:ln/>
                  </pic:spPr>
                </pic:pic>
              </a:graphicData>
            </a:graphic>
          </wp:inline>
        </w:drawing>
      </w:r>
    </w:p>
    <w:p w14:paraId="62FC776D" w14:textId="77777777" w:rsidR="006E44D1" w:rsidRPr="005425C0" w:rsidRDefault="006E44D1" w:rsidP="006E44D1">
      <w:pPr>
        <w:spacing w:after="200"/>
        <w:rPr>
          <w:rFonts w:ascii="Times New Roman" w:eastAsia="Times New Roman" w:hAnsi="Times New Roman" w:cs="Times New Roman"/>
          <w:sz w:val="24"/>
          <w:szCs w:val="24"/>
        </w:rPr>
      </w:pPr>
      <w:r w:rsidRPr="005425C0">
        <w:rPr>
          <w:rFonts w:ascii="Verdana" w:eastAsia="Times New Roman" w:hAnsi="Verdana" w:cs="Times New Roman"/>
          <w:color w:val="000000"/>
          <w:sz w:val="18"/>
          <w:szCs w:val="18"/>
        </w:rPr>
        <w:t>October 14, 2021</w:t>
      </w:r>
    </w:p>
    <w:p w14:paraId="0A7E899C" w14:textId="77777777" w:rsidR="006E44D1" w:rsidRPr="005425C0" w:rsidRDefault="006E44D1" w:rsidP="006E44D1">
      <w:pPr>
        <w:spacing w:after="200"/>
        <w:rPr>
          <w:rFonts w:ascii="Times New Roman" w:eastAsia="Times New Roman" w:hAnsi="Times New Roman" w:cs="Times New Roman"/>
          <w:sz w:val="24"/>
          <w:szCs w:val="24"/>
        </w:rPr>
      </w:pPr>
      <w:r w:rsidRPr="005425C0">
        <w:rPr>
          <w:rFonts w:ascii="Verdana" w:eastAsia="Times New Roman" w:hAnsi="Verdana" w:cs="Times New Roman"/>
          <w:color w:val="000000"/>
          <w:sz w:val="18"/>
          <w:szCs w:val="18"/>
        </w:rPr>
        <w:t>I began last year’s letter noting that Fiscal Year 2020 was one of historic change and unprecedented challenge in the University of Maine System. Likewise, Fiscal Year 2021 presented considerable hurdles as well as exciting opportunities for collaboration, strengthening and progress.</w:t>
      </w:r>
    </w:p>
    <w:p w14:paraId="3371E690" w14:textId="77777777" w:rsidR="006E44D1" w:rsidRPr="005425C0" w:rsidRDefault="006E44D1" w:rsidP="006E44D1">
      <w:pPr>
        <w:spacing w:after="200"/>
        <w:rPr>
          <w:rFonts w:ascii="Times New Roman" w:eastAsia="Times New Roman" w:hAnsi="Times New Roman" w:cs="Times New Roman"/>
          <w:sz w:val="24"/>
          <w:szCs w:val="24"/>
        </w:rPr>
      </w:pPr>
      <w:r w:rsidRPr="005425C0">
        <w:rPr>
          <w:rFonts w:ascii="Verdana" w:eastAsia="Times New Roman" w:hAnsi="Verdana" w:cs="Times New Roman"/>
          <w:color w:val="000000"/>
          <w:sz w:val="18"/>
          <w:szCs w:val="18"/>
        </w:rPr>
        <w:t xml:space="preserve">Our most important work is providing education, research, public service, and workforce development.  I am proud to report that nearly 5,000 students graduated from our universities and the Maine School of Law in May, with a mix of online and interactive events. This resilient Class of 2021 was </w:t>
      </w:r>
      <w:hyperlink r:id="rId14" w:history="1">
        <w:r w:rsidRPr="005425C0">
          <w:rPr>
            <w:rFonts w:ascii="Verdana" w:eastAsia="Times New Roman" w:hAnsi="Verdana" w:cs="Times New Roman"/>
            <w:color w:val="000000"/>
            <w:sz w:val="18"/>
            <w:szCs w:val="18"/>
            <w:u w:val="single"/>
          </w:rPr>
          <w:t>7 percent larger than last year</w:t>
        </w:r>
      </w:hyperlink>
      <w:r w:rsidRPr="005425C0">
        <w:rPr>
          <w:rFonts w:ascii="Verdana" w:eastAsia="Times New Roman" w:hAnsi="Verdana" w:cs="Times New Roman"/>
          <w:color w:val="000000"/>
          <w:sz w:val="18"/>
          <w:szCs w:val="18"/>
        </w:rPr>
        <w:t xml:space="preserve"> even with COVID-19 complications.</w:t>
      </w:r>
    </w:p>
    <w:p w14:paraId="33A6E154" w14:textId="77777777" w:rsidR="006E44D1" w:rsidRPr="005425C0" w:rsidRDefault="006E44D1" w:rsidP="006E44D1">
      <w:pPr>
        <w:spacing w:after="200"/>
        <w:rPr>
          <w:rFonts w:ascii="Times New Roman" w:eastAsia="Times New Roman" w:hAnsi="Times New Roman" w:cs="Times New Roman"/>
          <w:sz w:val="24"/>
          <w:szCs w:val="24"/>
        </w:rPr>
      </w:pPr>
      <w:r w:rsidRPr="005425C0">
        <w:rPr>
          <w:rFonts w:ascii="Verdana" w:eastAsia="Times New Roman" w:hAnsi="Verdana" w:cs="Times New Roman"/>
          <w:color w:val="000000"/>
          <w:sz w:val="18"/>
          <w:szCs w:val="18"/>
        </w:rPr>
        <w:t>This fall, a majority of students, faculty and staff are on our campuses and the energy is real. From the University of Maine at Fort Kent to the University of Southern Maine, we’re safely engaged in</w:t>
      </w:r>
      <w:r w:rsidRPr="005425C0">
        <w:rPr>
          <w:rFonts w:ascii="Verdana" w:eastAsia="Times New Roman" w:hAnsi="Verdana" w:cs="Times New Roman"/>
          <w:color w:val="222222"/>
          <w:sz w:val="18"/>
          <w:szCs w:val="18"/>
        </w:rPr>
        <w:t xml:space="preserve"> learning, conducting research and providing outreach</w:t>
      </w:r>
      <w:r w:rsidRPr="005425C0">
        <w:rPr>
          <w:rFonts w:ascii="Verdana" w:eastAsia="Times New Roman" w:hAnsi="Verdana" w:cs="Times New Roman"/>
          <w:color w:val="000000"/>
          <w:sz w:val="18"/>
          <w:szCs w:val="18"/>
        </w:rPr>
        <w:t xml:space="preserve">. </w:t>
      </w:r>
      <w:r w:rsidRPr="005425C0">
        <w:rPr>
          <w:rFonts w:ascii="Verdana" w:eastAsia="Times New Roman" w:hAnsi="Verdana" w:cs="Times New Roman"/>
          <w:color w:val="222222"/>
          <w:sz w:val="18"/>
          <w:szCs w:val="18"/>
        </w:rPr>
        <w:t>This is possible because we continue to follow science-based public health protocols.</w:t>
      </w:r>
    </w:p>
    <w:p w14:paraId="241F2424" w14:textId="77777777" w:rsidR="006E44D1" w:rsidRPr="005425C0" w:rsidRDefault="006E44D1" w:rsidP="006E44D1">
      <w:pPr>
        <w:spacing w:after="200"/>
        <w:rPr>
          <w:rFonts w:ascii="Times New Roman" w:eastAsia="Times New Roman" w:hAnsi="Times New Roman" w:cs="Times New Roman"/>
          <w:sz w:val="24"/>
          <w:szCs w:val="24"/>
        </w:rPr>
      </w:pPr>
      <w:r w:rsidRPr="005425C0">
        <w:rPr>
          <w:rFonts w:ascii="Verdana" w:eastAsia="Times New Roman" w:hAnsi="Verdana" w:cs="Times New Roman"/>
          <w:color w:val="000000"/>
          <w:sz w:val="18"/>
          <w:szCs w:val="18"/>
        </w:rPr>
        <w:t xml:space="preserve">Because of diligent stewardship, UMS retained its AA- credit rating, with a stable outlook, during the pandemic. S&amp;P </w:t>
      </w:r>
      <w:proofErr w:type="spellStart"/>
      <w:r w:rsidRPr="005425C0">
        <w:rPr>
          <w:rFonts w:ascii="Verdana" w:eastAsia="Times New Roman" w:hAnsi="Verdana" w:cs="Times New Roman"/>
          <w:color w:val="000000"/>
          <w:sz w:val="18"/>
          <w:szCs w:val="18"/>
        </w:rPr>
        <w:t>Global’s</w:t>
      </w:r>
      <w:proofErr w:type="spellEnd"/>
      <w:r w:rsidRPr="005425C0">
        <w:rPr>
          <w:rFonts w:ascii="Verdana" w:eastAsia="Times New Roman" w:hAnsi="Verdana" w:cs="Times New Roman"/>
          <w:color w:val="000000"/>
          <w:sz w:val="18"/>
          <w:szCs w:val="18"/>
        </w:rPr>
        <w:t xml:space="preserve"> report indicated that UMS management “maintains a disciplined debt policy, imparts fiscal discipline through using dashboard indicators and long-term financial planning, and adapts to the challenging demographics of Maine through newly developed initiatives.”</w:t>
      </w:r>
    </w:p>
    <w:p w14:paraId="59BA3DA3" w14:textId="77777777" w:rsidR="006E44D1" w:rsidRPr="005425C0" w:rsidRDefault="006E44D1" w:rsidP="006E44D1">
      <w:pPr>
        <w:spacing w:after="200"/>
        <w:rPr>
          <w:rFonts w:ascii="Times New Roman" w:eastAsia="Times New Roman" w:hAnsi="Times New Roman" w:cs="Times New Roman"/>
          <w:sz w:val="24"/>
          <w:szCs w:val="24"/>
        </w:rPr>
      </w:pPr>
      <w:r w:rsidRPr="005425C0">
        <w:rPr>
          <w:rFonts w:ascii="Verdana" w:eastAsia="Times New Roman" w:hAnsi="Verdana" w:cs="Times New Roman"/>
          <w:color w:val="000000"/>
          <w:sz w:val="18"/>
          <w:szCs w:val="18"/>
        </w:rPr>
        <w:t>The report assessed our enterprise profile as strong, characterized by breadth and depth, and noted that enrollment has remained stable even with unfavorable state demographics and strong regional competition. The report also noted that our unified accreditation model will permit greater academic collaboration between our universities and allow UMS to offer academic programming that any one university may not have the resources to offer by itself.</w:t>
      </w:r>
    </w:p>
    <w:p w14:paraId="58DB77C5" w14:textId="77777777" w:rsidR="006E44D1" w:rsidRPr="005425C0" w:rsidRDefault="006E44D1" w:rsidP="006E44D1">
      <w:pPr>
        <w:spacing w:after="200"/>
        <w:rPr>
          <w:rFonts w:ascii="Times New Roman" w:eastAsia="Times New Roman" w:hAnsi="Times New Roman" w:cs="Times New Roman"/>
          <w:sz w:val="24"/>
          <w:szCs w:val="24"/>
        </w:rPr>
      </w:pPr>
      <w:r w:rsidRPr="005425C0">
        <w:rPr>
          <w:rFonts w:ascii="Verdana" w:eastAsia="Times New Roman" w:hAnsi="Verdana" w:cs="Times New Roman"/>
          <w:color w:val="000000"/>
          <w:sz w:val="18"/>
          <w:szCs w:val="18"/>
        </w:rPr>
        <w:t>We carefully administer our resources so that tax and donor dollars go farther. Our sound fiscal management is imperative to managing costs, lowering the cost of borrowing, and attracting additional investments.</w:t>
      </w:r>
    </w:p>
    <w:p w14:paraId="768EAD6F" w14:textId="77777777" w:rsidR="006E44D1" w:rsidRPr="005425C0" w:rsidRDefault="006E44D1" w:rsidP="006E44D1">
      <w:pPr>
        <w:spacing w:after="200"/>
        <w:rPr>
          <w:rFonts w:ascii="Times New Roman" w:eastAsia="Times New Roman" w:hAnsi="Times New Roman" w:cs="Times New Roman"/>
          <w:sz w:val="24"/>
          <w:szCs w:val="24"/>
        </w:rPr>
      </w:pPr>
      <w:r w:rsidRPr="005425C0">
        <w:rPr>
          <w:rFonts w:ascii="Verdana" w:eastAsia="Times New Roman" w:hAnsi="Verdana" w:cs="Times New Roman"/>
          <w:color w:val="000000"/>
          <w:sz w:val="18"/>
          <w:szCs w:val="18"/>
        </w:rPr>
        <w:t>The Harold Alfond Foundation’s $240 million investment in the System announced last October is a transformative opportunity for higher education in Maine.  It includes:</w:t>
      </w:r>
    </w:p>
    <w:p w14:paraId="5AA0789A" w14:textId="77777777" w:rsidR="006E44D1" w:rsidRPr="005425C0" w:rsidRDefault="006E44D1" w:rsidP="006E44D1">
      <w:pPr>
        <w:numPr>
          <w:ilvl w:val="0"/>
          <w:numId w:val="55"/>
        </w:numPr>
        <w:spacing w:after="200"/>
        <w:textAlignment w:val="baseline"/>
        <w:rPr>
          <w:rFonts w:ascii="Verdana" w:eastAsia="Times New Roman" w:hAnsi="Verdana" w:cs="Times New Roman"/>
          <w:color w:val="000000"/>
          <w:sz w:val="18"/>
          <w:szCs w:val="18"/>
        </w:rPr>
      </w:pPr>
      <w:r w:rsidRPr="005425C0">
        <w:rPr>
          <w:rFonts w:ascii="Verdana" w:eastAsia="Times New Roman" w:hAnsi="Verdana" w:cs="Times New Roman"/>
          <w:color w:val="000000"/>
          <w:sz w:val="18"/>
          <w:szCs w:val="18"/>
        </w:rPr>
        <w:t>$75 million for a multi-university Maine College of Engineering, Computing, and Information Science.</w:t>
      </w:r>
    </w:p>
    <w:p w14:paraId="593FA0C2" w14:textId="77777777" w:rsidR="006E44D1" w:rsidRPr="005425C0" w:rsidRDefault="006E44D1" w:rsidP="006E44D1">
      <w:pPr>
        <w:numPr>
          <w:ilvl w:val="0"/>
          <w:numId w:val="55"/>
        </w:numPr>
        <w:spacing w:after="200"/>
        <w:textAlignment w:val="baseline"/>
        <w:rPr>
          <w:rFonts w:ascii="Verdana" w:eastAsia="Times New Roman" w:hAnsi="Verdana" w:cs="Times New Roman"/>
          <w:color w:val="000000"/>
          <w:sz w:val="18"/>
          <w:szCs w:val="18"/>
        </w:rPr>
      </w:pPr>
      <w:r w:rsidRPr="005425C0">
        <w:rPr>
          <w:rFonts w:ascii="Verdana" w:eastAsia="Times New Roman" w:hAnsi="Verdana" w:cs="Times New Roman"/>
          <w:color w:val="000000"/>
          <w:sz w:val="18"/>
          <w:szCs w:val="18"/>
        </w:rPr>
        <w:t>$20 million to support student retention and success systemwide.</w:t>
      </w:r>
    </w:p>
    <w:p w14:paraId="79071322" w14:textId="77777777" w:rsidR="006E44D1" w:rsidRPr="005425C0" w:rsidRDefault="006E44D1" w:rsidP="006E44D1">
      <w:pPr>
        <w:numPr>
          <w:ilvl w:val="0"/>
          <w:numId w:val="55"/>
        </w:numPr>
        <w:spacing w:after="200"/>
        <w:textAlignment w:val="baseline"/>
        <w:rPr>
          <w:rFonts w:ascii="Verdana" w:eastAsia="Times New Roman" w:hAnsi="Verdana" w:cs="Times New Roman"/>
          <w:color w:val="000000"/>
          <w:sz w:val="18"/>
          <w:szCs w:val="18"/>
        </w:rPr>
      </w:pPr>
      <w:r w:rsidRPr="005425C0">
        <w:rPr>
          <w:rFonts w:ascii="Verdana" w:eastAsia="Times New Roman" w:hAnsi="Verdana" w:cs="Times New Roman"/>
          <w:color w:val="000000"/>
          <w:sz w:val="18"/>
          <w:szCs w:val="18"/>
        </w:rPr>
        <w:t xml:space="preserve">$90 million to modernize </w:t>
      </w:r>
      <w:proofErr w:type="spellStart"/>
      <w:r w:rsidRPr="005425C0">
        <w:rPr>
          <w:rFonts w:ascii="Verdana" w:eastAsia="Times New Roman" w:hAnsi="Verdana" w:cs="Times New Roman"/>
          <w:color w:val="000000"/>
          <w:sz w:val="18"/>
          <w:szCs w:val="18"/>
        </w:rPr>
        <w:t>UMaine</w:t>
      </w:r>
      <w:proofErr w:type="spellEnd"/>
      <w:r w:rsidRPr="005425C0">
        <w:rPr>
          <w:rFonts w:ascii="Verdana" w:eastAsia="Times New Roman" w:hAnsi="Verdana" w:cs="Times New Roman"/>
          <w:color w:val="000000"/>
          <w:sz w:val="18"/>
          <w:szCs w:val="18"/>
        </w:rPr>
        <w:t xml:space="preserve"> Athletics infrastructure and improve gender equity</w:t>
      </w:r>
      <w:r>
        <w:rPr>
          <w:rFonts w:ascii="Verdana" w:eastAsia="Times New Roman" w:hAnsi="Verdana" w:cs="Times New Roman"/>
          <w:color w:val="000000"/>
          <w:sz w:val="18"/>
          <w:szCs w:val="18"/>
        </w:rPr>
        <w:t>.</w:t>
      </w:r>
    </w:p>
    <w:p w14:paraId="1F75E555" w14:textId="77777777" w:rsidR="006E44D1" w:rsidRPr="005425C0" w:rsidRDefault="006E44D1" w:rsidP="006E44D1">
      <w:pPr>
        <w:numPr>
          <w:ilvl w:val="0"/>
          <w:numId w:val="55"/>
        </w:numPr>
        <w:spacing w:after="200"/>
        <w:textAlignment w:val="baseline"/>
        <w:rPr>
          <w:rFonts w:ascii="Verdana" w:eastAsia="Times New Roman" w:hAnsi="Verdana" w:cs="Times New Roman"/>
          <w:color w:val="000000"/>
          <w:sz w:val="18"/>
          <w:szCs w:val="18"/>
        </w:rPr>
      </w:pPr>
      <w:r w:rsidRPr="005425C0">
        <w:rPr>
          <w:rFonts w:ascii="Verdana" w:eastAsia="Times New Roman" w:hAnsi="Verdana" w:cs="Times New Roman"/>
          <w:color w:val="000000"/>
          <w:sz w:val="18"/>
          <w:szCs w:val="18"/>
        </w:rPr>
        <w:t>$55 million to develop the Maine Graduate and Professional Center (Maine Center) in Portland, including a signature new building to house Maine Law, the Graduate School of Business and Muskie School of Public Service.</w:t>
      </w:r>
    </w:p>
    <w:p w14:paraId="08EBA99A" w14:textId="77777777" w:rsidR="006E44D1" w:rsidRPr="005425C0" w:rsidRDefault="006E44D1" w:rsidP="006E44D1">
      <w:pPr>
        <w:spacing w:after="200"/>
        <w:rPr>
          <w:rFonts w:ascii="Times New Roman" w:eastAsia="Times New Roman" w:hAnsi="Times New Roman" w:cs="Times New Roman"/>
          <w:sz w:val="24"/>
          <w:szCs w:val="24"/>
        </w:rPr>
      </w:pPr>
      <w:r w:rsidRPr="005425C0">
        <w:rPr>
          <w:rFonts w:ascii="Verdana" w:eastAsia="Times New Roman" w:hAnsi="Verdana" w:cs="Times New Roman"/>
          <w:color w:val="000000"/>
          <w:sz w:val="18"/>
          <w:szCs w:val="18"/>
        </w:rPr>
        <w:t>Over the next ten years, we’ll be using these historic investments to improve diversity, equity, and inclusion in these important areas, and all universities in our system will play a role. We’ll be leveraging Alfond investments to secure an additional $170 million in matching funds over the same time from private, state and federal sources, resulting in $410 million total investment in our public university system. The impacts will be truly transformative.</w:t>
      </w:r>
    </w:p>
    <w:p w14:paraId="53D62381" w14:textId="77777777" w:rsidR="006E44D1" w:rsidRPr="005425C0" w:rsidRDefault="006E44D1" w:rsidP="006E44D1">
      <w:pPr>
        <w:spacing w:after="200"/>
        <w:rPr>
          <w:rFonts w:ascii="Times New Roman" w:eastAsia="Times New Roman" w:hAnsi="Times New Roman" w:cs="Times New Roman"/>
          <w:sz w:val="24"/>
          <w:szCs w:val="24"/>
        </w:rPr>
      </w:pPr>
      <w:r w:rsidRPr="005425C0">
        <w:rPr>
          <w:rFonts w:ascii="Verdana" w:eastAsia="Times New Roman" w:hAnsi="Verdana" w:cs="Times New Roman"/>
          <w:color w:val="000000"/>
          <w:sz w:val="18"/>
          <w:szCs w:val="18"/>
        </w:rPr>
        <w:t xml:space="preserve">In March Governor Janet Mills signed legislation to implement the Maine Jobs and Recovery Plan, which directed $35 million to UMS to accelerate talent development, research and innovation in </w:t>
      </w:r>
      <w:r w:rsidRPr="005425C0">
        <w:rPr>
          <w:rFonts w:ascii="Verdana" w:eastAsia="Times New Roman" w:hAnsi="Verdana" w:cs="Times New Roman"/>
          <w:color w:val="000000"/>
          <w:sz w:val="18"/>
          <w:szCs w:val="18"/>
        </w:rPr>
        <w:lastRenderedPageBreak/>
        <w:t>support of the state’s economic recovery and its long-term economic growth and global competitiveness. This plan will help to fund new programs and infrastructure, bringing new jobs to several industries.</w:t>
      </w:r>
    </w:p>
    <w:p w14:paraId="591CEC4B" w14:textId="77777777" w:rsidR="006E44D1" w:rsidRPr="005425C0" w:rsidRDefault="006E44D1" w:rsidP="006E44D1">
      <w:pPr>
        <w:spacing w:after="200"/>
        <w:rPr>
          <w:rFonts w:ascii="Times New Roman" w:eastAsia="Times New Roman" w:hAnsi="Times New Roman" w:cs="Times New Roman"/>
          <w:sz w:val="24"/>
          <w:szCs w:val="24"/>
        </w:rPr>
      </w:pPr>
      <w:r w:rsidRPr="005425C0">
        <w:rPr>
          <w:rFonts w:ascii="Verdana" w:eastAsia="Times New Roman" w:hAnsi="Verdana" w:cs="Times New Roman"/>
          <w:color w:val="000000"/>
          <w:sz w:val="18"/>
          <w:szCs w:val="18"/>
        </w:rPr>
        <w:t>With more than 50 percent of UMS’s physical plant constructed or last renovated more than 50 years ago, the System is working on strategic capital infrastructure improvements and planning for more. Greater investment in our facilities and innovative partnerships are part of our plan.</w:t>
      </w:r>
    </w:p>
    <w:p w14:paraId="45A1F0AF" w14:textId="77777777" w:rsidR="006E44D1" w:rsidRPr="005425C0" w:rsidRDefault="006E44D1" w:rsidP="006E44D1">
      <w:pPr>
        <w:spacing w:after="200"/>
        <w:rPr>
          <w:rFonts w:ascii="Times New Roman" w:eastAsia="Times New Roman" w:hAnsi="Times New Roman" w:cs="Times New Roman"/>
          <w:sz w:val="24"/>
          <w:szCs w:val="24"/>
        </w:rPr>
      </w:pPr>
      <w:r w:rsidRPr="005425C0">
        <w:rPr>
          <w:rFonts w:ascii="Verdana" w:eastAsia="Times New Roman" w:hAnsi="Verdana" w:cs="Times New Roman"/>
          <w:color w:val="000000"/>
          <w:sz w:val="18"/>
          <w:szCs w:val="18"/>
        </w:rPr>
        <w:t>This June Trustees approved a FY22 budget that — for the seventh time in 10 years — holds in-state tuition rates flat for Maine students.  Holding the line on tuition cannot be the expectation every year, but our stewardship of university resources will always include an obligation to keep the costs of a public higher education in Maine within the reach of Maine families.</w:t>
      </w:r>
    </w:p>
    <w:p w14:paraId="49934764" w14:textId="1044FC20" w:rsidR="00560E55" w:rsidRDefault="006E44D1" w:rsidP="00107590">
      <w:r w:rsidRPr="005425C0">
        <w:rPr>
          <w:rFonts w:ascii="Verdana" w:eastAsia="Times New Roman" w:hAnsi="Verdana" w:cs="Times New Roman"/>
          <w:color w:val="000000"/>
          <w:sz w:val="18"/>
          <w:szCs w:val="18"/>
        </w:rPr>
        <w:t>Thank you, again, for your interest in and support of our work.</w:t>
      </w:r>
    </w:p>
    <w:p w14:paraId="593110F7" w14:textId="6503BF6D" w:rsidR="00775AD5" w:rsidRDefault="00775AD5" w:rsidP="00335B8F">
      <w:pPr>
        <w:ind w:right="1900"/>
        <w:rPr>
          <w:sz w:val="20"/>
          <w:szCs w:val="20"/>
        </w:rPr>
      </w:pPr>
    </w:p>
    <w:p w14:paraId="4A64B164" w14:textId="77777777" w:rsidR="00775AD5" w:rsidRDefault="00775AD5" w:rsidP="00335B8F">
      <w:pPr>
        <w:ind w:right="1900"/>
      </w:pPr>
      <w:r>
        <w:rPr>
          <w:noProof/>
        </w:rPr>
        <w:drawing>
          <wp:inline distT="114300" distB="114300" distL="114300" distR="114300" wp14:anchorId="23A33167" wp14:editId="4E1AA097">
            <wp:extent cx="1347788" cy="620891"/>
            <wp:effectExtent l="0" t="0" r="5080" b="8255"/>
            <wp:docPr id="1" name="image2.jpg" descr="Chancellor's signature"/>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1347788" cy="620891"/>
                    </a:xfrm>
                    <a:prstGeom prst="rect">
                      <a:avLst/>
                    </a:prstGeom>
                    <a:ln/>
                  </pic:spPr>
                </pic:pic>
              </a:graphicData>
            </a:graphic>
          </wp:inline>
        </w:drawing>
      </w:r>
    </w:p>
    <w:p w14:paraId="13F6251E" w14:textId="77777777" w:rsidR="00775AD5" w:rsidRDefault="00775AD5" w:rsidP="00335B8F">
      <w:pPr>
        <w:ind w:right="1900"/>
        <w:rPr>
          <w:sz w:val="20"/>
          <w:szCs w:val="20"/>
        </w:rPr>
      </w:pPr>
      <w:proofErr w:type="spellStart"/>
      <w:r>
        <w:rPr>
          <w:sz w:val="20"/>
          <w:szCs w:val="20"/>
        </w:rPr>
        <w:t>Dannel</w:t>
      </w:r>
      <w:proofErr w:type="spellEnd"/>
      <w:r>
        <w:rPr>
          <w:sz w:val="20"/>
          <w:szCs w:val="20"/>
        </w:rPr>
        <w:t xml:space="preserve"> P. Malloy</w:t>
      </w:r>
    </w:p>
    <w:p w14:paraId="4E6FD0C7" w14:textId="535158CC" w:rsidR="006D24BC" w:rsidRPr="00306DAA" w:rsidRDefault="00775AD5" w:rsidP="00335B8F">
      <w:pPr>
        <w:ind w:right="1900"/>
        <w:rPr>
          <w:sz w:val="20"/>
          <w:szCs w:val="20"/>
        </w:rPr>
      </w:pPr>
      <w:r>
        <w:rPr>
          <w:sz w:val="20"/>
          <w:szCs w:val="20"/>
        </w:rPr>
        <w:t>Chancellor</w:t>
      </w:r>
      <w:r w:rsidR="006D24BC">
        <w:br w:type="page"/>
      </w:r>
    </w:p>
    <w:p w14:paraId="32A93278" w14:textId="30FC0665" w:rsidR="006D24BC" w:rsidRPr="00865AC2" w:rsidRDefault="006D24BC" w:rsidP="007E3550">
      <w:pPr>
        <w:keepNext/>
        <w:suppressAutoHyphens/>
        <w:outlineLvl w:val="0"/>
        <w:rPr>
          <w:rFonts w:ascii="Calibri" w:eastAsia="Times New Roman" w:hAnsi="Calibri" w:cs="Times New Roman"/>
          <w:b/>
          <w:i/>
          <w:caps/>
          <w:color w:val="000000"/>
          <w:spacing w:val="-3"/>
          <w:sz w:val="28"/>
          <w:szCs w:val="28"/>
        </w:rPr>
      </w:pPr>
      <w:bookmarkStart w:id="1" w:name="_Toc19608370"/>
      <w:r w:rsidRPr="00865AC2">
        <w:rPr>
          <w:rFonts w:ascii="Calibri" w:eastAsia="Times New Roman" w:hAnsi="Calibri" w:cs="Times New Roman"/>
          <w:b/>
          <w:i/>
          <w:caps/>
          <w:color w:val="000000"/>
          <w:spacing w:val="-3"/>
          <w:sz w:val="28"/>
          <w:szCs w:val="28"/>
        </w:rPr>
        <w:lastRenderedPageBreak/>
        <w:t>UNIVERSITY OF MAINE SYSTEM</w:t>
      </w:r>
      <w:bookmarkEnd w:id="1"/>
    </w:p>
    <w:p w14:paraId="2001E6B5" w14:textId="3736AE99" w:rsidR="006D24BC" w:rsidRPr="007E3550" w:rsidRDefault="006D24BC" w:rsidP="007E3550">
      <w:pPr>
        <w:pStyle w:val="AFR2"/>
        <w:pBdr>
          <w:bottom w:val="none" w:sz="0" w:space="0" w:color="auto"/>
        </w:pBdr>
        <w:spacing w:before="0" w:after="0"/>
        <w:rPr>
          <w:rFonts w:eastAsia="Times New Roman"/>
          <w:b w:val="0"/>
          <w:i w:val="0"/>
          <w:sz w:val="28"/>
        </w:rPr>
      </w:pPr>
      <w:bookmarkStart w:id="2" w:name="_Toc19608371"/>
      <w:r w:rsidRPr="007E3550">
        <w:rPr>
          <w:rFonts w:eastAsia="Times New Roman"/>
          <w:sz w:val="28"/>
        </w:rPr>
        <w:t>BOARD OF TRUSTEES AND MANAGEMENT</w:t>
      </w:r>
      <w:bookmarkEnd w:id="2"/>
    </w:p>
    <w:p w14:paraId="03FC81AD" w14:textId="335E2631" w:rsidR="006D24BC" w:rsidRPr="007E3550" w:rsidRDefault="006D24BC" w:rsidP="003339A9">
      <w:pPr>
        <w:pStyle w:val="AFR1"/>
        <w:rPr>
          <w:sz w:val="28"/>
        </w:rPr>
      </w:pPr>
      <w:bookmarkStart w:id="3" w:name="_Toc19608372"/>
      <w:r w:rsidRPr="007E3550">
        <w:rPr>
          <w:sz w:val="28"/>
          <w:szCs w:val="28"/>
        </w:rPr>
        <w:t>AS OF JUNE 30, 20</w:t>
      </w:r>
      <w:bookmarkEnd w:id="3"/>
      <w:r w:rsidR="00865AC2" w:rsidRPr="007E3550">
        <w:rPr>
          <w:sz w:val="28"/>
          <w:szCs w:val="28"/>
        </w:rPr>
        <w:t>2</w:t>
      </w:r>
      <w:r w:rsidR="00183016">
        <w:rPr>
          <w:sz w:val="28"/>
          <w:szCs w:val="28"/>
        </w:rPr>
        <w:t>1</w:t>
      </w:r>
    </w:p>
    <w:p w14:paraId="14B1BD21" w14:textId="77777777" w:rsidR="005B243A" w:rsidRPr="00AB71D9" w:rsidRDefault="005B243A" w:rsidP="00AB71D9">
      <w:pPr>
        <w:pBdr>
          <w:bottom w:val="single" w:sz="8" w:space="1" w:color="5B9BD5"/>
        </w:pBdr>
        <w:rPr>
          <w:rFonts w:ascii="Calibri" w:eastAsia="Times New Roman" w:hAnsi="Calibri" w:cs="Calibri"/>
          <w:b/>
          <w:i/>
          <w:sz w:val="2"/>
          <w:szCs w:val="30"/>
        </w:rPr>
        <w:sectPr w:rsidR="005B243A" w:rsidRPr="00AB71D9" w:rsidSect="00335B8F">
          <w:headerReference w:type="default" r:id="rId16"/>
          <w:footerReference w:type="default" r:id="rId17"/>
          <w:headerReference w:type="first" r:id="rId18"/>
          <w:footerReference w:type="first" r:id="rId19"/>
          <w:type w:val="continuous"/>
          <w:pgSz w:w="12240" w:h="15840" w:code="1"/>
          <w:pgMar w:top="1440" w:right="1440" w:bottom="1440" w:left="1440" w:header="720" w:footer="720" w:gutter="0"/>
          <w:cols w:space="0"/>
          <w:titlePg/>
          <w:docGrid w:linePitch="360"/>
        </w:sectPr>
      </w:pPr>
    </w:p>
    <w:p w14:paraId="44598822" w14:textId="7A07B4D8" w:rsidR="003924D9" w:rsidRPr="00D97C5A" w:rsidRDefault="003924D9" w:rsidP="00D97C5A">
      <w:pPr>
        <w:pStyle w:val="Heading1"/>
      </w:pPr>
      <w:r w:rsidRPr="00D97C5A">
        <w:t>BOARD OF TRUSTEES:</w:t>
      </w:r>
    </w:p>
    <w:p w14:paraId="39C85D30" w14:textId="77777777"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 xml:space="preserve">Sven P. Bartholomew </w:t>
      </w:r>
    </w:p>
    <w:p w14:paraId="56ABD64C" w14:textId="77777777"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Emily A. Cain</w:t>
      </w:r>
    </w:p>
    <w:p w14:paraId="194915FA" w14:textId="77777777"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 xml:space="preserve">Timothy L. </w:t>
      </w:r>
      <w:proofErr w:type="spellStart"/>
      <w:r w:rsidRPr="00376D9E">
        <w:rPr>
          <w:rFonts w:ascii="Calibri" w:eastAsia="Calibri" w:hAnsi="Calibri" w:cs="Times New Roman"/>
        </w:rPr>
        <w:t>Doak</w:t>
      </w:r>
      <w:proofErr w:type="spellEnd"/>
    </w:p>
    <w:p w14:paraId="23DCCEAB" w14:textId="77777777"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 xml:space="preserve">Beth Dobson </w:t>
      </w:r>
    </w:p>
    <w:p w14:paraId="68F14E76" w14:textId="77777777"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 xml:space="preserve">James O. Donnelly, </w:t>
      </w:r>
      <w:r w:rsidRPr="00AB71D9">
        <w:rPr>
          <w:rFonts w:ascii="Calibri" w:eastAsia="Calibri" w:hAnsi="Calibri" w:cs="Times New Roman"/>
          <w:i/>
        </w:rPr>
        <w:t>Vice Chair</w:t>
      </w:r>
    </w:p>
    <w:p w14:paraId="0C5BE4A1" w14:textId="77777777"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Lisa Marchese Eames</w:t>
      </w:r>
    </w:p>
    <w:p w14:paraId="3C5EAD36" w14:textId="77777777"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James R. Erwin</w:t>
      </w:r>
    </w:p>
    <w:p w14:paraId="1727B75A" w14:textId="7383200D"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 xml:space="preserve">Mark R. Gardner, </w:t>
      </w:r>
      <w:r w:rsidRPr="00AB71D9">
        <w:rPr>
          <w:rFonts w:ascii="Calibri" w:eastAsia="Calibri" w:hAnsi="Calibri" w:cs="Times New Roman"/>
          <w:i/>
        </w:rPr>
        <w:t>Chair</w:t>
      </w:r>
    </w:p>
    <w:p w14:paraId="69B1BD27" w14:textId="77777777"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Roger J. Katz</w:t>
      </w:r>
    </w:p>
    <w:p w14:paraId="62B2699E" w14:textId="77777777"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 xml:space="preserve">David M. </w:t>
      </w:r>
      <w:proofErr w:type="spellStart"/>
      <w:r w:rsidRPr="00376D9E">
        <w:rPr>
          <w:rFonts w:ascii="Calibri" w:eastAsia="Calibri" w:hAnsi="Calibri" w:cs="Times New Roman"/>
        </w:rPr>
        <w:t>MacMahon</w:t>
      </w:r>
      <w:proofErr w:type="spellEnd"/>
      <w:r w:rsidRPr="00376D9E">
        <w:rPr>
          <w:rFonts w:ascii="Calibri" w:eastAsia="Calibri" w:hAnsi="Calibri" w:cs="Times New Roman"/>
        </w:rPr>
        <w:t xml:space="preserve"> </w:t>
      </w:r>
    </w:p>
    <w:p w14:paraId="718AB42D" w14:textId="77777777"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Kelly A. Martin</w:t>
      </w:r>
    </w:p>
    <w:p w14:paraId="712F241F" w14:textId="77777777"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 xml:space="preserve">Michael H. Michaud </w:t>
      </w:r>
    </w:p>
    <w:p w14:paraId="3889AA2E" w14:textId="77777777"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Patricia (Trish) A. Riley</w:t>
      </w:r>
    </w:p>
    <w:p w14:paraId="1452765D" w14:textId="77777777" w:rsidR="003924D9" w:rsidRPr="00376D9E" w:rsidRDefault="003924D9" w:rsidP="003924D9">
      <w:pPr>
        <w:spacing w:line="259" w:lineRule="auto"/>
        <w:rPr>
          <w:rFonts w:ascii="Calibri" w:eastAsia="Calibri" w:hAnsi="Calibri" w:cs="Times New Roman"/>
        </w:rPr>
      </w:pPr>
      <w:r w:rsidRPr="00376D9E">
        <w:rPr>
          <w:rFonts w:ascii="Calibri" w:eastAsia="Calibri" w:hAnsi="Calibri" w:cs="Times New Roman"/>
        </w:rPr>
        <w:t xml:space="preserve">Margaret (Peggy) R. </w:t>
      </w:r>
      <w:proofErr w:type="spellStart"/>
      <w:r w:rsidRPr="00376D9E">
        <w:rPr>
          <w:rFonts w:ascii="Calibri" w:eastAsia="Calibri" w:hAnsi="Calibri" w:cs="Times New Roman"/>
        </w:rPr>
        <w:t>Rotundo</w:t>
      </w:r>
      <w:proofErr w:type="spellEnd"/>
    </w:p>
    <w:p w14:paraId="3A93847C" w14:textId="77777777" w:rsidR="003924D9" w:rsidRPr="003924D9" w:rsidRDefault="003924D9" w:rsidP="003924D9">
      <w:pPr>
        <w:spacing w:line="259" w:lineRule="auto"/>
        <w:rPr>
          <w:rFonts w:ascii="Calibri" w:eastAsia="Calibri" w:hAnsi="Calibri" w:cs="Times New Roman"/>
          <w:i/>
        </w:rPr>
      </w:pPr>
      <w:r w:rsidRPr="00376D9E">
        <w:rPr>
          <w:rFonts w:ascii="Calibri" w:eastAsia="Calibri" w:hAnsi="Calibri" w:cs="Times New Roman"/>
        </w:rPr>
        <w:t>A. Pender Makin</w:t>
      </w:r>
      <w:r w:rsidRPr="003924D9">
        <w:rPr>
          <w:rFonts w:ascii="Calibri" w:eastAsia="Calibri" w:hAnsi="Calibri" w:cs="Times New Roman"/>
        </w:rPr>
        <w:t xml:space="preserve">, </w:t>
      </w:r>
      <w:r w:rsidRPr="003924D9">
        <w:rPr>
          <w:rFonts w:ascii="Calibri" w:eastAsia="Calibri" w:hAnsi="Calibri" w:cs="Times New Roman"/>
          <w:i/>
        </w:rPr>
        <w:t>ex officio</w:t>
      </w:r>
    </w:p>
    <w:p w14:paraId="484E5373" w14:textId="77777777" w:rsidR="003924D9" w:rsidRPr="00AB71D9" w:rsidRDefault="003924D9" w:rsidP="00D97C5A">
      <w:pPr>
        <w:pStyle w:val="Heading1"/>
      </w:pPr>
      <w:r w:rsidRPr="00AB71D9">
        <w:t>CHANCELLOR:</w:t>
      </w:r>
    </w:p>
    <w:p w14:paraId="7FE44AC6" w14:textId="739A832B" w:rsidR="003924D9" w:rsidRPr="003924D9" w:rsidRDefault="003924D9" w:rsidP="003924D9">
      <w:pPr>
        <w:spacing w:line="259" w:lineRule="auto"/>
        <w:rPr>
          <w:rFonts w:ascii="Calibri" w:eastAsia="Calibri" w:hAnsi="Calibri" w:cs="Times New Roman"/>
        </w:rPr>
      </w:pPr>
      <w:proofErr w:type="spellStart"/>
      <w:r w:rsidRPr="00AB71D9">
        <w:rPr>
          <w:rFonts w:ascii="Calibri" w:eastAsia="Calibri" w:hAnsi="Calibri" w:cs="Times New Roman"/>
          <w:sz w:val="24"/>
        </w:rPr>
        <w:t>Dannel</w:t>
      </w:r>
      <w:proofErr w:type="spellEnd"/>
      <w:r w:rsidRPr="00AB71D9">
        <w:rPr>
          <w:rFonts w:ascii="Calibri" w:eastAsia="Calibri" w:hAnsi="Calibri" w:cs="Times New Roman"/>
          <w:sz w:val="24"/>
        </w:rPr>
        <w:t xml:space="preserve"> P. Malloy</w:t>
      </w:r>
    </w:p>
    <w:p w14:paraId="741592A0" w14:textId="41BB9E8B" w:rsidR="003924D9" w:rsidRPr="00AB71D9" w:rsidRDefault="003924D9" w:rsidP="00D97C5A">
      <w:pPr>
        <w:pStyle w:val="Heading1"/>
      </w:pPr>
      <w:r w:rsidRPr="00AB71D9">
        <w:t>UNIVERSITY PRESIDENTS</w:t>
      </w:r>
      <w:r w:rsidR="00D97C5A">
        <w:t xml:space="preserve"> /             </w:t>
      </w:r>
      <w:r w:rsidR="00F14060">
        <w:t xml:space="preserve">SCHOOL  of </w:t>
      </w:r>
      <w:r w:rsidR="00D97C5A">
        <w:t>LAW DEAN</w:t>
      </w:r>
      <w:r w:rsidR="00BA40E5">
        <w:t>:</w:t>
      </w:r>
    </w:p>
    <w:p w14:paraId="7AA6F856" w14:textId="77777777" w:rsidR="003924D9" w:rsidRPr="00AB71D9" w:rsidRDefault="003924D9" w:rsidP="003924D9">
      <w:pPr>
        <w:spacing w:line="259" w:lineRule="auto"/>
        <w:rPr>
          <w:rFonts w:ascii="Calibri" w:eastAsia="Calibri" w:hAnsi="Calibri" w:cs="Times New Roman"/>
          <w:b/>
        </w:rPr>
      </w:pPr>
      <w:r w:rsidRPr="00AB71D9">
        <w:rPr>
          <w:rFonts w:ascii="Calibri" w:eastAsia="Calibri" w:hAnsi="Calibri" w:cs="Times New Roman"/>
          <w:b/>
        </w:rPr>
        <w:t xml:space="preserve">Joan </w:t>
      </w:r>
      <w:proofErr w:type="spellStart"/>
      <w:r w:rsidRPr="00AB71D9">
        <w:rPr>
          <w:rFonts w:ascii="Calibri" w:eastAsia="Calibri" w:hAnsi="Calibri" w:cs="Times New Roman"/>
          <w:b/>
        </w:rPr>
        <w:t>Ferrini</w:t>
      </w:r>
      <w:proofErr w:type="spellEnd"/>
      <w:r w:rsidRPr="00AB71D9">
        <w:rPr>
          <w:rFonts w:ascii="Calibri" w:eastAsia="Calibri" w:hAnsi="Calibri" w:cs="Times New Roman"/>
          <w:b/>
        </w:rPr>
        <w:t>-Mundy</w:t>
      </w:r>
    </w:p>
    <w:p w14:paraId="7291F0F4" w14:textId="77777777" w:rsidR="003924D9" w:rsidRPr="003924D9" w:rsidRDefault="003924D9" w:rsidP="00D16693">
      <w:pPr>
        <w:spacing w:line="259" w:lineRule="auto"/>
        <w:rPr>
          <w:rFonts w:ascii="Calibri" w:eastAsia="Calibri" w:hAnsi="Calibri" w:cs="Times New Roman"/>
          <w:i/>
        </w:rPr>
      </w:pPr>
      <w:r w:rsidRPr="003924D9">
        <w:rPr>
          <w:rFonts w:ascii="Calibri" w:eastAsia="Calibri" w:hAnsi="Calibri" w:cs="Times New Roman"/>
          <w:i/>
        </w:rPr>
        <w:t xml:space="preserve">University of Maine and </w:t>
      </w:r>
    </w:p>
    <w:p w14:paraId="63D5A844" w14:textId="77777777" w:rsidR="003924D9" w:rsidRPr="003924D9" w:rsidRDefault="003924D9" w:rsidP="00D16693">
      <w:pPr>
        <w:spacing w:line="259" w:lineRule="auto"/>
        <w:rPr>
          <w:rFonts w:ascii="Calibri" w:eastAsia="Calibri" w:hAnsi="Calibri" w:cs="Times New Roman"/>
          <w:i/>
        </w:rPr>
      </w:pPr>
      <w:r w:rsidRPr="003924D9">
        <w:rPr>
          <w:rFonts w:ascii="Calibri" w:eastAsia="Calibri" w:hAnsi="Calibri" w:cs="Times New Roman"/>
          <w:i/>
        </w:rPr>
        <w:t>University of Maine at Machias</w:t>
      </w:r>
    </w:p>
    <w:p w14:paraId="16A51AA3" w14:textId="77777777" w:rsidR="003924D9" w:rsidRPr="00AB71D9" w:rsidRDefault="003924D9" w:rsidP="00D16693">
      <w:pPr>
        <w:spacing w:before="20" w:line="259" w:lineRule="auto"/>
        <w:rPr>
          <w:rFonts w:ascii="Calibri" w:eastAsia="Calibri" w:hAnsi="Calibri" w:cs="Times New Roman"/>
          <w:b/>
        </w:rPr>
      </w:pPr>
      <w:r w:rsidRPr="00AB71D9">
        <w:rPr>
          <w:rFonts w:ascii="Calibri" w:eastAsia="Calibri" w:hAnsi="Calibri" w:cs="Times New Roman"/>
          <w:b/>
        </w:rPr>
        <w:t>Rebecca M. Wyke</w:t>
      </w:r>
    </w:p>
    <w:p w14:paraId="56FBA233" w14:textId="77777777" w:rsidR="003924D9" w:rsidRPr="003924D9" w:rsidRDefault="003924D9" w:rsidP="00D16693">
      <w:pPr>
        <w:spacing w:line="259" w:lineRule="auto"/>
        <w:rPr>
          <w:rFonts w:ascii="Calibri" w:eastAsia="Calibri" w:hAnsi="Calibri" w:cs="Times New Roman"/>
        </w:rPr>
      </w:pPr>
      <w:r w:rsidRPr="00796CA3">
        <w:rPr>
          <w:rFonts w:ascii="Calibri" w:eastAsia="Calibri" w:hAnsi="Calibri" w:cs="Times New Roman"/>
          <w:i/>
        </w:rPr>
        <w:t>University of Maine at Augu</w:t>
      </w:r>
      <w:r w:rsidRPr="003924D9">
        <w:rPr>
          <w:rFonts w:ascii="Calibri" w:eastAsia="Calibri" w:hAnsi="Calibri" w:cs="Times New Roman"/>
        </w:rPr>
        <w:t>s</w:t>
      </w:r>
      <w:r w:rsidRPr="00796CA3">
        <w:rPr>
          <w:rFonts w:ascii="Calibri" w:eastAsia="Calibri" w:hAnsi="Calibri" w:cs="Times New Roman"/>
          <w:i/>
        </w:rPr>
        <w:t>ta</w:t>
      </w:r>
    </w:p>
    <w:p w14:paraId="0E8A6735" w14:textId="77777777" w:rsidR="003924D9" w:rsidRPr="00AB71D9" w:rsidRDefault="003924D9" w:rsidP="00D16693">
      <w:pPr>
        <w:spacing w:before="20" w:line="259" w:lineRule="auto"/>
        <w:rPr>
          <w:rFonts w:ascii="Calibri" w:eastAsia="Calibri" w:hAnsi="Calibri" w:cs="Times New Roman"/>
          <w:b/>
        </w:rPr>
      </w:pPr>
      <w:r w:rsidRPr="00AB71D9">
        <w:rPr>
          <w:rFonts w:ascii="Calibri" w:eastAsia="Calibri" w:hAnsi="Calibri" w:cs="Times New Roman"/>
          <w:b/>
        </w:rPr>
        <w:t>Edward A. Serna</w:t>
      </w:r>
    </w:p>
    <w:p w14:paraId="6EA60636" w14:textId="6EFFE75A" w:rsidR="003924D9" w:rsidRPr="003924D9" w:rsidRDefault="003924D9" w:rsidP="00D16693">
      <w:pPr>
        <w:spacing w:line="259" w:lineRule="auto"/>
        <w:rPr>
          <w:rFonts w:ascii="Calibri" w:eastAsia="Calibri" w:hAnsi="Calibri" w:cs="Times New Roman"/>
          <w:i/>
        </w:rPr>
      </w:pPr>
      <w:r w:rsidRPr="003924D9">
        <w:rPr>
          <w:rFonts w:ascii="Calibri" w:eastAsia="Calibri" w:hAnsi="Calibri" w:cs="Times New Roman"/>
          <w:i/>
        </w:rPr>
        <w:t xml:space="preserve">University </w:t>
      </w:r>
      <w:r w:rsidR="00743E0E">
        <w:rPr>
          <w:rFonts w:ascii="Calibri" w:eastAsia="Calibri" w:hAnsi="Calibri" w:cs="Times New Roman"/>
          <w:i/>
        </w:rPr>
        <w:t>o</w:t>
      </w:r>
      <w:r w:rsidRPr="003924D9">
        <w:rPr>
          <w:rFonts w:ascii="Calibri" w:eastAsia="Calibri" w:hAnsi="Calibri" w:cs="Times New Roman"/>
          <w:i/>
        </w:rPr>
        <w:t xml:space="preserve">f Maine </w:t>
      </w:r>
      <w:r w:rsidR="006D493F">
        <w:rPr>
          <w:rFonts w:ascii="Calibri" w:eastAsia="Calibri" w:hAnsi="Calibri" w:cs="Times New Roman"/>
          <w:i/>
        </w:rPr>
        <w:t>a</w:t>
      </w:r>
      <w:r w:rsidRPr="003924D9">
        <w:rPr>
          <w:rFonts w:ascii="Calibri" w:eastAsia="Calibri" w:hAnsi="Calibri" w:cs="Times New Roman"/>
          <w:i/>
        </w:rPr>
        <w:t>t Farmington</w:t>
      </w:r>
    </w:p>
    <w:p w14:paraId="72493B07" w14:textId="77777777" w:rsidR="003924D9" w:rsidRPr="00AB71D9" w:rsidRDefault="003924D9" w:rsidP="00D16693">
      <w:pPr>
        <w:spacing w:before="20" w:line="259" w:lineRule="auto"/>
        <w:rPr>
          <w:rFonts w:ascii="Calibri" w:eastAsia="Calibri" w:hAnsi="Calibri" w:cs="Times New Roman"/>
          <w:b/>
        </w:rPr>
      </w:pPr>
      <w:r w:rsidRPr="00AB71D9">
        <w:rPr>
          <w:rFonts w:ascii="Calibri" w:eastAsia="Calibri" w:hAnsi="Calibri" w:cs="Times New Roman"/>
          <w:b/>
        </w:rPr>
        <w:t xml:space="preserve">Deborah </w:t>
      </w:r>
      <w:proofErr w:type="spellStart"/>
      <w:r w:rsidRPr="00AB71D9">
        <w:rPr>
          <w:rFonts w:ascii="Calibri" w:eastAsia="Calibri" w:hAnsi="Calibri" w:cs="Times New Roman"/>
          <w:b/>
        </w:rPr>
        <w:t>Hedeen</w:t>
      </w:r>
      <w:proofErr w:type="spellEnd"/>
    </w:p>
    <w:p w14:paraId="7E6A6DA8" w14:textId="77777777" w:rsidR="003924D9" w:rsidRPr="003924D9" w:rsidRDefault="003924D9" w:rsidP="00D16693">
      <w:pPr>
        <w:spacing w:line="259" w:lineRule="auto"/>
        <w:rPr>
          <w:rFonts w:ascii="Calibri" w:eastAsia="Calibri" w:hAnsi="Calibri" w:cs="Times New Roman"/>
          <w:i/>
        </w:rPr>
      </w:pPr>
      <w:r w:rsidRPr="003924D9">
        <w:rPr>
          <w:rFonts w:ascii="Calibri" w:eastAsia="Calibri" w:hAnsi="Calibri" w:cs="Times New Roman"/>
          <w:i/>
        </w:rPr>
        <w:t>University of Maine at Fort Kent</w:t>
      </w:r>
    </w:p>
    <w:p w14:paraId="53FDB872" w14:textId="77777777" w:rsidR="003924D9" w:rsidRPr="003924D9" w:rsidRDefault="003924D9" w:rsidP="00D16693">
      <w:pPr>
        <w:spacing w:before="20" w:line="259" w:lineRule="auto"/>
        <w:rPr>
          <w:rFonts w:ascii="Calibri" w:eastAsia="Calibri" w:hAnsi="Calibri" w:cs="Times New Roman"/>
        </w:rPr>
      </w:pPr>
      <w:r w:rsidRPr="00AB71D9">
        <w:rPr>
          <w:rFonts w:ascii="Calibri" w:eastAsia="Calibri" w:hAnsi="Calibri" w:cs="Times New Roman"/>
          <w:b/>
        </w:rPr>
        <w:t>Raymond J. Rice</w:t>
      </w:r>
    </w:p>
    <w:p w14:paraId="4799D557" w14:textId="77777777" w:rsidR="003924D9" w:rsidRPr="003924D9" w:rsidRDefault="003924D9" w:rsidP="00D16693">
      <w:pPr>
        <w:spacing w:line="259" w:lineRule="auto"/>
        <w:rPr>
          <w:rFonts w:ascii="Calibri" w:eastAsia="Calibri" w:hAnsi="Calibri" w:cs="Times New Roman"/>
          <w:i/>
        </w:rPr>
      </w:pPr>
      <w:r w:rsidRPr="003924D9">
        <w:rPr>
          <w:rFonts w:ascii="Calibri" w:eastAsia="Calibri" w:hAnsi="Calibri" w:cs="Times New Roman"/>
          <w:i/>
        </w:rPr>
        <w:t>University of Maine at Presque Isle</w:t>
      </w:r>
    </w:p>
    <w:p w14:paraId="739A41F8" w14:textId="77777777" w:rsidR="003924D9" w:rsidRPr="00AB71D9" w:rsidRDefault="003924D9" w:rsidP="00D16693">
      <w:pPr>
        <w:spacing w:before="20" w:line="259" w:lineRule="auto"/>
        <w:rPr>
          <w:rFonts w:ascii="Calibri" w:eastAsia="Calibri" w:hAnsi="Calibri" w:cs="Times New Roman"/>
          <w:b/>
        </w:rPr>
      </w:pPr>
      <w:r w:rsidRPr="00AB71D9">
        <w:rPr>
          <w:rFonts w:ascii="Calibri" w:eastAsia="Calibri" w:hAnsi="Calibri" w:cs="Times New Roman"/>
          <w:b/>
        </w:rPr>
        <w:t>Glenn A. Cummings</w:t>
      </w:r>
    </w:p>
    <w:p w14:paraId="7032D7FF" w14:textId="0452BE37" w:rsidR="00D97C5A" w:rsidRDefault="003924D9" w:rsidP="00D16693">
      <w:pPr>
        <w:spacing w:line="259" w:lineRule="auto"/>
        <w:rPr>
          <w:rFonts w:ascii="Calibri" w:eastAsia="Calibri" w:hAnsi="Calibri" w:cs="Times New Roman"/>
          <w:i/>
        </w:rPr>
      </w:pPr>
      <w:r w:rsidRPr="003924D9">
        <w:rPr>
          <w:rFonts w:ascii="Calibri" w:eastAsia="Calibri" w:hAnsi="Calibri" w:cs="Times New Roman"/>
          <w:i/>
        </w:rPr>
        <w:t>University of Southern Ma</w:t>
      </w:r>
      <w:r w:rsidR="00D97C5A">
        <w:rPr>
          <w:rFonts w:ascii="Calibri" w:eastAsia="Calibri" w:hAnsi="Calibri" w:cs="Times New Roman"/>
          <w:i/>
        </w:rPr>
        <w:t>ine</w:t>
      </w:r>
    </w:p>
    <w:p w14:paraId="5ECA31FD" w14:textId="7190FD00" w:rsidR="00D97C5A" w:rsidRDefault="00D97C5A" w:rsidP="00D16693">
      <w:pPr>
        <w:spacing w:line="259" w:lineRule="auto"/>
        <w:rPr>
          <w:rFonts w:ascii="Calibri" w:eastAsia="Calibri" w:hAnsi="Calibri" w:cs="Times New Roman"/>
          <w:b/>
        </w:rPr>
      </w:pPr>
      <w:r w:rsidRPr="00CE3381">
        <w:rPr>
          <w:rFonts w:ascii="Calibri" w:eastAsia="Calibri" w:hAnsi="Calibri" w:cs="Times New Roman"/>
          <w:b/>
        </w:rPr>
        <w:t>Leigh I. Saufley</w:t>
      </w:r>
    </w:p>
    <w:p w14:paraId="6246EBD3" w14:textId="4C3B241A" w:rsidR="00D97C5A" w:rsidRPr="00D97C5A" w:rsidRDefault="00D97C5A" w:rsidP="00D16693">
      <w:pPr>
        <w:spacing w:line="259" w:lineRule="auto"/>
        <w:rPr>
          <w:rFonts w:ascii="Calibri" w:eastAsia="Calibri" w:hAnsi="Calibri" w:cs="Times New Roman"/>
          <w:i/>
        </w:rPr>
      </w:pPr>
      <w:r>
        <w:rPr>
          <w:rFonts w:ascii="Calibri" w:eastAsia="Calibri" w:hAnsi="Calibri" w:cs="Times New Roman"/>
          <w:i/>
        </w:rPr>
        <w:t>University of Maine School of Law</w:t>
      </w:r>
    </w:p>
    <w:p w14:paraId="415124BA" w14:textId="58D6B118" w:rsidR="003924D9" w:rsidRPr="00CE3381" w:rsidRDefault="003924D9" w:rsidP="00AB71D9">
      <w:pPr>
        <w:pBdr>
          <w:bottom w:val="single" w:sz="8" w:space="1" w:color="008C8D"/>
        </w:pBdr>
        <w:spacing w:line="259" w:lineRule="auto"/>
        <w:rPr>
          <w:rStyle w:val="Heading1Char"/>
          <w:rFonts w:eastAsia="Calibri" w:cs="Times New Roman"/>
          <w:b w:val="0"/>
          <w:smallCaps w:val="0"/>
          <w:noProof w:val="0"/>
          <w:color w:val="auto"/>
          <w:spacing w:val="0"/>
          <w14:textOutline w14:w="0" w14:cap="rnd" w14:cmpd="sng" w14:algn="ctr">
            <w14:noFill/>
            <w14:prstDash w14:val="solid"/>
            <w14:bevel/>
          </w14:textOutline>
        </w:rPr>
      </w:pPr>
      <w:r w:rsidRPr="003924D9">
        <w:rPr>
          <w:rFonts w:ascii="Calibri" w:eastAsia="Calibri" w:hAnsi="Calibri" w:cs="Times New Roman"/>
          <w:i/>
        </w:rPr>
        <w:br w:type="column"/>
      </w:r>
      <w:r w:rsidRPr="00CE3381">
        <w:rPr>
          <w:rStyle w:val="Heading1Char"/>
        </w:rPr>
        <w:t>MANAGEMENT SUPPORT TO THE CHANCELLOR AND BOARD OF TRUSTEES:</w:t>
      </w:r>
    </w:p>
    <w:p w14:paraId="61F23AB0" w14:textId="363CDBDE" w:rsidR="00D97C5A" w:rsidRDefault="00D97C5A" w:rsidP="003924D9">
      <w:pPr>
        <w:spacing w:line="259" w:lineRule="auto"/>
        <w:rPr>
          <w:rFonts w:ascii="Calibri" w:eastAsia="Calibri" w:hAnsi="Calibri" w:cs="Times New Roman"/>
          <w:b/>
        </w:rPr>
      </w:pPr>
      <w:r>
        <w:rPr>
          <w:rFonts w:ascii="Calibri" w:eastAsia="Calibri" w:hAnsi="Calibri" w:cs="Times New Roman"/>
          <w:b/>
        </w:rPr>
        <w:t>Carol Corcoran</w:t>
      </w:r>
    </w:p>
    <w:p w14:paraId="57CBAD43" w14:textId="02E40160" w:rsidR="00D97C5A" w:rsidRPr="00CE3381" w:rsidRDefault="00D97C5A" w:rsidP="003924D9">
      <w:pPr>
        <w:spacing w:line="259" w:lineRule="auto"/>
        <w:rPr>
          <w:rFonts w:ascii="Calibri" w:eastAsia="Calibri" w:hAnsi="Calibri" w:cs="Times New Roman"/>
          <w:i/>
        </w:rPr>
      </w:pPr>
      <w:r w:rsidRPr="00CE3381">
        <w:rPr>
          <w:rFonts w:ascii="Calibri" w:eastAsia="Calibri" w:hAnsi="Calibri" w:cs="Times New Roman"/>
          <w:i/>
        </w:rPr>
        <w:t>Chief Human Resources Officer</w:t>
      </w:r>
    </w:p>
    <w:p w14:paraId="60FAB9DA" w14:textId="555351FA" w:rsidR="003924D9" w:rsidRPr="00DF3676" w:rsidRDefault="003924D9" w:rsidP="003924D9">
      <w:pPr>
        <w:spacing w:line="259" w:lineRule="auto"/>
        <w:rPr>
          <w:rFonts w:ascii="Calibri" w:eastAsia="Calibri" w:hAnsi="Calibri" w:cs="Times New Roman"/>
          <w:b/>
        </w:rPr>
      </w:pPr>
      <w:r w:rsidRPr="00DF3676">
        <w:rPr>
          <w:rFonts w:ascii="Calibri" w:eastAsia="Calibri" w:hAnsi="Calibri" w:cs="Times New Roman"/>
          <w:b/>
        </w:rPr>
        <w:t xml:space="preserve">Daniel C. </w:t>
      </w:r>
      <w:proofErr w:type="spellStart"/>
      <w:r w:rsidRPr="00DF3676">
        <w:rPr>
          <w:rFonts w:ascii="Calibri" w:eastAsia="Calibri" w:hAnsi="Calibri" w:cs="Times New Roman"/>
          <w:b/>
        </w:rPr>
        <w:t>Demeritt</w:t>
      </w:r>
      <w:proofErr w:type="spellEnd"/>
    </w:p>
    <w:p w14:paraId="0DB8C893"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Senior Executive Director of Marketing and Communications</w:t>
      </w:r>
    </w:p>
    <w:p w14:paraId="04F363DB" w14:textId="77777777" w:rsidR="003924D9" w:rsidRPr="00DF3676" w:rsidRDefault="003924D9" w:rsidP="00AB71D9">
      <w:pPr>
        <w:spacing w:before="20" w:line="259" w:lineRule="auto"/>
        <w:rPr>
          <w:rFonts w:ascii="Calibri" w:eastAsia="Calibri" w:hAnsi="Calibri" w:cs="Times New Roman"/>
          <w:b/>
        </w:rPr>
      </w:pPr>
      <w:r w:rsidRPr="00DF3676">
        <w:rPr>
          <w:rFonts w:ascii="Calibri" w:eastAsia="Calibri" w:hAnsi="Calibri" w:cs="Times New Roman"/>
          <w:b/>
        </w:rPr>
        <w:t>David M. Demers</w:t>
      </w:r>
    </w:p>
    <w:p w14:paraId="084A81BC"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Chief Information Officer</w:t>
      </w:r>
    </w:p>
    <w:p w14:paraId="2D5FAD1D" w14:textId="77777777" w:rsidR="003924D9" w:rsidRPr="00DF3676" w:rsidRDefault="003924D9" w:rsidP="00AB71D9">
      <w:pPr>
        <w:spacing w:before="20" w:line="259" w:lineRule="auto"/>
        <w:rPr>
          <w:rFonts w:ascii="Calibri" w:eastAsia="Calibri" w:hAnsi="Calibri" w:cs="Times New Roman"/>
          <w:b/>
        </w:rPr>
      </w:pPr>
      <w:r w:rsidRPr="00DF3676">
        <w:rPr>
          <w:rFonts w:ascii="Calibri" w:eastAsia="Calibri" w:hAnsi="Calibri" w:cs="Times New Roman"/>
          <w:b/>
        </w:rPr>
        <w:t>Carolyn Dorsey</w:t>
      </w:r>
    </w:p>
    <w:p w14:paraId="4A8104A1"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Associate Vice Chancellor for Academic Affairs</w:t>
      </w:r>
    </w:p>
    <w:p w14:paraId="529B7F2F" w14:textId="77777777" w:rsidR="003924D9" w:rsidRPr="00DF3676" w:rsidRDefault="003924D9" w:rsidP="00AB71D9">
      <w:pPr>
        <w:spacing w:before="20" w:line="259" w:lineRule="auto"/>
        <w:rPr>
          <w:rFonts w:ascii="Calibri" w:eastAsia="Calibri" w:hAnsi="Calibri" w:cs="Times New Roman"/>
          <w:b/>
        </w:rPr>
      </w:pPr>
      <w:r w:rsidRPr="00DF3676">
        <w:rPr>
          <w:rFonts w:ascii="Calibri" w:eastAsia="Calibri" w:hAnsi="Calibri" w:cs="Times New Roman"/>
          <w:b/>
        </w:rPr>
        <w:t>Ellen N. Doughty</w:t>
      </w:r>
    </w:p>
    <w:p w14:paraId="326B2117"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Clerk of the Board</w:t>
      </w:r>
    </w:p>
    <w:p w14:paraId="52E1423A" w14:textId="77777777" w:rsidR="003924D9" w:rsidRPr="00DF3676" w:rsidRDefault="003924D9" w:rsidP="00AB71D9">
      <w:pPr>
        <w:spacing w:before="20" w:line="259" w:lineRule="auto"/>
        <w:rPr>
          <w:rFonts w:ascii="Calibri" w:eastAsia="Calibri" w:hAnsi="Calibri" w:cs="Times New Roman"/>
          <w:b/>
        </w:rPr>
      </w:pPr>
      <w:r w:rsidRPr="00DF3676">
        <w:rPr>
          <w:rFonts w:ascii="Calibri" w:eastAsia="Calibri" w:hAnsi="Calibri" w:cs="Times New Roman"/>
          <w:b/>
        </w:rPr>
        <w:t>Tracy E. Elliott</w:t>
      </w:r>
    </w:p>
    <w:p w14:paraId="26B680DD"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Vice President of Finance and Controller</w:t>
      </w:r>
    </w:p>
    <w:p w14:paraId="427A774D" w14:textId="77777777" w:rsidR="003924D9" w:rsidRPr="00DF3676" w:rsidRDefault="003924D9" w:rsidP="00AB71D9">
      <w:pPr>
        <w:spacing w:before="20" w:line="259" w:lineRule="auto"/>
        <w:rPr>
          <w:rFonts w:ascii="Calibri" w:eastAsia="Calibri" w:hAnsi="Calibri" w:cs="Times New Roman"/>
          <w:b/>
        </w:rPr>
      </w:pPr>
      <w:r w:rsidRPr="00DF3676">
        <w:rPr>
          <w:rFonts w:ascii="Calibri" w:eastAsia="Calibri" w:hAnsi="Calibri" w:cs="Times New Roman"/>
          <w:b/>
        </w:rPr>
        <w:t xml:space="preserve">Joan </w:t>
      </w:r>
      <w:proofErr w:type="spellStart"/>
      <w:r w:rsidRPr="00DF3676">
        <w:rPr>
          <w:rFonts w:ascii="Calibri" w:eastAsia="Calibri" w:hAnsi="Calibri" w:cs="Times New Roman"/>
          <w:b/>
        </w:rPr>
        <w:t>Ferrini</w:t>
      </w:r>
      <w:proofErr w:type="spellEnd"/>
      <w:r w:rsidRPr="00DF3676">
        <w:rPr>
          <w:rFonts w:ascii="Calibri" w:eastAsia="Calibri" w:hAnsi="Calibri" w:cs="Times New Roman"/>
          <w:b/>
        </w:rPr>
        <w:t>-Mundy</w:t>
      </w:r>
    </w:p>
    <w:p w14:paraId="6F3F96B8"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Vice Chancellor for Research and Innovation</w:t>
      </w:r>
    </w:p>
    <w:p w14:paraId="7585F133" w14:textId="77777777" w:rsidR="003924D9" w:rsidRPr="00DF3676" w:rsidRDefault="003924D9" w:rsidP="00AB71D9">
      <w:pPr>
        <w:spacing w:before="20" w:line="259" w:lineRule="auto"/>
        <w:rPr>
          <w:rFonts w:ascii="Calibri" w:eastAsia="Calibri" w:hAnsi="Calibri" w:cs="Times New Roman"/>
          <w:b/>
        </w:rPr>
      </w:pPr>
      <w:r w:rsidRPr="00DF3676">
        <w:rPr>
          <w:rFonts w:ascii="Calibri" w:eastAsia="Calibri" w:hAnsi="Calibri" w:cs="Times New Roman"/>
          <w:b/>
        </w:rPr>
        <w:t>MF Chip Gavin</w:t>
      </w:r>
    </w:p>
    <w:p w14:paraId="2E832225"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Chief Facilities Management and General Services Officer</w:t>
      </w:r>
    </w:p>
    <w:p w14:paraId="77C1BF94" w14:textId="77777777" w:rsidR="003924D9" w:rsidRPr="00DF3676" w:rsidRDefault="003924D9" w:rsidP="00AB71D9">
      <w:pPr>
        <w:spacing w:before="20" w:line="259" w:lineRule="auto"/>
        <w:rPr>
          <w:rFonts w:ascii="Calibri" w:eastAsia="Calibri" w:hAnsi="Calibri" w:cs="Times New Roman"/>
          <w:b/>
        </w:rPr>
      </w:pPr>
      <w:r w:rsidRPr="00DF3676">
        <w:rPr>
          <w:rFonts w:ascii="Calibri" w:eastAsia="Calibri" w:hAnsi="Calibri" w:cs="Times New Roman"/>
          <w:b/>
        </w:rPr>
        <w:t xml:space="preserve">Laurel </w:t>
      </w:r>
      <w:proofErr w:type="spellStart"/>
      <w:r w:rsidRPr="00DF3676">
        <w:rPr>
          <w:rFonts w:ascii="Calibri" w:eastAsia="Calibri" w:hAnsi="Calibri" w:cs="Times New Roman"/>
          <w:b/>
        </w:rPr>
        <w:t>Hyle</w:t>
      </w:r>
      <w:proofErr w:type="spellEnd"/>
    </w:p>
    <w:p w14:paraId="5EDF7E4F"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Deputy General Counsel and Chief Compliance Officer</w:t>
      </w:r>
    </w:p>
    <w:p w14:paraId="3EFD8C1E" w14:textId="77777777" w:rsidR="003924D9" w:rsidRPr="00DF3676" w:rsidRDefault="003924D9" w:rsidP="00AB71D9">
      <w:pPr>
        <w:spacing w:before="20" w:line="259" w:lineRule="auto"/>
        <w:rPr>
          <w:rFonts w:ascii="Calibri" w:eastAsia="Calibri" w:hAnsi="Calibri" w:cs="Times New Roman"/>
          <w:b/>
        </w:rPr>
      </w:pPr>
      <w:r w:rsidRPr="00DF3676">
        <w:rPr>
          <w:rFonts w:ascii="Calibri" w:eastAsia="Calibri" w:hAnsi="Calibri" w:cs="Times New Roman"/>
          <w:b/>
        </w:rPr>
        <w:t>Kim-Marie Jenkins</w:t>
      </w:r>
    </w:p>
    <w:p w14:paraId="1FF53890"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Director of Organizational Effectiveness</w:t>
      </w:r>
    </w:p>
    <w:p w14:paraId="1D87A1BD" w14:textId="77777777" w:rsidR="003924D9" w:rsidRPr="00DF3676" w:rsidRDefault="003924D9" w:rsidP="00AB71D9">
      <w:pPr>
        <w:spacing w:before="20" w:line="259" w:lineRule="auto"/>
        <w:rPr>
          <w:rFonts w:ascii="Calibri" w:eastAsia="Calibri" w:hAnsi="Calibri" w:cs="Times New Roman"/>
          <w:b/>
        </w:rPr>
      </w:pPr>
      <w:r w:rsidRPr="00DF3676">
        <w:rPr>
          <w:rFonts w:ascii="Calibri" w:eastAsia="Calibri" w:hAnsi="Calibri" w:cs="Times New Roman"/>
          <w:b/>
        </w:rPr>
        <w:t>Ryan W. Low</w:t>
      </w:r>
    </w:p>
    <w:p w14:paraId="775496B0"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 xml:space="preserve">Vice Chancellor for Finance and Administration and Treasurer </w:t>
      </w:r>
    </w:p>
    <w:p w14:paraId="0325E5A3" w14:textId="77777777" w:rsidR="003924D9" w:rsidRPr="00DF3676" w:rsidRDefault="003924D9" w:rsidP="00AB71D9">
      <w:pPr>
        <w:spacing w:before="20" w:line="259" w:lineRule="auto"/>
        <w:rPr>
          <w:rFonts w:ascii="Calibri" w:eastAsia="Calibri" w:hAnsi="Calibri" w:cs="Times New Roman"/>
          <w:b/>
        </w:rPr>
      </w:pPr>
      <w:r w:rsidRPr="00DF3676">
        <w:rPr>
          <w:rFonts w:ascii="Calibri" w:eastAsia="Calibri" w:hAnsi="Calibri" w:cs="Times New Roman"/>
          <w:b/>
        </w:rPr>
        <w:t>Robert B. Placido</w:t>
      </w:r>
    </w:p>
    <w:p w14:paraId="5FE74FE4"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Vice Chancellor for Academic Affairs</w:t>
      </w:r>
    </w:p>
    <w:p w14:paraId="47F0C814" w14:textId="77777777" w:rsidR="003924D9" w:rsidRPr="00DF3676" w:rsidRDefault="003924D9" w:rsidP="00FC007E">
      <w:pPr>
        <w:spacing w:before="20" w:line="259" w:lineRule="auto"/>
        <w:rPr>
          <w:rFonts w:ascii="Calibri" w:eastAsia="Calibri" w:hAnsi="Calibri" w:cs="Times New Roman"/>
          <w:b/>
        </w:rPr>
      </w:pPr>
      <w:r w:rsidRPr="00DF3676">
        <w:rPr>
          <w:rFonts w:ascii="Calibri" w:eastAsia="Calibri" w:hAnsi="Calibri" w:cs="Times New Roman"/>
          <w:b/>
        </w:rPr>
        <w:t xml:space="preserve">Rosa S. </w:t>
      </w:r>
      <w:proofErr w:type="spellStart"/>
      <w:r w:rsidRPr="00DF3676">
        <w:rPr>
          <w:rFonts w:ascii="Calibri" w:eastAsia="Calibri" w:hAnsi="Calibri" w:cs="Times New Roman"/>
          <w:b/>
        </w:rPr>
        <w:t>Redonnett</w:t>
      </w:r>
      <w:proofErr w:type="spellEnd"/>
    </w:p>
    <w:p w14:paraId="7B388778"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Associate Vice Chancellor for Student Success and Credential Attainment</w:t>
      </w:r>
    </w:p>
    <w:p w14:paraId="42B20F7D" w14:textId="77777777" w:rsidR="003924D9" w:rsidRPr="00DF3676" w:rsidRDefault="003924D9" w:rsidP="00FC007E">
      <w:pPr>
        <w:spacing w:before="20" w:line="259" w:lineRule="auto"/>
        <w:rPr>
          <w:rFonts w:ascii="Calibri" w:eastAsia="Calibri" w:hAnsi="Calibri" w:cs="Times New Roman"/>
          <w:b/>
        </w:rPr>
      </w:pPr>
      <w:r w:rsidRPr="00DF3676">
        <w:rPr>
          <w:rFonts w:ascii="Calibri" w:eastAsia="Calibri" w:hAnsi="Calibri" w:cs="Times New Roman"/>
          <w:b/>
        </w:rPr>
        <w:t>Jeffrey St. John</w:t>
      </w:r>
    </w:p>
    <w:p w14:paraId="440902DB"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Associate Chancellor for Accreditation and Strategic Initiatives</w:t>
      </w:r>
    </w:p>
    <w:p w14:paraId="1815D641" w14:textId="77777777" w:rsidR="003924D9" w:rsidRPr="00DF3676" w:rsidRDefault="003924D9" w:rsidP="00FC007E">
      <w:pPr>
        <w:spacing w:before="20" w:line="259" w:lineRule="auto"/>
        <w:rPr>
          <w:rFonts w:ascii="Calibri" w:eastAsia="Calibri" w:hAnsi="Calibri" w:cs="Times New Roman"/>
          <w:b/>
        </w:rPr>
      </w:pPr>
      <w:r w:rsidRPr="00DF3676">
        <w:rPr>
          <w:rFonts w:ascii="Calibri" w:eastAsia="Calibri" w:hAnsi="Calibri" w:cs="Times New Roman"/>
          <w:b/>
        </w:rPr>
        <w:t xml:space="preserve">James B. </w:t>
      </w:r>
      <w:proofErr w:type="spellStart"/>
      <w:r w:rsidRPr="00DF3676">
        <w:rPr>
          <w:rFonts w:ascii="Calibri" w:eastAsia="Calibri" w:hAnsi="Calibri" w:cs="Times New Roman"/>
          <w:b/>
        </w:rPr>
        <w:t>Thelen</w:t>
      </w:r>
      <w:proofErr w:type="spellEnd"/>
    </w:p>
    <w:p w14:paraId="18C93862"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Vice Chancellor for Strategic Initiatives and Chief Legal Officer</w:t>
      </w:r>
    </w:p>
    <w:p w14:paraId="7A84C6FD" w14:textId="77777777" w:rsidR="003924D9" w:rsidRPr="00DF3676" w:rsidRDefault="003924D9" w:rsidP="00FC007E">
      <w:pPr>
        <w:spacing w:before="20" w:line="259" w:lineRule="auto"/>
        <w:rPr>
          <w:rFonts w:ascii="Calibri" w:eastAsia="Calibri" w:hAnsi="Calibri" w:cs="Times New Roman"/>
          <w:b/>
        </w:rPr>
      </w:pPr>
      <w:r w:rsidRPr="00DF3676">
        <w:rPr>
          <w:rFonts w:ascii="Calibri" w:eastAsia="Calibri" w:hAnsi="Calibri" w:cs="Times New Roman"/>
          <w:b/>
        </w:rPr>
        <w:t>Samantha C. Warren</w:t>
      </w:r>
    </w:p>
    <w:p w14:paraId="52D2CB60" w14:textId="77777777" w:rsidR="003924D9" w:rsidRPr="003924D9" w:rsidRDefault="003924D9" w:rsidP="003924D9">
      <w:pPr>
        <w:spacing w:line="259" w:lineRule="auto"/>
        <w:rPr>
          <w:rFonts w:ascii="Calibri" w:eastAsia="Calibri" w:hAnsi="Calibri" w:cs="Times New Roman"/>
          <w:i/>
        </w:rPr>
      </w:pPr>
      <w:r w:rsidRPr="003924D9">
        <w:rPr>
          <w:rFonts w:ascii="Calibri" w:eastAsia="Calibri" w:hAnsi="Calibri" w:cs="Times New Roman"/>
          <w:i/>
        </w:rPr>
        <w:t>Director of Government and Community Relations</w:t>
      </w:r>
    </w:p>
    <w:p w14:paraId="7BD0F844" w14:textId="77777777" w:rsidR="003924D9" w:rsidRPr="00DF3676" w:rsidRDefault="003924D9" w:rsidP="00FC007E">
      <w:pPr>
        <w:spacing w:before="20" w:line="259" w:lineRule="auto"/>
        <w:rPr>
          <w:rFonts w:ascii="Calibri" w:eastAsia="Calibri" w:hAnsi="Calibri" w:cs="Times New Roman"/>
          <w:b/>
        </w:rPr>
      </w:pPr>
      <w:r w:rsidRPr="00DF3676">
        <w:rPr>
          <w:rFonts w:ascii="Calibri" w:eastAsia="Calibri" w:hAnsi="Calibri" w:cs="Times New Roman"/>
          <w:b/>
        </w:rPr>
        <w:t>Miriam A. White</w:t>
      </w:r>
    </w:p>
    <w:p w14:paraId="0C1BA5E3" w14:textId="53BB9234" w:rsidR="005B243A" w:rsidRPr="00316DDD" w:rsidRDefault="003924D9" w:rsidP="00FC007E">
      <w:pPr>
        <w:spacing w:line="259" w:lineRule="auto"/>
        <w:rPr>
          <w:rFonts w:ascii="Calibri" w:eastAsia="Calibri" w:hAnsi="Calibri" w:cs="Times New Roman"/>
          <w:i/>
          <w:sz w:val="2"/>
        </w:rPr>
        <w:sectPr w:rsidR="005B243A" w:rsidRPr="00316DDD" w:rsidSect="00DF3676">
          <w:type w:val="continuous"/>
          <w:pgSz w:w="12240" w:h="15840" w:code="1"/>
          <w:pgMar w:top="1440" w:right="1440" w:bottom="1440" w:left="1440" w:header="720" w:footer="720" w:gutter="0"/>
          <w:cols w:num="2" w:space="360" w:equalWidth="0">
            <w:col w:w="3456" w:space="360"/>
            <w:col w:w="5544"/>
          </w:cols>
          <w:titlePg/>
          <w:docGrid w:linePitch="360"/>
        </w:sectPr>
      </w:pPr>
      <w:r w:rsidRPr="003924D9">
        <w:rPr>
          <w:rFonts w:ascii="Calibri" w:eastAsia="Calibri" w:hAnsi="Calibri" w:cs="Times New Roman"/>
          <w:i/>
        </w:rPr>
        <w:t>Vice President of Budget and Financial Analysis</w:t>
      </w:r>
    </w:p>
    <w:p w14:paraId="7AD31C26" w14:textId="01B15BCE" w:rsidR="00560E55" w:rsidRPr="00614713" w:rsidRDefault="00560E55">
      <w:pPr>
        <w:spacing w:after="160" w:line="259" w:lineRule="auto"/>
        <w:rPr>
          <w:rFonts w:ascii="Times New Roman" w:eastAsia="Times New Roman" w:hAnsi="Times New Roman" w:cs="Times New Roman"/>
          <w:noProof/>
          <w:sz w:val="2"/>
          <w:szCs w:val="20"/>
        </w:rPr>
      </w:pPr>
      <w:r w:rsidRPr="00614713">
        <w:rPr>
          <w:rFonts w:ascii="Times New Roman" w:eastAsia="Times New Roman" w:hAnsi="Times New Roman" w:cs="Times New Roman"/>
          <w:noProof/>
          <w:sz w:val="2"/>
          <w:szCs w:val="20"/>
        </w:rPr>
        <w:br w:type="page"/>
      </w:r>
    </w:p>
    <w:p w14:paraId="00B3E8DD" w14:textId="77777777" w:rsidR="00EA0E20" w:rsidRDefault="00EA0E20" w:rsidP="00603E2C">
      <w:pPr>
        <w:widowControl w:val="0"/>
        <w:rPr>
          <w:rFonts w:ascii="Calibri" w:eastAsia="Times New Roman" w:hAnsi="Calibri" w:cs="Times New Roman"/>
          <w:b/>
          <w:i/>
          <w:caps/>
          <w:color w:val="000000"/>
          <w:spacing w:val="-3"/>
          <w:sz w:val="28"/>
          <w:szCs w:val="28"/>
        </w:rPr>
        <w:sectPr w:rsidR="00EA0E20" w:rsidSect="00DF3676">
          <w:type w:val="continuous"/>
          <w:pgSz w:w="12240" w:h="15840" w:code="1"/>
          <w:pgMar w:top="1440" w:right="1440" w:bottom="1440" w:left="1440" w:header="720" w:footer="720" w:gutter="0"/>
          <w:cols w:num="2" w:space="360" w:equalWidth="0">
            <w:col w:w="3456" w:space="360"/>
            <w:col w:w="5544"/>
          </w:cols>
          <w:titlePg/>
          <w:docGrid w:linePitch="360"/>
        </w:sectPr>
      </w:pPr>
    </w:p>
    <w:p w14:paraId="24347033" w14:textId="77777777" w:rsidR="003A1A29" w:rsidRDefault="003A1A29" w:rsidP="00603E2C">
      <w:pPr>
        <w:widowControl w:val="0"/>
        <w:rPr>
          <w:rFonts w:ascii="Calibri" w:eastAsia="Times New Roman" w:hAnsi="Calibri" w:cs="Times New Roman"/>
          <w:b/>
          <w:i/>
          <w:caps/>
          <w:color w:val="000000"/>
          <w:spacing w:val="-3"/>
          <w:sz w:val="28"/>
          <w:szCs w:val="28"/>
        </w:rPr>
      </w:pPr>
      <w:r w:rsidRPr="003A1A29">
        <w:rPr>
          <w:rFonts w:ascii="Calibri" w:eastAsia="Times New Roman" w:hAnsi="Calibri" w:cs="Times New Roman"/>
          <w:b/>
          <w:i/>
          <w:caps/>
          <w:noProof/>
          <w:color w:val="000000"/>
          <w:spacing w:val="-3"/>
          <w:sz w:val="28"/>
          <w:szCs w:val="28"/>
        </w:rPr>
        <w:lastRenderedPageBreak/>
        <w:drawing>
          <wp:inline distT="0" distB="0" distL="0" distR="0" wp14:anchorId="24209423" wp14:editId="161BB0B4">
            <wp:extent cx="5943600" cy="8107844"/>
            <wp:effectExtent l="0" t="0" r="0" b="7620"/>
            <wp:docPr id="19" name="Picture 19" descr="INDEPENDENT AUDITORS’ REPORT&#10;Board of Trustees&#10;University of Maine System&#10;Orono, Maine&#10;Report on the Financial Statements&#10;We have audited the accompanying financial statements of the business-type activities, the discretely presented component unit and the aggregate remaining fund information of the University of Maine&#10;System (the System) (a component unit of the state of Maine) as of and for the years ended June 30, 2021 and 2020, and the related notes to the financial statements, which collectively comprise the&#10;System’s basic financial statements as listed in the table of contents.&#10;Management’s Responsibility for the Financial Statements&#10;Management is responsible for the preparation and fair presentation of these financial statements in&#10;accordance with accounting principles generally accepted in the United States of America; this includes the design, implementation, and maintenance of internal control relevant to the preparation and fair&#10;presentation of financial statements that are free from material misstatement, whether due to fraud or error.&#10;Auditors’ Responsibility&#10;Our responsibility is to express opinions on these basic financial statements based on our audits. We&#10;did not audit the financial statements of the University of Maine Foundation (Foundation), the discretely presented component unit. Those statements were audited by other auditors whose report has been furnished to us, and our opinion, insofar as it relates to the amounts included for the Foundation, is based solely on the report of the other auditors. We conducted our audits in accordance with auditing standards generally accepted in the United States of America and the standards applicable to financial&#10;audits contained in Government Auditing Standards, issued by the Comptroller General of the United States. Those standards require that we plan and perform the audit to obtain reasonable assurance about whether the financial statements are free of material misstatement. The financial statements of the Foundation were not audited in accordance with Government Auditing Standards.&#10;An audit involves performing procedures to obtain audit evidence about the amounts and disclosures in the financial statements. The procedures selected depend on the auditors’ judgment, including the assessment of the risks of material misstatement of the financial statements, whether due to fraud or&#10;error. In making those risk assessments, the auditor considers internal control relevant to the entity’s&#10;preparation and fair presentation of the financial statements in order to design audit procedures that are&#10;appropriate in the circumstances, but not for the purpose of expressing an opinion on the effectiveness of the entity’s internal control. Accordingly, we express no such opinion. An audit also includes evaluating the appropriateness of accounting policies used and the reasonableness of significant accounting estimates made by management, as well as evaluating the overall presentation of the&#10;financial statements.&#10;We believe that the audit evidence we have obtained is sufficient and appropriate to provide a basis for our audit opi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8324" t="5614" r="8124" b="6315"/>
                    <a:stretch/>
                  </pic:blipFill>
                  <pic:spPr bwMode="auto">
                    <a:xfrm>
                      <a:off x="0" y="0"/>
                      <a:ext cx="5943600" cy="8107844"/>
                    </a:xfrm>
                    <a:prstGeom prst="rect">
                      <a:avLst/>
                    </a:prstGeom>
                    <a:ln>
                      <a:noFill/>
                    </a:ln>
                    <a:extLst>
                      <a:ext uri="{53640926-AAD7-44D8-BBD7-CCE9431645EC}">
                        <a14:shadowObscured xmlns:a14="http://schemas.microsoft.com/office/drawing/2010/main"/>
                      </a:ext>
                    </a:extLst>
                  </pic:spPr>
                </pic:pic>
              </a:graphicData>
            </a:graphic>
          </wp:inline>
        </w:drawing>
      </w:r>
    </w:p>
    <w:p w14:paraId="3FE25990" w14:textId="0CC8EBE1" w:rsidR="00EA0E20" w:rsidRDefault="003A1A29" w:rsidP="00603E2C">
      <w:pPr>
        <w:widowControl w:val="0"/>
        <w:rPr>
          <w:rFonts w:ascii="Calibri" w:eastAsia="Times New Roman" w:hAnsi="Calibri" w:cs="Times New Roman"/>
          <w:b/>
          <w:i/>
          <w:caps/>
          <w:color w:val="000000"/>
          <w:spacing w:val="-3"/>
          <w:sz w:val="28"/>
          <w:szCs w:val="28"/>
        </w:rPr>
        <w:sectPr w:rsidR="00EA0E20" w:rsidSect="003F1AD1">
          <w:type w:val="continuous"/>
          <w:pgSz w:w="12240" w:h="15840" w:code="1"/>
          <w:pgMar w:top="1440" w:right="1440" w:bottom="1440" w:left="1440" w:header="720" w:footer="720" w:gutter="0"/>
          <w:cols w:space="360"/>
          <w:titlePg/>
          <w:docGrid w:linePitch="360"/>
        </w:sectPr>
      </w:pPr>
      <w:r w:rsidRPr="003A1A29">
        <w:rPr>
          <w:rFonts w:ascii="Calibri" w:eastAsia="Times New Roman" w:hAnsi="Calibri" w:cs="Times New Roman"/>
          <w:b/>
          <w:i/>
          <w:caps/>
          <w:noProof/>
          <w:color w:val="000000"/>
          <w:spacing w:val="-3"/>
          <w:sz w:val="28"/>
          <w:szCs w:val="28"/>
        </w:rPr>
        <w:lastRenderedPageBreak/>
        <w:drawing>
          <wp:inline distT="0" distB="0" distL="0" distR="0" wp14:anchorId="130DDBE6" wp14:editId="1EF69710">
            <wp:extent cx="5943600" cy="8153806"/>
            <wp:effectExtent l="0" t="0" r="0" b="0"/>
            <wp:docPr id="32" name="Picture 32" descr="Opinions&#10;In our opinion, based on our audits and the report of the other auditors, the financial statements referred to above present fairly, in all material respects, the respective financial position of the business-type activities, the discretely presented component unit and the aggregate remaining fund information of the System as of June 30, 2021 and 2020, and the respective changes in financial position and, where applicable, cash flows thereof for the years then ended in accordance with accounting principles generally accepted in the United States of America.  &#10;Emphasis of Matter&#10;As described in Note 18, the System changed accounting policies related to reporting fiduciary activities as aggregate remaining fund information by adopting Statement of Governmental Accounting Standards (GASB Statement) No.84, Fiduciary Activities, in 2021. Accordingly, financial information that was historically accounted for in the business-type activities is now reported in fiduciary fund financial statements. The changes adopted to conform to the provisions of GASB Statement No. 84 are applied retroactively by restating the 2020 financial statements. Our auditors’ opinion was not modified with respect to this matter.&#10;Other Matters&#10;Required Supplementary Information&#10;Accounting principles generally accepted in the United States of America require that the Management’s Discussion and Analysis and the required supplemental information – retirement and OPEB plans, as listed in the table of contents, be presented to supplement the basic financial&#10;statements. Such information, although not a part of the basic financial statements, is required by the Governmental Accounting Standards Board who considers it to be an essential part of financial reporting for placing the basic financial statements in an appropriate operational, economic, or historical context. We have applied certain limited procedures to the required supplementary information in accordance with auditing standards generally accepted in the United States of America, which&#10;consisted of inquiries of management about the methods of preparing the information and comparing the information for consistency with management’s responses to our inquiries, the basic financial&#10;statements, and other knowledge we obtained during our audit of the basic financial statements. We do not express an opinion or provide any assurance on the information because the limited procedures do&#10;not provide us with sufficient evidence to express an opinion or provide any assurance.&#10;Other Information&#10;Our audit was conducted for the purpose of forming opinions on the financial statements that collectively comprise the System’s basic financial statements. The supplemental information required by the state of Maine, as listed in the table of contents, is presented for purposes of additional analysis, and is not a required part of the basic financial statements. The supplemental information required by the state of Maine is the responsibility of management and was derived from and relates directly to the underlying accounting and other records used to prepare the basic financial statements. Such information has been subjected to the auditing procedures applied in the audit of the basic financial statements and certain additional procedures, including comparing and reconciling such information directly to the underlying accounting and other records used to prepare the basic financial statements or to the basic financial statements themselves, and other additional procedures in accordance with auditing standards generally accepted in the United States of America. In our opinion, the supplemental information required by the state of Maine is fairly stated, in all material respects, in relation to the basic financial statements as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7878" t="4105" r="7857" b="6567"/>
                    <a:stretch/>
                  </pic:blipFill>
                  <pic:spPr bwMode="auto">
                    <a:xfrm>
                      <a:off x="0" y="0"/>
                      <a:ext cx="5943600" cy="8153806"/>
                    </a:xfrm>
                    <a:prstGeom prst="rect">
                      <a:avLst/>
                    </a:prstGeom>
                    <a:ln>
                      <a:noFill/>
                    </a:ln>
                    <a:extLst>
                      <a:ext uri="{53640926-AAD7-44D8-BBD7-CCE9431645EC}">
                        <a14:shadowObscured xmlns:a14="http://schemas.microsoft.com/office/drawing/2010/main"/>
                      </a:ext>
                    </a:extLst>
                  </pic:spPr>
                </pic:pic>
              </a:graphicData>
            </a:graphic>
          </wp:inline>
        </w:drawing>
      </w:r>
      <w:r w:rsidR="001E02B3">
        <w:rPr>
          <w:rFonts w:ascii="Calibri" w:eastAsia="Times New Roman" w:hAnsi="Calibri" w:cs="Times New Roman"/>
          <w:b/>
          <w:i/>
          <w:caps/>
          <w:color w:val="000000"/>
          <w:spacing w:val="-3"/>
          <w:sz w:val="28"/>
          <w:szCs w:val="28"/>
        </w:rPr>
        <w:t xml:space="preserve"> </w:t>
      </w:r>
    </w:p>
    <w:p w14:paraId="2025AC7E" w14:textId="532839BA" w:rsidR="00E7511E" w:rsidRDefault="003A1A29" w:rsidP="00603E2C">
      <w:pPr>
        <w:widowControl w:val="0"/>
        <w:rPr>
          <w:rFonts w:ascii="Calibri" w:eastAsia="Times New Roman" w:hAnsi="Calibri" w:cs="Times New Roman"/>
          <w:b/>
          <w:i/>
          <w:caps/>
          <w:color w:val="000000"/>
          <w:spacing w:val="-3"/>
          <w:sz w:val="28"/>
          <w:szCs w:val="28"/>
        </w:rPr>
        <w:sectPr w:rsidR="00E7511E" w:rsidSect="00CE3381">
          <w:type w:val="continuous"/>
          <w:pgSz w:w="12240" w:h="15840" w:code="1"/>
          <w:pgMar w:top="1440" w:right="1440" w:bottom="1440" w:left="1440" w:header="720" w:footer="720" w:gutter="0"/>
          <w:cols w:space="360"/>
          <w:titlePg/>
          <w:docGrid w:linePitch="360"/>
        </w:sectPr>
      </w:pPr>
      <w:r w:rsidRPr="003A1A29">
        <w:rPr>
          <w:rFonts w:ascii="Calibri" w:eastAsia="Times New Roman" w:hAnsi="Calibri" w:cs="Times New Roman"/>
          <w:b/>
          <w:i/>
          <w:caps/>
          <w:noProof/>
          <w:color w:val="000000"/>
          <w:spacing w:val="-3"/>
          <w:sz w:val="28"/>
          <w:szCs w:val="28"/>
        </w:rPr>
        <w:lastRenderedPageBreak/>
        <w:drawing>
          <wp:inline distT="0" distB="0" distL="0" distR="0" wp14:anchorId="493B7DFF" wp14:editId="4DD0BDA3">
            <wp:extent cx="5943600" cy="5345209"/>
            <wp:effectExtent l="0" t="0" r="0" b="8255"/>
            <wp:docPr id="40" name="Picture 40" descr="The Chancellor’s Letter and schedule of the Board of Trustees and Management, as listed in the table of contents, has not been subjected to the auditing procedures applied in the audit of the basic financial&#10;statements and, accordingly, we do not express an opinion or provide any assurance on it.&#10;Report on Summarized Comparative Information&#10;The other auditors have previously audited the Foundation’s 2020 financial statements and they expressed an unmodified opinion on those audited statements in their report dated October 27, 2020. In our opinion, based on the report of other auditors, the summarized comparative information&#10;presented herein for the Foundation as of and for the year ended June 30, 2020, is consistent, in all material respects, with the audited financial statements from which is has been derived.&#10;Other Reporting Required by Government Auditing Standards&#10;In accordance with Government Auditing Standards, we have also issued our report dated November 30, 2021 on our consideration of the System’s internal control over financial reporting and our tests of its compliance with certain provisions of laws, regulations, contracts, grant agreements, and other matters. The purpose of that report is solely to describe the scope of our testing of internal control over financial reporting and compliance and the results of that testing, and not to provide an opinion on the effectiveness of the System’s internal control over financial reporting or on compliance. That report is an integral part of an audit performed in accordance with Government Auditing Standards in&#10;considering the System’s internal control over financial reporting and compliance.&#10;CliftonLarsonAllen LLP&#10;Quincy, Massachusetts&#10;November 30,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470" t="4115" r="7553" b="37527"/>
                    <a:stretch/>
                  </pic:blipFill>
                  <pic:spPr bwMode="auto">
                    <a:xfrm>
                      <a:off x="0" y="0"/>
                      <a:ext cx="5943600" cy="5345209"/>
                    </a:xfrm>
                    <a:prstGeom prst="rect">
                      <a:avLst/>
                    </a:prstGeom>
                    <a:ln>
                      <a:noFill/>
                    </a:ln>
                    <a:extLst>
                      <a:ext uri="{53640926-AAD7-44D8-BBD7-CCE9431645EC}">
                        <a14:shadowObscured xmlns:a14="http://schemas.microsoft.com/office/drawing/2010/main"/>
                      </a:ext>
                    </a:extLst>
                  </pic:spPr>
                </pic:pic>
              </a:graphicData>
            </a:graphic>
          </wp:inline>
        </w:drawing>
      </w:r>
    </w:p>
    <w:p w14:paraId="34C8AE45" w14:textId="77777777" w:rsidR="00E7511E" w:rsidRDefault="00E7511E" w:rsidP="00E7511E">
      <w:pPr>
        <w:rPr>
          <w:b/>
          <w:i/>
          <w:sz w:val="26"/>
          <w:szCs w:val="26"/>
        </w:rPr>
      </w:pPr>
      <w:r>
        <w:rPr>
          <w:b/>
          <w:i/>
          <w:sz w:val="26"/>
          <w:szCs w:val="26"/>
        </w:rPr>
        <w:lastRenderedPageBreak/>
        <w:t>UNIVERSITY OF MAINE SYSTEM</w:t>
      </w:r>
    </w:p>
    <w:p w14:paraId="11D26C61" w14:textId="77777777" w:rsidR="00E7511E" w:rsidRDefault="00E7511E" w:rsidP="00E7511E">
      <w:pPr>
        <w:pStyle w:val="AFR1"/>
        <w:spacing w:after="0"/>
      </w:pPr>
      <w:r>
        <w:t>MANAGEMENT’S DISCUSSION AND ANALYSIS</w:t>
      </w:r>
    </w:p>
    <w:p w14:paraId="50947A83" w14:textId="31194868" w:rsidR="00E7511E" w:rsidRDefault="00E7511E" w:rsidP="00E7511E">
      <w:pPr>
        <w:pBdr>
          <w:bottom w:val="single" w:sz="18" w:space="1" w:color="00688D"/>
        </w:pBdr>
        <w:spacing w:after="240"/>
        <w:rPr>
          <w:b/>
          <w:i/>
          <w:sz w:val="26"/>
          <w:szCs w:val="26"/>
        </w:rPr>
      </w:pPr>
      <w:r>
        <w:rPr>
          <w:b/>
          <w:i/>
          <w:sz w:val="26"/>
          <w:szCs w:val="26"/>
        </w:rPr>
        <w:t>JUNE 30, 20</w:t>
      </w:r>
      <w:r w:rsidR="00183016">
        <w:rPr>
          <w:b/>
          <w:i/>
          <w:sz w:val="26"/>
          <w:szCs w:val="26"/>
        </w:rPr>
        <w:t>21</w:t>
      </w:r>
      <w:r>
        <w:rPr>
          <w:b/>
          <w:i/>
          <w:sz w:val="26"/>
          <w:szCs w:val="26"/>
        </w:rPr>
        <w:t xml:space="preserve"> AND 20</w:t>
      </w:r>
      <w:r w:rsidR="005471BA">
        <w:rPr>
          <w:b/>
          <w:i/>
          <w:sz w:val="26"/>
          <w:szCs w:val="26"/>
        </w:rPr>
        <w:t>20</w:t>
      </w:r>
      <w:r>
        <w:rPr>
          <w:b/>
          <w:i/>
          <w:sz w:val="26"/>
          <w:szCs w:val="26"/>
        </w:rPr>
        <w:t xml:space="preserve"> (UNAUDITED)</w:t>
      </w:r>
    </w:p>
    <w:p w14:paraId="6B2CD30C" w14:textId="52856777" w:rsidR="00E7511E" w:rsidRDefault="00E7511E" w:rsidP="00E7511E">
      <w:pPr>
        <w:rPr>
          <w:rFonts w:ascii="Calibri" w:eastAsia="Times New Roman" w:hAnsi="Calibri" w:cs="Tahoma"/>
          <w:sz w:val="24"/>
          <w:szCs w:val="20"/>
        </w:rPr>
      </w:pPr>
      <w:r>
        <w:rPr>
          <w:rFonts w:ascii="Calibri" w:eastAsia="Times New Roman" w:hAnsi="Calibri" w:cs="Tahoma"/>
          <w:sz w:val="24"/>
          <w:szCs w:val="20"/>
        </w:rPr>
        <w:t>The Management’s Discussion and Analysis (MD&amp;A) provides a broad overview of the University of Maine System’s (“the System” or UMS) financial condition as of June 30, 20</w:t>
      </w:r>
      <w:r w:rsidR="00162FC5">
        <w:rPr>
          <w:rFonts w:ascii="Calibri" w:eastAsia="Times New Roman" w:hAnsi="Calibri" w:cs="Tahoma"/>
          <w:sz w:val="24"/>
          <w:szCs w:val="20"/>
        </w:rPr>
        <w:t>21</w:t>
      </w:r>
      <w:r>
        <w:rPr>
          <w:rFonts w:ascii="Calibri" w:eastAsia="Times New Roman" w:hAnsi="Calibri" w:cs="Tahoma"/>
          <w:sz w:val="24"/>
          <w:szCs w:val="20"/>
        </w:rPr>
        <w:t xml:space="preserve"> and 20</w:t>
      </w:r>
      <w:r w:rsidR="005471BA">
        <w:rPr>
          <w:rFonts w:ascii="Calibri" w:eastAsia="Times New Roman" w:hAnsi="Calibri" w:cs="Tahoma"/>
          <w:sz w:val="24"/>
          <w:szCs w:val="20"/>
        </w:rPr>
        <w:t>20</w:t>
      </w:r>
      <w:r>
        <w:rPr>
          <w:rFonts w:ascii="Calibri" w:eastAsia="Times New Roman" w:hAnsi="Calibri" w:cs="Tahoma"/>
          <w:sz w:val="24"/>
          <w:szCs w:val="20"/>
        </w:rPr>
        <w:t>, the results of its operations for the years then ended, significant changes from the previous years, and outlook for the future where appropriate and relevant. Management has prepared the financial statements and related note disclosures along with this MD&amp;A. The MD&amp;A should be read in conjunction with the accompanying basic financial statements and related notes.</w:t>
      </w:r>
    </w:p>
    <w:p w14:paraId="31A95CEF" w14:textId="77777777" w:rsidR="00E7511E" w:rsidRDefault="00E7511E" w:rsidP="00E7511E">
      <w:pPr>
        <w:pStyle w:val="AFR3"/>
      </w:pPr>
      <w:r>
        <w:t>Mission</w:t>
      </w:r>
    </w:p>
    <w:p w14:paraId="495F141E" w14:textId="08925FAB" w:rsidR="00E7511E" w:rsidRDefault="00E7511E" w:rsidP="00E7511E">
      <w:pPr>
        <w:tabs>
          <w:tab w:val="left" w:pos="4860"/>
        </w:tabs>
        <w:rPr>
          <w:rFonts w:ascii="Calibri" w:eastAsia="Times New Roman" w:hAnsi="Calibri" w:cs="Tahoma"/>
          <w:sz w:val="24"/>
          <w:szCs w:val="24"/>
        </w:rPr>
      </w:pPr>
      <w:r>
        <w:rPr>
          <w:rFonts w:ascii="Calibri" w:eastAsia="Times New Roman" w:hAnsi="Calibri" w:cs="Tahoma"/>
          <w:sz w:val="24"/>
          <w:szCs w:val="24"/>
        </w:rPr>
        <w:t xml:space="preserve">Established in 1968 by the Maine State Legislature, the System is the </w:t>
      </w:r>
      <w:r w:rsidR="0068304C">
        <w:rPr>
          <w:rFonts w:ascii="Calibri" w:eastAsia="Times New Roman" w:hAnsi="Calibri" w:cs="Tahoma"/>
          <w:sz w:val="24"/>
          <w:szCs w:val="24"/>
        </w:rPr>
        <w:t>s</w:t>
      </w:r>
      <w:r>
        <w:rPr>
          <w:rFonts w:ascii="Calibri" w:eastAsia="Times New Roman" w:hAnsi="Calibri" w:cs="Tahoma"/>
          <w:sz w:val="24"/>
          <w:szCs w:val="24"/>
        </w:rPr>
        <w:t xml:space="preserve">tate’s largest educational enterprise, uniting its public universities </w:t>
      </w:r>
      <w:r>
        <w:rPr>
          <w:rFonts w:ascii="Calibri" w:eastAsia="Times New Roman" w:hAnsi="Calibri" w:cs="Tahoma"/>
          <w:sz w:val="24"/>
          <w:szCs w:val="20"/>
        </w:rPr>
        <w:t xml:space="preserve">in the common purpose of providing </w:t>
      </w:r>
      <w:r>
        <w:rPr>
          <w:rFonts w:ascii="Calibri" w:eastAsia="Times New Roman" w:hAnsi="Calibri" w:cs="Tahoma"/>
          <w:sz w:val="24"/>
          <w:szCs w:val="24"/>
        </w:rPr>
        <w:t xml:space="preserve">high-quality educational undergraduate and graduate opportunities that are accessible, affordable, and relevant to the needs of Maine students, businesses, and communities. </w:t>
      </w:r>
      <w:r>
        <w:rPr>
          <w:rFonts w:ascii="Calibri" w:eastAsia="Times New Roman" w:hAnsi="Calibri" w:cs="Tahoma"/>
          <w:sz w:val="24"/>
          <w:szCs w:val="20"/>
        </w:rPr>
        <w:t xml:space="preserve">The System features </w:t>
      </w:r>
      <w:r w:rsidRPr="00796CA3">
        <w:rPr>
          <w:rFonts w:ascii="Calibri" w:eastAsia="Times New Roman" w:hAnsi="Calibri" w:cs="Tahoma"/>
          <w:sz w:val="24"/>
          <w:szCs w:val="20"/>
        </w:rPr>
        <w:t>seven</w:t>
      </w:r>
      <w:r w:rsidRPr="00886C1B">
        <w:rPr>
          <w:rFonts w:ascii="Calibri" w:eastAsia="Times New Roman" w:hAnsi="Calibri" w:cs="Tahoma"/>
          <w:sz w:val="24"/>
          <w:szCs w:val="20"/>
        </w:rPr>
        <w:t xml:space="preserve"> u</w:t>
      </w:r>
      <w:r>
        <w:rPr>
          <w:rFonts w:ascii="Calibri" w:eastAsia="Times New Roman" w:hAnsi="Calibri" w:cs="Tahoma"/>
          <w:sz w:val="24"/>
          <w:szCs w:val="20"/>
        </w:rPr>
        <w:t xml:space="preserve">niversities—some with multiple campuses—located across the state, </w:t>
      </w:r>
      <w:r w:rsidR="00E91E60">
        <w:rPr>
          <w:rFonts w:ascii="Calibri" w:eastAsia="Times New Roman" w:hAnsi="Calibri" w:cs="Tahoma"/>
          <w:sz w:val="24"/>
          <w:szCs w:val="20"/>
        </w:rPr>
        <w:t xml:space="preserve">a law school, </w:t>
      </w:r>
      <w:r w:rsidRPr="009641E0">
        <w:rPr>
          <w:rFonts w:ascii="Calibri" w:eastAsia="Times New Roman" w:hAnsi="Calibri" w:cs="Tahoma"/>
          <w:sz w:val="24"/>
          <w:szCs w:val="20"/>
        </w:rPr>
        <w:t>eight</w:t>
      </w:r>
      <w:r>
        <w:rPr>
          <w:rFonts w:ascii="Calibri" w:eastAsia="Times New Roman" w:hAnsi="Calibri" w:cs="Tahoma"/>
          <w:sz w:val="24"/>
          <w:szCs w:val="20"/>
        </w:rPr>
        <w:t xml:space="preserve"> outreach centers, an additional </w:t>
      </w:r>
      <w:r w:rsidR="009641E0">
        <w:rPr>
          <w:rFonts w:ascii="Calibri" w:eastAsia="Times New Roman" w:hAnsi="Calibri" w:cs="Tahoma"/>
          <w:sz w:val="24"/>
          <w:szCs w:val="20"/>
        </w:rPr>
        <w:t>34</w:t>
      </w:r>
      <w:r w:rsidRPr="009013B6">
        <w:rPr>
          <w:rFonts w:ascii="Calibri" w:eastAsia="Times New Roman" w:hAnsi="Calibri" w:cs="Tahoma"/>
          <w:color w:val="FF0000"/>
          <w:sz w:val="24"/>
          <w:szCs w:val="20"/>
        </w:rPr>
        <w:t xml:space="preserve"> </w:t>
      </w:r>
      <w:r>
        <w:rPr>
          <w:rFonts w:ascii="Calibri" w:eastAsia="Times New Roman" w:hAnsi="Calibri" w:cs="Tahoma"/>
          <w:sz w:val="24"/>
          <w:szCs w:val="20"/>
        </w:rPr>
        <w:t xml:space="preserve">course sites, and Cooperative Extension. The System carries out the traditional tripartite mission – teaching, research, and public service. A major resource for the State, the System </w:t>
      </w:r>
      <w:r>
        <w:rPr>
          <w:rFonts w:ascii="Calibri" w:eastAsia="Times New Roman" w:hAnsi="Calibri" w:cs="Tahoma"/>
          <w:sz w:val="24"/>
          <w:szCs w:val="24"/>
        </w:rPr>
        <w:t>drives economic development by conducting world-class research, commercializing valuable ideas, and partnering successfully with businesses and industries throughout Maine and beyond.</w:t>
      </w:r>
    </w:p>
    <w:p w14:paraId="5F938DD3" w14:textId="77777777" w:rsidR="00E7511E" w:rsidRDefault="00E7511E" w:rsidP="00E7511E">
      <w:pPr>
        <w:pStyle w:val="AFR3"/>
      </w:pPr>
      <w:r>
        <w:t>Universities, Campuses, and Centers</w:t>
      </w:r>
    </w:p>
    <w:p w14:paraId="3AB4CA12" w14:textId="55787659" w:rsidR="00E7511E" w:rsidRDefault="00E7511E" w:rsidP="00E7511E">
      <w:pPr>
        <w:tabs>
          <w:tab w:val="left" w:pos="4860"/>
        </w:tabs>
        <w:rPr>
          <w:rFonts w:ascii="Calibri" w:eastAsia="Times New Roman" w:hAnsi="Calibri" w:cs="Tahoma"/>
          <w:sz w:val="24"/>
          <w:szCs w:val="24"/>
        </w:rPr>
      </w:pPr>
      <w:r>
        <w:rPr>
          <w:rFonts w:ascii="Calibri" w:eastAsia="Times New Roman" w:hAnsi="Calibri" w:cs="Tahoma"/>
          <w:sz w:val="24"/>
          <w:szCs w:val="24"/>
        </w:rPr>
        <w:t xml:space="preserve">The System is a comprehensive public institution of higher education with </w:t>
      </w:r>
      <w:r w:rsidRPr="00845A3B">
        <w:rPr>
          <w:rFonts w:ascii="Calibri" w:eastAsia="Times New Roman" w:hAnsi="Calibri" w:cs="Tahoma"/>
          <w:sz w:val="24"/>
          <w:szCs w:val="24"/>
        </w:rPr>
        <w:t xml:space="preserve">nearly 30,000 </w:t>
      </w:r>
      <w:r>
        <w:rPr>
          <w:rFonts w:ascii="Calibri" w:eastAsia="Times New Roman" w:hAnsi="Calibri" w:cs="Tahoma"/>
          <w:sz w:val="24"/>
          <w:szCs w:val="24"/>
        </w:rPr>
        <w:t xml:space="preserve">enrolled students, supported by the efforts of </w:t>
      </w:r>
      <w:r w:rsidR="009641E0">
        <w:rPr>
          <w:rFonts w:ascii="Calibri" w:eastAsia="Times New Roman" w:hAnsi="Calibri" w:cs="Tahoma"/>
          <w:sz w:val="24"/>
          <w:szCs w:val="24"/>
        </w:rPr>
        <w:t>1,165</w:t>
      </w:r>
      <w:r>
        <w:rPr>
          <w:rFonts w:ascii="Calibri" w:eastAsia="Times New Roman" w:hAnsi="Calibri" w:cs="Tahoma"/>
          <w:sz w:val="24"/>
          <w:szCs w:val="24"/>
        </w:rPr>
        <w:t xml:space="preserve"> regular full-time faculty, </w:t>
      </w:r>
      <w:r w:rsidR="009641E0">
        <w:rPr>
          <w:rFonts w:ascii="Calibri" w:eastAsia="Times New Roman" w:hAnsi="Calibri" w:cs="Tahoma"/>
          <w:sz w:val="24"/>
          <w:szCs w:val="24"/>
        </w:rPr>
        <w:t>83</w:t>
      </w:r>
      <w:r>
        <w:rPr>
          <w:rFonts w:ascii="Calibri" w:eastAsia="Times New Roman" w:hAnsi="Calibri" w:cs="Tahoma"/>
          <w:sz w:val="24"/>
          <w:szCs w:val="24"/>
        </w:rPr>
        <w:t xml:space="preserve"> regular part-time faculty, </w:t>
      </w:r>
      <w:r w:rsidR="009641E0">
        <w:rPr>
          <w:rFonts w:ascii="Calibri" w:eastAsia="Times New Roman" w:hAnsi="Calibri" w:cs="Tahoma"/>
          <w:sz w:val="24"/>
          <w:szCs w:val="24"/>
        </w:rPr>
        <w:t>3,104</w:t>
      </w:r>
      <w:r>
        <w:rPr>
          <w:rFonts w:ascii="Calibri" w:eastAsia="Times New Roman" w:hAnsi="Calibri" w:cs="Tahoma"/>
          <w:sz w:val="24"/>
          <w:szCs w:val="24"/>
        </w:rPr>
        <w:t xml:space="preserve"> regular full-time staff, and </w:t>
      </w:r>
      <w:r w:rsidR="009641E0">
        <w:rPr>
          <w:rFonts w:ascii="Calibri" w:eastAsia="Times New Roman" w:hAnsi="Calibri" w:cs="Tahoma"/>
          <w:sz w:val="24"/>
          <w:szCs w:val="24"/>
        </w:rPr>
        <w:t>308</w:t>
      </w:r>
      <w:r>
        <w:rPr>
          <w:rFonts w:ascii="Calibri" w:eastAsia="Times New Roman" w:hAnsi="Calibri" w:cs="Tahoma"/>
          <w:sz w:val="24"/>
          <w:szCs w:val="24"/>
        </w:rPr>
        <w:t xml:space="preserve"> regular part-time staff members.</w:t>
      </w:r>
    </w:p>
    <w:p w14:paraId="44B8D607" w14:textId="77777777" w:rsidR="00E7511E" w:rsidRPr="00DE50BF" w:rsidRDefault="00E7511E" w:rsidP="00E7511E">
      <w:pPr>
        <w:tabs>
          <w:tab w:val="left" w:pos="4860"/>
        </w:tabs>
        <w:rPr>
          <w:rFonts w:ascii="Calibri" w:eastAsia="Times New Roman" w:hAnsi="Calibri" w:cs="Tahoma"/>
          <w:sz w:val="20"/>
          <w:szCs w:val="24"/>
        </w:rPr>
      </w:pPr>
    </w:p>
    <w:p w14:paraId="01F79AF2" w14:textId="77777777" w:rsidR="00E7511E" w:rsidRDefault="00E7511E" w:rsidP="00E7511E">
      <w:pPr>
        <w:tabs>
          <w:tab w:val="left" w:pos="4860"/>
        </w:tabs>
        <w:rPr>
          <w:rFonts w:ascii="Calibri" w:eastAsia="Times New Roman" w:hAnsi="Calibri" w:cs="Tahoma"/>
          <w:sz w:val="24"/>
          <w:szCs w:val="24"/>
        </w:rPr>
      </w:pPr>
      <w:r>
        <w:rPr>
          <w:rFonts w:ascii="Calibri" w:eastAsia="Times New Roman" w:hAnsi="Calibri" w:cs="Tahoma"/>
          <w:sz w:val="24"/>
          <w:szCs w:val="24"/>
        </w:rPr>
        <w:t>From Maine’s largest city to its rural northern borders, our universities are known for excellence in teaching and research. Our universities are:</w:t>
      </w:r>
    </w:p>
    <w:p w14:paraId="12FFE592" w14:textId="77777777" w:rsidR="00E7511E" w:rsidRDefault="00E7511E" w:rsidP="00E7511E">
      <w:pPr>
        <w:tabs>
          <w:tab w:val="left" w:pos="4860"/>
        </w:tabs>
        <w:ind w:left="360"/>
        <w:rPr>
          <w:rFonts w:ascii="Calibri" w:eastAsia="Times New Roman" w:hAnsi="Calibri" w:cs="Tahoma"/>
          <w:szCs w:val="24"/>
        </w:rPr>
      </w:pPr>
    </w:p>
    <w:tbl>
      <w:tblPr>
        <w:tblStyle w:val="TableGrid1"/>
        <w:tblW w:w="9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University of Maine System Campus Profiles"/>
        <w:tblDescription w:val="Shows each campus' logo along with a brief description of each campus."/>
      </w:tblPr>
      <w:tblGrid>
        <w:gridCol w:w="3971"/>
        <w:gridCol w:w="5416"/>
      </w:tblGrid>
      <w:tr w:rsidR="00A00FC3" w14:paraId="537E8BB8" w14:textId="77777777" w:rsidTr="00DE50BF">
        <w:trPr>
          <w:trHeight w:val="2610"/>
          <w:tblHeader/>
          <w:jc w:val="center"/>
        </w:trPr>
        <w:tc>
          <w:tcPr>
            <w:tcW w:w="3971" w:type="dxa"/>
            <w:vAlign w:val="center"/>
            <w:hideMark/>
          </w:tcPr>
          <w:p w14:paraId="119BDD20" w14:textId="77777777" w:rsidR="00A00FC3" w:rsidRDefault="00A00FC3" w:rsidP="00DE50BF">
            <w:pPr>
              <w:tabs>
                <w:tab w:val="left" w:pos="5040"/>
              </w:tabs>
              <w:rPr>
                <w:rFonts w:ascii="Calibri" w:eastAsia="Times New Roman" w:hAnsi="Calibri" w:cs="Tahoma"/>
                <w:sz w:val="21"/>
                <w:szCs w:val="21"/>
              </w:rPr>
            </w:pPr>
            <w:r>
              <w:rPr>
                <w:rFonts w:ascii="Calibri" w:eastAsia="Times New Roman" w:hAnsi="Calibri" w:cs="Tahoma"/>
                <w:noProof/>
                <w:sz w:val="21"/>
                <w:szCs w:val="21"/>
              </w:rPr>
              <w:drawing>
                <wp:inline distT="0" distB="0" distL="0" distR="0" wp14:anchorId="38C2E6E3" wp14:editId="5E619177">
                  <wp:extent cx="2016760" cy="645160"/>
                  <wp:effectExtent l="0" t="0" r="0" b="2540"/>
                  <wp:docPr id="31" name="Picture 31" descr="University of Maine 1865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6760" cy="645160"/>
                          </a:xfrm>
                          <a:prstGeom prst="rect">
                            <a:avLst/>
                          </a:prstGeom>
                          <a:noFill/>
                          <a:ln>
                            <a:noFill/>
                          </a:ln>
                        </pic:spPr>
                      </pic:pic>
                    </a:graphicData>
                  </a:graphic>
                </wp:inline>
              </w:drawing>
            </w:r>
          </w:p>
        </w:tc>
        <w:tc>
          <w:tcPr>
            <w:tcW w:w="5416" w:type="dxa"/>
            <w:hideMark/>
          </w:tcPr>
          <w:p w14:paraId="237ED358" w14:textId="6D50D0B9" w:rsidR="00A00FC3" w:rsidRDefault="00A00FC3" w:rsidP="00796CA3">
            <w:pPr>
              <w:tabs>
                <w:tab w:val="left" w:pos="5040"/>
              </w:tabs>
              <w:spacing w:after="80"/>
              <w:ind w:right="-18"/>
              <w:rPr>
                <w:rFonts w:ascii="Calibri" w:eastAsia="Times New Roman" w:hAnsi="Calibri" w:cs="Tahoma"/>
                <w:sz w:val="21"/>
                <w:szCs w:val="21"/>
              </w:rPr>
            </w:pPr>
            <w:r>
              <w:rPr>
                <w:rFonts w:ascii="Calibri" w:eastAsia="Times New Roman" w:hAnsi="Calibri" w:cs="Tahoma"/>
                <w:sz w:val="21"/>
                <w:szCs w:val="21"/>
              </w:rPr>
              <w:t>The University of Maine (UM) is the state’s land grant, sea grant and space grant university. As Maine’s flagship public university</w:t>
            </w:r>
            <w:r w:rsidR="00796CA3">
              <w:rPr>
                <w:rFonts w:ascii="Calibri" w:eastAsia="Times New Roman" w:hAnsi="Calibri" w:cs="Tahoma"/>
                <w:sz w:val="21"/>
                <w:szCs w:val="21"/>
              </w:rPr>
              <w:t>,</w:t>
            </w:r>
            <w:r>
              <w:rPr>
                <w:rFonts w:ascii="Calibri" w:eastAsia="Times New Roman" w:hAnsi="Calibri" w:cs="Tahoma"/>
                <w:sz w:val="21"/>
                <w:szCs w:val="21"/>
              </w:rPr>
              <w:t xml:space="preserve"> UM has a statewide mission of teaching, research and economic development, and community service. UM is the state’s only public research university and </w:t>
            </w:r>
            <w:r w:rsidR="00796CA3">
              <w:rPr>
                <w:rFonts w:ascii="Calibri" w:eastAsia="Times New Roman" w:hAnsi="Calibri" w:cs="Tahoma"/>
                <w:sz w:val="21"/>
                <w:szCs w:val="21"/>
              </w:rPr>
              <w:t xml:space="preserve">is </w:t>
            </w:r>
            <w:r>
              <w:rPr>
                <w:rFonts w:ascii="Calibri" w:eastAsia="Times New Roman" w:hAnsi="Calibri" w:cs="Tahoma"/>
                <w:sz w:val="21"/>
                <w:szCs w:val="21"/>
              </w:rPr>
              <w:t>among the most comprehensive higher education institutions in the Northeast, where undergraduate and graduate students have opportunities to participate in groundbreaking research with world-class scholars. UM offers bachelor’s, master’s and doctoral degrees.</w:t>
            </w:r>
          </w:p>
        </w:tc>
      </w:tr>
    </w:tbl>
    <w:p w14:paraId="2E1CCDF9" w14:textId="77777777" w:rsidR="00A00FC3" w:rsidRDefault="00A00FC3"/>
    <w:tbl>
      <w:tblPr>
        <w:tblStyle w:val="TableGrid1"/>
        <w:tblW w:w="9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University of Maine System Campus Profiles"/>
        <w:tblDescription w:val="Shows each campus' logo along with a brief description of each campus."/>
      </w:tblPr>
      <w:tblGrid>
        <w:gridCol w:w="3971"/>
        <w:gridCol w:w="5416"/>
      </w:tblGrid>
      <w:tr w:rsidR="00E7511E" w14:paraId="5672619E" w14:textId="77777777" w:rsidTr="00DE50BF">
        <w:trPr>
          <w:trHeight w:val="1593"/>
          <w:jc w:val="center"/>
        </w:trPr>
        <w:tc>
          <w:tcPr>
            <w:tcW w:w="3971" w:type="dxa"/>
            <w:vAlign w:val="center"/>
            <w:hideMark/>
          </w:tcPr>
          <w:p w14:paraId="451209D3" w14:textId="410BE357" w:rsidR="00E7511E" w:rsidRDefault="00E7511E">
            <w:pPr>
              <w:tabs>
                <w:tab w:val="left" w:pos="5040"/>
              </w:tabs>
              <w:spacing w:after="80"/>
              <w:rPr>
                <w:rFonts w:ascii="Calibri" w:eastAsia="Times New Roman" w:hAnsi="Calibri" w:cs="Tahoma"/>
                <w:sz w:val="21"/>
                <w:szCs w:val="21"/>
              </w:rPr>
            </w:pPr>
            <w:r>
              <w:rPr>
                <w:rFonts w:ascii="Calibri" w:eastAsia="Times New Roman" w:hAnsi="Calibri" w:cs="Tahoma"/>
                <w:noProof/>
                <w:sz w:val="21"/>
                <w:szCs w:val="21"/>
              </w:rPr>
              <w:lastRenderedPageBreak/>
              <w:drawing>
                <wp:inline distT="0" distB="0" distL="0" distR="0" wp14:anchorId="78904A87" wp14:editId="510A01ED">
                  <wp:extent cx="1734820" cy="645160"/>
                  <wp:effectExtent l="0" t="0" r="0" b="2540"/>
                  <wp:docPr id="28" name="Picture 28" descr="U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820" cy="645160"/>
                          </a:xfrm>
                          <a:prstGeom prst="rect">
                            <a:avLst/>
                          </a:prstGeom>
                          <a:noFill/>
                          <a:ln>
                            <a:noFill/>
                          </a:ln>
                        </pic:spPr>
                      </pic:pic>
                    </a:graphicData>
                  </a:graphic>
                </wp:inline>
              </w:drawing>
            </w:r>
          </w:p>
        </w:tc>
        <w:tc>
          <w:tcPr>
            <w:tcW w:w="5416" w:type="dxa"/>
            <w:hideMark/>
          </w:tcPr>
          <w:p w14:paraId="600FBA7E" w14:textId="77777777" w:rsidR="00E7511E" w:rsidRDefault="00E7511E">
            <w:pPr>
              <w:tabs>
                <w:tab w:val="left" w:pos="5040"/>
              </w:tabs>
              <w:spacing w:after="80"/>
              <w:ind w:right="-18"/>
              <w:rPr>
                <w:rFonts w:ascii="Calibri" w:eastAsia="Times New Roman" w:hAnsi="Calibri" w:cs="Tahoma"/>
                <w:sz w:val="21"/>
                <w:szCs w:val="21"/>
              </w:rPr>
            </w:pPr>
            <w:r>
              <w:rPr>
                <w:rFonts w:ascii="Calibri" w:eastAsia="Times New Roman" w:hAnsi="Calibri" w:cs="Tahoma"/>
                <w:sz w:val="21"/>
                <w:szCs w:val="21"/>
              </w:rPr>
              <w:t xml:space="preserve">With campuses in Augusta and Bangor, </w:t>
            </w:r>
            <w:r w:rsidRPr="009641E0">
              <w:rPr>
                <w:rFonts w:ascii="Calibri" w:eastAsia="Times New Roman" w:hAnsi="Calibri" w:cs="Tahoma"/>
                <w:sz w:val="21"/>
                <w:szCs w:val="21"/>
              </w:rPr>
              <w:t xml:space="preserve">eight </w:t>
            </w:r>
            <w:r>
              <w:rPr>
                <w:rFonts w:ascii="Calibri" w:eastAsia="Times New Roman" w:hAnsi="Calibri" w:cs="Tahoma"/>
                <w:sz w:val="21"/>
                <w:szCs w:val="21"/>
              </w:rPr>
              <w:t>UMA Centers across Maine, and expertise in online and distance learning, the University of Maine at Augusta (UMA) is considered the university of choice for Mainers who want to receive a quality and affordable education without uprooting their lives.</w:t>
            </w:r>
          </w:p>
        </w:tc>
      </w:tr>
      <w:tr w:rsidR="00E7511E" w14:paraId="180A0DCF" w14:textId="77777777" w:rsidTr="00DE50BF">
        <w:trPr>
          <w:trHeight w:val="1429"/>
          <w:jc w:val="center"/>
        </w:trPr>
        <w:tc>
          <w:tcPr>
            <w:tcW w:w="3971" w:type="dxa"/>
            <w:vAlign w:val="center"/>
            <w:hideMark/>
          </w:tcPr>
          <w:p w14:paraId="7D17CF2C" w14:textId="33BF145A" w:rsidR="00E7511E" w:rsidRDefault="00E7511E">
            <w:pPr>
              <w:tabs>
                <w:tab w:val="left" w:pos="5040"/>
              </w:tabs>
              <w:spacing w:after="80"/>
              <w:rPr>
                <w:rFonts w:ascii="Calibri" w:eastAsia="Times New Roman" w:hAnsi="Calibri" w:cs="Tahoma"/>
                <w:noProof/>
                <w:sz w:val="21"/>
                <w:szCs w:val="21"/>
              </w:rPr>
            </w:pPr>
            <w:r>
              <w:rPr>
                <w:noProof/>
              </w:rPr>
              <w:drawing>
                <wp:inline distT="0" distB="0" distL="0" distR="0" wp14:anchorId="52880904" wp14:editId="641BD450">
                  <wp:extent cx="2473960" cy="820420"/>
                  <wp:effectExtent l="0" t="0" r="2540" b="0"/>
                  <wp:docPr id="27" name="Picture 27" descr="University of Maine at Farm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iversity of Maine at Farmington Home P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3960" cy="820420"/>
                          </a:xfrm>
                          <a:prstGeom prst="rect">
                            <a:avLst/>
                          </a:prstGeom>
                          <a:noFill/>
                          <a:ln>
                            <a:noFill/>
                          </a:ln>
                        </pic:spPr>
                      </pic:pic>
                    </a:graphicData>
                  </a:graphic>
                </wp:inline>
              </w:drawing>
            </w:r>
          </w:p>
        </w:tc>
        <w:tc>
          <w:tcPr>
            <w:tcW w:w="5416" w:type="dxa"/>
            <w:hideMark/>
          </w:tcPr>
          <w:p w14:paraId="1573D6F4" w14:textId="77777777" w:rsidR="00E7511E" w:rsidRDefault="00E7511E">
            <w:pPr>
              <w:tabs>
                <w:tab w:val="left" w:pos="5040"/>
              </w:tabs>
              <w:spacing w:after="80"/>
              <w:ind w:right="-18"/>
              <w:rPr>
                <w:rFonts w:ascii="Calibri" w:eastAsia="Times New Roman" w:hAnsi="Calibri" w:cs="Tahoma"/>
                <w:sz w:val="21"/>
                <w:szCs w:val="21"/>
              </w:rPr>
            </w:pPr>
            <w:r>
              <w:rPr>
                <w:rFonts w:ascii="Calibri" w:eastAsia="Times New Roman" w:hAnsi="Calibri" w:cs="Tahoma"/>
                <w:sz w:val="21"/>
                <w:szCs w:val="21"/>
              </w:rPr>
              <w:t>Established in 1864 as Maine’s first public institution of higher education, the University of Maine at Farmington (UMF) is Maine’s public liberal arts college, offering quality programs in teacher education, human services, and arts and sciences.</w:t>
            </w:r>
          </w:p>
        </w:tc>
      </w:tr>
      <w:tr w:rsidR="00E7511E" w14:paraId="494195D1" w14:textId="77777777" w:rsidTr="00DE50BF">
        <w:trPr>
          <w:trHeight w:val="1728"/>
          <w:jc w:val="center"/>
        </w:trPr>
        <w:tc>
          <w:tcPr>
            <w:tcW w:w="3971" w:type="dxa"/>
            <w:vAlign w:val="center"/>
            <w:hideMark/>
          </w:tcPr>
          <w:p w14:paraId="54C07665" w14:textId="75FC0DB9" w:rsidR="00E7511E" w:rsidRDefault="00E7511E">
            <w:pPr>
              <w:tabs>
                <w:tab w:val="left" w:pos="5040"/>
              </w:tabs>
              <w:spacing w:after="80"/>
              <w:rPr>
                <w:rFonts w:ascii="Calibri" w:eastAsia="Times New Roman" w:hAnsi="Calibri" w:cs="Tahoma"/>
                <w:noProof/>
                <w:sz w:val="21"/>
                <w:szCs w:val="21"/>
              </w:rPr>
            </w:pPr>
            <w:r>
              <w:rPr>
                <w:rFonts w:ascii="Calibri" w:eastAsia="Times New Roman" w:hAnsi="Calibri" w:cs="Tahoma"/>
                <w:noProof/>
                <w:sz w:val="21"/>
                <w:szCs w:val="21"/>
              </w:rPr>
              <w:drawing>
                <wp:inline distT="0" distB="0" distL="0" distR="0" wp14:anchorId="47CEAE8D" wp14:editId="412A5F88">
                  <wp:extent cx="1748155" cy="470535"/>
                  <wp:effectExtent l="0" t="0" r="4445" b="5715"/>
                  <wp:docPr id="22" name="Picture 22" descr="University of Maine at Fort K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8155" cy="470535"/>
                          </a:xfrm>
                          <a:prstGeom prst="rect">
                            <a:avLst/>
                          </a:prstGeom>
                          <a:noFill/>
                          <a:ln>
                            <a:noFill/>
                          </a:ln>
                        </pic:spPr>
                      </pic:pic>
                    </a:graphicData>
                  </a:graphic>
                </wp:inline>
              </w:drawing>
            </w:r>
          </w:p>
        </w:tc>
        <w:tc>
          <w:tcPr>
            <w:tcW w:w="5416" w:type="dxa"/>
            <w:hideMark/>
          </w:tcPr>
          <w:p w14:paraId="768AE35E" w14:textId="385BFF42" w:rsidR="00E7511E" w:rsidRDefault="00E7511E">
            <w:pPr>
              <w:tabs>
                <w:tab w:val="left" w:pos="5040"/>
              </w:tabs>
              <w:spacing w:after="80"/>
              <w:ind w:right="-18"/>
              <w:rPr>
                <w:rFonts w:ascii="Calibri" w:eastAsia="Times New Roman" w:hAnsi="Calibri" w:cs="Tahoma"/>
                <w:sz w:val="21"/>
                <w:szCs w:val="21"/>
              </w:rPr>
            </w:pPr>
            <w:r>
              <w:rPr>
                <w:rFonts w:ascii="Calibri" w:eastAsia="Times New Roman" w:hAnsi="Calibri" w:cs="Tahoma"/>
                <w:sz w:val="21"/>
                <w:szCs w:val="21"/>
              </w:rPr>
              <w:t xml:space="preserve">The University of Maine at Fort Kent (UMFK) is a campus focused on health sciences and professional programs. Founded in 1878 to meet local, state, and regional workforce needs, UMFK provides a diversity of learners </w:t>
            </w:r>
            <w:r w:rsidR="006645B2">
              <w:rPr>
                <w:rFonts w:ascii="Calibri" w:eastAsia="Times New Roman" w:hAnsi="Calibri" w:cs="Tahoma"/>
                <w:sz w:val="21"/>
                <w:szCs w:val="21"/>
              </w:rPr>
              <w:t xml:space="preserve">with </w:t>
            </w:r>
            <w:r>
              <w:rPr>
                <w:rFonts w:ascii="Calibri" w:eastAsia="Times New Roman" w:hAnsi="Calibri" w:cs="Tahoma"/>
                <w:sz w:val="21"/>
                <w:szCs w:val="21"/>
              </w:rPr>
              <w:t>the education and development needed to be successful professionals and engaged members of their communities in the 21</w:t>
            </w:r>
            <w:r>
              <w:rPr>
                <w:rFonts w:ascii="Calibri" w:eastAsia="Times New Roman" w:hAnsi="Calibri" w:cs="Tahoma"/>
                <w:sz w:val="21"/>
                <w:szCs w:val="21"/>
                <w:vertAlign w:val="superscript"/>
              </w:rPr>
              <w:t>st</w:t>
            </w:r>
            <w:r>
              <w:rPr>
                <w:rFonts w:ascii="Calibri" w:eastAsia="Times New Roman" w:hAnsi="Calibri" w:cs="Tahoma"/>
                <w:sz w:val="21"/>
                <w:szCs w:val="21"/>
              </w:rPr>
              <w:t xml:space="preserve"> Century. </w:t>
            </w:r>
          </w:p>
        </w:tc>
      </w:tr>
      <w:tr w:rsidR="00E7511E" w14:paraId="28C0B56C" w14:textId="77777777" w:rsidTr="00DE50BF">
        <w:trPr>
          <w:trHeight w:val="1710"/>
          <w:jc w:val="center"/>
        </w:trPr>
        <w:tc>
          <w:tcPr>
            <w:tcW w:w="3971" w:type="dxa"/>
            <w:vAlign w:val="center"/>
            <w:hideMark/>
          </w:tcPr>
          <w:p w14:paraId="741D58C0" w14:textId="4CF29B10" w:rsidR="00E7511E" w:rsidRDefault="00E7511E">
            <w:pPr>
              <w:tabs>
                <w:tab w:val="left" w:pos="5040"/>
              </w:tabs>
              <w:spacing w:after="80"/>
              <w:rPr>
                <w:rFonts w:ascii="Calibri" w:eastAsia="Times New Roman" w:hAnsi="Calibri" w:cs="Tahoma"/>
                <w:noProof/>
                <w:sz w:val="21"/>
                <w:szCs w:val="21"/>
              </w:rPr>
            </w:pPr>
            <w:r>
              <w:rPr>
                <w:noProof/>
              </w:rPr>
              <w:drawing>
                <wp:inline distT="0" distB="0" distL="0" distR="0" wp14:anchorId="5F0B37BB" wp14:editId="1D30D859">
                  <wp:extent cx="2379980" cy="645160"/>
                  <wp:effectExtent l="0" t="0" r="1270" b="2540"/>
                  <wp:docPr id="21" name="Picture 21" descr="University of Maine at Mach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iversity of Maine at Machias Home P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9980" cy="645160"/>
                          </a:xfrm>
                          <a:prstGeom prst="rect">
                            <a:avLst/>
                          </a:prstGeom>
                          <a:noFill/>
                          <a:ln>
                            <a:noFill/>
                          </a:ln>
                        </pic:spPr>
                      </pic:pic>
                    </a:graphicData>
                  </a:graphic>
                </wp:inline>
              </w:drawing>
            </w:r>
          </w:p>
        </w:tc>
        <w:tc>
          <w:tcPr>
            <w:tcW w:w="5416" w:type="dxa"/>
            <w:hideMark/>
          </w:tcPr>
          <w:p w14:paraId="24E2B82F" w14:textId="77777777" w:rsidR="00E7511E" w:rsidRDefault="00E7511E">
            <w:pPr>
              <w:tabs>
                <w:tab w:val="left" w:pos="5040"/>
              </w:tabs>
              <w:spacing w:after="80"/>
              <w:ind w:right="-18"/>
              <w:rPr>
                <w:rFonts w:ascii="Calibri" w:eastAsia="Times New Roman" w:hAnsi="Calibri" w:cs="Tahoma"/>
                <w:sz w:val="21"/>
                <w:szCs w:val="21"/>
              </w:rPr>
            </w:pPr>
            <w:r>
              <w:rPr>
                <w:rFonts w:ascii="Calibri" w:eastAsia="Times New Roman" w:hAnsi="Calibri" w:cs="Tahoma"/>
                <w:sz w:val="21"/>
                <w:szCs w:val="21"/>
              </w:rPr>
              <w:t>The University of Maine at Machias (UMM) is the regional campus of the University of Maine. Offering quality baccalaureate programs with an emphasis on experiential and community-engaged learning. UMM’s distinct campus environment and strong regional identity are enhanced by a partnership with the state’s flagship university.</w:t>
            </w:r>
          </w:p>
        </w:tc>
      </w:tr>
      <w:tr w:rsidR="00E7511E" w14:paraId="189667E6" w14:textId="77777777" w:rsidTr="00DE50BF">
        <w:trPr>
          <w:trHeight w:val="2178"/>
          <w:jc w:val="center"/>
        </w:trPr>
        <w:tc>
          <w:tcPr>
            <w:tcW w:w="3971" w:type="dxa"/>
            <w:vAlign w:val="center"/>
            <w:hideMark/>
          </w:tcPr>
          <w:p w14:paraId="03FCBB9E" w14:textId="5BC68BB1" w:rsidR="00E7511E" w:rsidRDefault="00614713">
            <w:pPr>
              <w:tabs>
                <w:tab w:val="left" w:pos="5040"/>
              </w:tabs>
              <w:spacing w:after="80"/>
              <w:rPr>
                <w:noProof/>
              </w:rPr>
            </w:pPr>
            <w:r>
              <w:rPr>
                <w:noProof/>
              </w:rPr>
              <w:drawing>
                <wp:inline distT="0" distB="0" distL="0" distR="0" wp14:anchorId="6AE9EBE0" wp14:editId="4D4C809F">
                  <wp:extent cx="2384425" cy="795020"/>
                  <wp:effectExtent l="0" t="0" r="0" b="5080"/>
                  <wp:docPr id="3" name="Picture 3" descr="University of Maine at Presque Is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4425" cy="795020"/>
                          </a:xfrm>
                          <a:prstGeom prst="rect">
                            <a:avLst/>
                          </a:prstGeom>
                        </pic:spPr>
                      </pic:pic>
                    </a:graphicData>
                  </a:graphic>
                </wp:inline>
              </w:drawing>
            </w:r>
          </w:p>
        </w:tc>
        <w:tc>
          <w:tcPr>
            <w:tcW w:w="5416" w:type="dxa"/>
            <w:hideMark/>
          </w:tcPr>
          <w:p w14:paraId="11B6458A" w14:textId="7DC25C9F" w:rsidR="00E7511E" w:rsidRDefault="00E7511E" w:rsidP="00F34736">
            <w:pPr>
              <w:tabs>
                <w:tab w:val="left" w:pos="5040"/>
              </w:tabs>
              <w:spacing w:after="80"/>
              <w:ind w:right="-18"/>
              <w:rPr>
                <w:rFonts w:ascii="Calibri" w:eastAsia="Times New Roman" w:hAnsi="Calibri" w:cs="Tahoma"/>
                <w:sz w:val="21"/>
                <w:szCs w:val="21"/>
              </w:rPr>
            </w:pPr>
            <w:r>
              <w:rPr>
                <w:rFonts w:ascii="Calibri" w:eastAsia="Times New Roman" w:hAnsi="Calibri" w:cs="Tahoma"/>
                <w:sz w:val="21"/>
                <w:szCs w:val="21"/>
              </w:rPr>
              <w:t xml:space="preserve">The University of Maine at Presque Isle </w:t>
            </w:r>
            <w:r w:rsidR="00D41941">
              <w:rPr>
                <w:rFonts w:ascii="Calibri" w:eastAsia="Times New Roman" w:hAnsi="Calibri" w:cs="Tahoma"/>
                <w:sz w:val="21"/>
                <w:szCs w:val="21"/>
              </w:rPr>
              <w:t xml:space="preserve">(UMPI) </w:t>
            </w:r>
            <w:r>
              <w:rPr>
                <w:rFonts w:ascii="Calibri" w:eastAsia="Times New Roman" w:hAnsi="Calibri" w:cs="Tahoma"/>
                <w:sz w:val="21"/>
                <w:szCs w:val="21"/>
              </w:rPr>
              <w:t xml:space="preserve">is a nationally recognized institution of innovation and opportunity, providing students with an affordable and personalized education, a caring, small-university environment, and life-changing experiences that prepare them to be career-ready graduates. Established in 1903, UMPI now offers </w:t>
            </w:r>
            <w:r w:rsidR="00F34736">
              <w:rPr>
                <w:rFonts w:ascii="Calibri" w:eastAsia="Times New Roman" w:hAnsi="Calibri" w:cs="Tahoma"/>
                <w:sz w:val="21"/>
                <w:szCs w:val="21"/>
              </w:rPr>
              <w:t>bachelor’s</w:t>
            </w:r>
            <w:r>
              <w:rPr>
                <w:rFonts w:ascii="Calibri" w:eastAsia="Times New Roman" w:hAnsi="Calibri" w:cs="Tahoma"/>
                <w:sz w:val="21"/>
                <w:szCs w:val="21"/>
              </w:rPr>
              <w:t xml:space="preserve">, </w:t>
            </w:r>
            <w:r w:rsidR="00F34736">
              <w:rPr>
                <w:rFonts w:ascii="Calibri" w:eastAsia="Times New Roman" w:hAnsi="Calibri" w:cs="Tahoma"/>
                <w:sz w:val="21"/>
                <w:szCs w:val="21"/>
              </w:rPr>
              <w:t>associate’s</w:t>
            </w:r>
            <w:r>
              <w:rPr>
                <w:rFonts w:ascii="Calibri" w:eastAsia="Times New Roman" w:hAnsi="Calibri" w:cs="Tahoma"/>
                <w:sz w:val="21"/>
                <w:szCs w:val="21"/>
              </w:rPr>
              <w:t xml:space="preserve">, online, and </w:t>
            </w:r>
            <w:r w:rsidR="00F34736">
              <w:rPr>
                <w:rFonts w:ascii="Calibri" w:eastAsia="Times New Roman" w:hAnsi="Calibri" w:cs="Tahoma"/>
                <w:sz w:val="21"/>
                <w:szCs w:val="21"/>
              </w:rPr>
              <w:t>competency</w:t>
            </w:r>
            <w:r>
              <w:rPr>
                <w:rFonts w:ascii="Calibri" w:eastAsia="Times New Roman" w:hAnsi="Calibri" w:cs="Tahoma"/>
                <w:sz w:val="21"/>
                <w:szCs w:val="21"/>
              </w:rPr>
              <w:t>-</w:t>
            </w:r>
            <w:r w:rsidR="00F34736">
              <w:rPr>
                <w:rFonts w:ascii="Calibri" w:eastAsia="Times New Roman" w:hAnsi="Calibri" w:cs="Tahoma"/>
                <w:sz w:val="21"/>
                <w:szCs w:val="21"/>
              </w:rPr>
              <w:t xml:space="preserve">based education </w:t>
            </w:r>
            <w:r>
              <w:rPr>
                <w:rFonts w:ascii="Calibri" w:eastAsia="Times New Roman" w:hAnsi="Calibri" w:cs="Tahoma"/>
                <w:sz w:val="21"/>
                <w:szCs w:val="21"/>
              </w:rPr>
              <w:t>degree programs</w:t>
            </w:r>
            <w:r w:rsidR="00845A3B">
              <w:rPr>
                <w:rFonts w:ascii="Calibri" w:eastAsia="Times New Roman" w:hAnsi="Calibri" w:cs="Tahoma"/>
                <w:sz w:val="21"/>
                <w:szCs w:val="21"/>
              </w:rPr>
              <w:t xml:space="preserve">, as well as its first </w:t>
            </w:r>
            <w:r w:rsidR="00F34736">
              <w:rPr>
                <w:rFonts w:ascii="Calibri" w:eastAsia="Times New Roman" w:hAnsi="Calibri" w:cs="Tahoma"/>
                <w:sz w:val="21"/>
                <w:szCs w:val="21"/>
              </w:rPr>
              <w:t xml:space="preserve">master’s </w:t>
            </w:r>
            <w:r w:rsidR="00845A3B">
              <w:rPr>
                <w:rFonts w:ascii="Calibri" w:eastAsia="Times New Roman" w:hAnsi="Calibri" w:cs="Tahoma"/>
                <w:sz w:val="21"/>
                <w:szCs w:val="21"/>
              </w:rPr>
              <w:t>degree program</w:t>
            </w:r>
            <w:r>
              <w:rPr>
                <w:rFonts w:ascii="Calibri" w:eastAsia="Times New Roman" w:hAnsi="Calibri" w:cs="Tahoma"/>
                <w:sz w:val="21"/>
                <w:szCs w:val="21"/>
              </w:rPr>
              <w:t>.</w:t>
            </w:r>
          </w:p>
        </w:tc>
      </w:tr>
      <w:tr w:rsidR="00E7511E" w14:paraId="499A8BA7" w14:textId="77777777" w:rsidTr="00DE50BF">
        <w:trPr>
          <w:trHeight w:val="1620"/>
          <w:jc w:val="center"/>
        </w:trPr>
        <w:tc>
          <w:tcPr>
            <w:tcW w:w="3971" w:type="dxa"/>
            <w:vAlign w:val="center"/>
            <w:hideMark/>
          </w:tcPr>
          <w:p w14:paraId="5D1C8ED6" w14:textId="78B5A369" w:rsidR="00E7511E" w:rsidRDefault="00614713">
            <w:pPr>
              <w:tabs>
                <w:tab w:val="left" w:pos="5040"/>
              </w:tabs>
              <w:spacing w:after="80"/>
              <w:rPr>
                <w:rFonts w:ascii="Calibri" w:eastAsia="Times New Roman" w:hAnsi="Calibri" w:cs="Tahoma"/>
                <w:noProof/>
                <w:sz w:val="21"/>
                <w:szCs w:val="21"/>
              </w:rPr>
            </w:pPr>
            <w:r>
              <w:rPr>
                <w:noProof/>
              </w:rPr>
              <w:drawing>
                <wp:inline distT="0" distB="0" distL="0" distR="0" wp14:anchorId="6B4AE196" wp14:editId="02887158">
                  <wp:extent cx="2384425" cy="795020"/>
                  <wp:effectExtent l="0" t="0" r="0" b="5080"/>
                  <wp:docPr id="6" name="Picture 6" descr="University of Southern Ma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4425" cy="795020"/>
                          </a:xfrm>
                          <a:prstGeom prst="rect">
                            <a:avLst/>
                          </a:prstGeom>
                        </pic:spPr>
                      </pic:pic>
                    </a:graphicData>
                  </a:graphic>
                </wp:inline>
              </w:drawing>
            </w:r>
          </w:p>
        </w:tc>
        <w:tc>
          <w:tcPr>
            <w:tcW w:w="5416" w:type="dxa"/>
            <w:hideMark/>
          </w:tcPr>
          <w:p w14:paraId="2BA08EFF" w14:textId="77777777" w:rsidR="00E7511E" w:rsidRDefault="00E7511E">
            <w:pPr>
              <w:tabs>
                <w:tab w:val="left" w:pos="5040"/>
              </w:tabs>
              <w:spacing w:after="80"/>
              <w:ind w:right="-18"/>
              <w:rPr>
                <w:rFonts w:ascii="Calibri" w:eastAsia="Times New Roman" w:hAnsi="Calibri" w:cs="Tahoma"/>
                <w:sz w:val="21"/>
                <w:szCs w:val="21"/>
              </w:rPr>
            </w:pPr>
            <w:r>
              <w:rPr>
                <w:rFonts w:ascii="Calibri" w:eastAsia="Times New Roman" w:hAnsi="Calibri" w:cs="Tahoma"/>
                <w:sz w:val="21"/>
                <w:szCs w:val="21"/>
              </w:rPr>
              <w:t>The University of Southern Maine (USM) is northern New England’s outstanding public, regional, comprehensive university, dedicated to providing students with a high-quality, accessible, affordable education. From campuses in Portland, Gorham, and Lewiston-Auburn, USM offers baccalaureate, master’s, and doctoral programs.</w:t>
            </w:r>
          </w:p>
        </w:tc>
      </w:tr>
      <w:tr w:rsidR="00571D6E" w14:paraId="65A6C137" w14:textId="77777777" w:rsidTr="00DE50BF">
        <w:trPr>
          <w:trHeight w:val="1350"/>
          <w:jc w:val="center"/>
        </w:trPr>
        <w:tc>
          <w:tcPr>
            <w:tcW w:w="3971" w:type="dxa"/>
            <w:vAlign w:val="center"/>
            <w:hideMark/>
          </w:tcPr>
          <w:p w14:paraId="637D8587" w14:textId="7DFA1C7A" w:rsidR="00571D6E" w:rsidRDefault="00A00FC3" w:rsidP="006A24DD">
            <w:pPr>
              <w:tabs>
                <w:tab w:val="left" w:pos="5040"/>
              </w:tabs>
              <w:spacing w:after="80"/>
              <w:rPr>
                <w:noProof/>
              </w:rPr>
            </w:pPr>
            <w:r>
              <w:rPr>
                <w:noProof/>
              </w:rPr>
              <w:drawing>
                <wp:inline distT="0" distB="0" distL="0" distR="0" wp14:anchorId="3DFBAF9B" wp14:editId="0C9BC90B">
                  <wp:extent cx="1828800" cy="826476"/>
                  <wp:effectExtent l="0" t="0" r="0" b="0"/>
                  <wp:docPr id="94" name="Picture 94" descr="University of Maine Law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Maine Law School Home P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826476"/>
                          </a:xfrm>
                          <a:prstGeom prst="rect">
                            <a:avLst/>
                          </a:prstGeom>
                          <a:noFill/>
                          <a:ln>
                            <a:noFill/>
                          </a:ln>
                        </pic:spPr>
                      </pic:pic>
                    </a:graphicData>
                  </a:graphic>
                </wp:inline>
              </w:drawing>
            </w:r>
          </w:p>
        </w:tc>
        <w:tc>
          <w:tcPr>
            <w:tcW w:w="5416" w:type="dxa"/>
            <w:hideMark/>
          </w:tcPr>
          <w:p w14:paraId="6178782A" w14:textId="62F94630" w:rsidR="00571D6E" w:rsidRDefault="00571D6E" w:rsidP="00C1157B">
            <w:pPr>
              <w:tabs>
                <w:tab w:val="left" w:pos="5040"/>
              </w:tabs>
              <w:spacing w:after="80"/>
              <w:ind w:right="-18"/>
              <w:rPr>
                <w:rFonts w:ascii="Calibri" w:eastAsia="Times New Roman" w:hAnsi="Calibri" w:cs="Tahoma"/>
                <w:sz w:val="21"/>
                <w:szCs w:val="21"/>
              </w:rPr>
            </w:pPr>
            <w:r>
              <w:rPr>
                <w:rFonts w:ascii="Calibri" w:eastAsia="Times New Roman" w:hAnsi="Calibri" w:cs="Tahoma"/>
                <w:sz w:val="21"/>
                <w:szCs w:val="21"/>
              </w:rPr>
              <w:t>The University of Maine School of Law</w:t>
            </w:r>
            <w:r w:rsidR="00A17796">
              <w:rPr>
                <w:rFonts w:ascii="Calibri" w:eastAsia="Times New Roman" w:hAnsi="Calibri" w:cs="Tahoma"/>
                <w:sz w:val="21"/>
                <w:szCs w:val="21"/>
              </w:rPr>
              <w:t xml:space="preserve"> (Maine Law)</w:t>
            </w:r>
            <w:r w:rsidR="00833E41">
              <w:rPr>
                <w:rFonts w:ascii="Calibri" w:eastAsia="Times New Roman" w:hAnsi="Calibri" w:cs="Tahoma"/>
                <w:sz w:val="21"/>
                <w:szCs w:val="21"/>
              </w:rPr>
              <w:t xml:space="preserve">, a </w:t>
            </w:r>
            <w:r w:rsidR="000438AF">
              <w:rPr>
                <w:rFonts w:ascii="Calibri" w:eastAsia="Times New Roman" w:hAnsi="Calibri" w:cs="Tahoma"/>
                <w:sz w:val="21"/>
                <w:szCs w:val="21"/>
              </w:rPr>
              <w:t>free-standing</w:t>
            </w:r>
            <w:r w:rsidR="00833E41">
              <w:rPr>
                <w:rFonts w:ascii="Calibri" w:eastAsia="Times New Roman" w:hAnsi="Calibri" w:cs="Tahoma"/>
                <w:sz w:val="21"/>
                <w:szCs w:val="21"/>
              </w:rPr>
              <w:t xml:space="preserve"> institution within the System and located in Portland,</w:t>
            </w:r>
            <w:r>
              <w:rPr>
                <w:rFonts w:ascii="Calibri" w:eastAsia="Times New Roman" w:hAnsi="Calibri" w:cs="Tahoma"/>
                <w:sz w:val="21"/>
                <w:szCs w:val="21"/>
              </w:rPr>
              <w:t xml:space="preserve"> is committed to justice and leadership in a changing world. As the state’s public and only law school, Maine Law provides an accessible and affordable student-focused program of legal education through a rigorous </w:t>
            </w:r>
            <w:r w:rsidR="00C1157B">
              <w:rPr>
                <w:rFonts w:ascii="Calibri" w:eastAsia="Times New Roman" w:hAnsi="Calibri" w:cs="Tahoma"/>
                <w:sz w:val="21"/>
                <w:szCs w:val="21"/>
              </w:rPr>
              <w:t xml:space="preserve">doctrinal and experiential curriculum. </w:t>
            </w:r>
          </w:p>
        </w:tc>
      </w:tr>
    </w:tbl>
    <w:p w14:paraId="48EC564A" w14:textId="638635BE" w:rsidR="00E7511E" w:rsidRPr="00DE50BF" w:rsidRDefault="00E7511E" w:rsidP="006E44D1">
      <w:pPr>
        <w:tabs>
          <w:tab w:val="left" w:pos="4860"/>
        </w:tabs>
        <w:spacing w:before="120"/>
        <w:rPr>
          <w:sz w:val="20"/>
          <w:szCs w:val="20"/>
        </w:rPr>
      </w:pPr>
      <w:r>
        <w:rPr>
          <w:rFonts w:ascii="Calibri" w:eastAsia="Times New Roman" w:hAnsi="Calibri" w:cs="Tahoma"/>
          <w:sz w:val="24"/>
          <w:szCs w:val="24"/>
        </w:rPr>
        <w:lastRenderedPageBreak/>
        <w:t xml:space="preserve">Lewiston-Auburn College is a campus of USM. The Hutchinson Center in Belfast is a campus of UM. UMA Bangor is a campus of UMA. UMA also has </w:t>
      </w:r>
      <w:r w:rsidRPr="009641E0">
        <w:rPr>
          <w:rFonts w:ascii="Calibri" w:eastAsia="Times New Roman" w:hAnsi="Calibri" w:cs="Tahoma"/>
          <w:sz w:val="24"/>
          <w:szCs w:val="24"/>
        </w:rPr>
        <w:t>eight C</w:t>
      </w:r>
      <w:r>
        <w:rPr>
          <w:rFonts w:ascii="Calibri" w:eastAsia="Times New Roman" w:hAnsi="Calibri" w:cs="Tahoma"/>
          <w:sz w:val="24"/>
          <w:szCs w:val="24"/>
        </w:rPr>
        <w:t xml:space="preserve">enters that provide onsite, distance and online students with access and support to education courses offered by all </w:t>
      </w:r>
      <w:r w:rsidRPr="00833E41">
        <w:rPr>
          <w:rFonts w:ascii="Calibri" w:eastAsia="Times New Roman" w:hAnsi="Calibri" w:cs="Tahoma"/>
          <w:sz w:val="24"/>
          <w:szCs w:val="24"/>
        </w:rPr>
        <w:t xml:space="preserve">seven UMS </w:t>
      </w:r>
      <w:r>
        <w:rPr>
          <w:rFonts w:ascii="Calibri" w:eastAsia="Times New Roman" w:hAnsi="Calibri" w:cs="Tahoma"/>
          <w:sz w:val="24"/>
          <w:szCs w:val="24"/>
        </w:rPr>
        <w:t xml:space="preserve">universities at the </w:t>
      </w:r>
      <w:r w:rsidR="006E06BF">
        <w:rPr>
          <w:rFonts w:ascii="Calibri" w:eastAsia="Times New Roman" w:hAnsi="Calibri" w:cs="Tahoma"/>
          <w:sz w:val="24"/>
          <w:szCs w:val="24"/>
        </w:rPr>
        <w:t>c</w:t>
      </w:r>
      <w:r>
        <w:rPr>
          <w:rFonts w:ascii="Calibri" w:eastAsia="Times New Roman" w:hAnsi="Calibri" w:cs="Tahoma"/>
          <w:sz w:val="24"/>
          <w:szCs w:val="24"/>
        </w:rPr>
        <w:t xml:space="preserve">enters as well as at </w:t>
      </w:r>
      <w:r w:rsidR="009641E0" w:rsidRPr="00134EB8">
        <w:rPr>
          <w:rFonts w:ascii="Calibri" w:eastAsia="Times New Roman" w:hAnsi="Calibri" w:cs="Tahoma"/>
          <w:sz w:val="24"/>
          <w:szCs w:val="24"/>
        </w:rPr>
        <w:t>34</w:t>
      </w:r>
      <w:r w:rsidRPr="007B6603">
        <w:rPr>
          <w:rFonts w:ascii="Calibri" w:eastAsia="Times New Roman" w:hAnsi="Calibri" w:cs="Tahoma"/>
          <w:sz w:val="24"/>
          <w:szCs w:val="24"/>
        </w:rPr>
        <w:t xml:space="preserve"> </w:t>
      </w:r>
      <w:r w:rsidRPr="00134EB8">
        <w:rPr>
          <w:rFonts w:ascii="Calibri" w:eastAsia="Times New Roman" w:hAnsi="Calibri" w:cs="Tahoma"/>
          <w:sz w:val="24"/>
          <w:szCs w:val="24"/>
        </w:rPr>
        <w:t>Interactive Television (ITV)</w:t>
      </w:r>
      <w:r w:rsidRPr="007B6603">
        <w:rPr>
          <w:rFonts w:ascii="Calibri" w:eastAsia="Times New Roman" w:hAnsi="Calibri" w:cs="Tahoma"/>
          <w:sz w:val="24"/>
          <w:szCs w:val="24"/>
        </w:rPr>
        <w:t xml:space="preserve"> </w:t>
      </w:r>
      <w:r>
        <w:rPr>
          <w:rFonts w:ascii="Calibri" w:eastAsia="Times New Roman" w:hAnsi="Calibri" w:cs="Tahoma"/>
          <w:sz w:val="24"/>
          <w:szCs w:val="24"/>
        </w:rPr>
        <w:t>course sites statewide.</w:t>
      </w:r>
    </w:p>
    <w:p w14:paraId="2DB73FCF" w14:textId="77777777" w:rsidR="00E7511E" w:rsidRDefault="00E7511E" w:rsidP="00E7511E">
      <w:pPr>
        <w:pStyle w:val="AFR3"/>
      </w:pPr>
      <w:r>
        <w:t>Student Enrollment</w:t>
      </w:r>
    </w:p>
    <w:p w14:paraId="7CEC2CED" w14:textId="15DDCD2A" w:rsidR="00055DAE" w:rsidRDefault="00E7511E" w:rsidP="00A74468">
      <w:pPr>
        <w:tabs>
          <w:tab w:val="left" w:pos="4860"/>
        </w:tabs>
        <w:spacing w:after="120"/>
        <w:rPr>
          <w:rFonts w:ascii="Calibri" w:eastAsia="Times New Roman" w:hAnsi="Calibri" w:cs="Tahoma"/>
          <w:sz w:val="24"/>
          <w:szCs w:val="24"/>
        </w:rPr>
      </w:pPr>
      <w:r>
        <w:rPr>
          <w:rFonts w:ascii="Calibri" w:eastAsia="Times New Roman" w:hAnsi="Calibri" w:cs="Tahoma"/>
          <w:sz w:val="24"/>
          <w:szCs w:val="24"/>
        </w:rPr>
        <w:t>Chart 1 shows student enrollment, including early college, on a headcount basis with 29,</w:t>
      </w:r>
      <w:r w:rsidR="0043650F">
        <w:rPr>
          <w:rFonts w:ascii="Calibri" w:eastAsia="Times New Roman" w:hAnsi="Calibri" w:cs="Tahoma"/>
          <w:sz w:val="24"/>
          <w:szCs w:val="24"/>
        </w:rPr>
        <w:t xml:space="preserve">683 </w:t>
      </w:r>
      <w:r>
        <w:rPr>
          <w:rFonts w:ascii="Calibri" w:eastAsia="Times New Roman" w:hAnsi="Calibri" w:cs="Tahoma"/>
          <w:sz w:val="24"/>
          <w:szCs w:val="24"/>
        </w:rPr>
        <w:t xml:space="preserve">students enrolled for the fall </w:t>
      </w:r>
      <w:r w:rsidR="0043650F">
        <w:rPr>
          <w:rFonts w:ascii="Calibri" w:eastAsia="Times New Roman" w:hAnsi="Calibri" w:cs="Tahoma"/>
          <w:sz w:val="24"/>
          <w:szCs w:val="24"/>
        </w:rPr>
        <w:t xml:space="preserve">2020 </w:t>
      </w:r>
      <w:r>
        <w:rPr>
          <w:rFonts w:ascii="Calibri" w:eastAsia="Times New Roman" w:hAnsi="Calibri" w:cs="Tahoma"/>
          <w:sz w:val="24"/>
          <w:szCs w:val="24"/>
        </w:rPr>
        <w:t xml:space="preserve">semester, </w:t>
      </w:r>
      <w:r w:rsidR="0043650F">
        <w:rPr>
          <w:rFonts w:ascii="Calibri" w:eastAsia="Times New Roman" w:hAnsi="Calibri" w:cs="Tahoma"/>
          <w:sz w:val="24"/>
          <w:szCs w:val="24"/>
        </w:rPr>
        <w:t>down</w:t>
      </w:r>
      <w:r>
        <w:rPr>
          <w:rFonts w:ascii="Calibri" w:eastAsia="Times New Roman" w:hAnsi="Calibri" w:cs="Tahoma"/>
          <w:sz w:val="24"/>
          <w:szCs w:val="24"/>
        </w:rPr>
        <w:t xml:space="preserve"> </w:t>
      </w:r>
      <w:r w:rsidR="00B701AA">
        <w:rPr>
          <w:rFonts w:ascii="Calibri" w:eastAsia="Times New Roman" w:hAnsi="Calibri" w:cs="Tahoma"/>
          <w:sz w:val="24"/>
          <w:szCs w:val="24"/>
        </w:rPr>
        <w:t>1.0</w:t>
      </w:r>
      <w:r>
        <w:rPr>
          <w:rFonts w:ascii="Calibri" w:eastAsia="Times New Roman" w:hAnsi="Calibri" w:cs="Tahoma"/>
          <w:sz w:val="24"/>
          <w:szCs w:val="24"/>
        </w:rPr>
        <w:t xml:space="preserve">% from fall </w:t>
      </w:r>
      <w:r w:rsidR="0043650F">
        <w:rPr>
          <w:rFonts w:ascii="Calibri" w:eastAsia="Times New Roman" w:hAnsi="Calibri" w:cs="Tahoma"/>
          <w:sz w:val="24"/>
          <w:szCs w:val="24"/>
        </w:rPr>
        <w:t xml:space="preserve">2019 </w:t>
      </w:r>
      <w:r>
        <w:rPr>
          <w:rFonts w:ascii="Calibri" w:eastAsia="Times New Roman" w:hAnsi="Calibri" w:cs="Tahoma"/>
          <w:sz w:val="24"/>
          <w:szCs w:val="24"/>
        </w:rPr>
        <w:t xml:space="preserve">and up </w:t>
      </w:r>
      <w:r w:rsidR="005471BA">
        <w:rPr>
          <w:rFonts w:ascii="Calibri" w:eastAsia="Times New Roman" w:hAnsi="Calibri" w:cs="Tahoma"/>
          <w:sz w:val="24"/>
          <w:szCs w:val="24"/>
        </w:rPr>
        <w:t>0</w:t>
      </w:r>
      <w:r w:rsidR="0043650F">
        <w:rPr>
          <w:rFonts w:ascii="Calibri" w:eastAsia="Times New Roman" w:hAnsi="Calibri" w:cs="Tahoma"/>
          <w:sz w:val="24"/>
          <w:szCs w:val="24"/>
        </w:rPr>
        <w:t>.</w:t>
      </w:r>
      <w:r w:rsidR="00B701AA">
        <w:rPr>
          <w:rFonts w:ascii="Calibri" w:eastAsia="Times New Roman" w:hAnsi="Calibri" w:cs="Tahoma"/>
          <w:sz w:val="24"/>
          <w:szCs w:val="24"/>
        </w:rPr>
        <w:t>7</w:t>
      </w:r>
      <w:r>
        <w:rPr>
          <w:rFonts w:ascii="Calibri" w:eastAsia="Times New Roman" w:hAnsi="Calibri" w:cs="Tahoma"/>
          <w:sz w:val="24"/>
          <w:szCs w:val="24"/>
        </w:rPr>
        <w:t xml:space="preserve">% since fall </w:t>
      </w:r>
      <w:r w:rsidR="0043650F">
        <w:rPr>
          <w:rFonts w:ascii="Calibri" w:eastAsia="Times New Roman" w:hAnsi="Calibri" w:cs="Tahoma"/>
          <w:sz w:val="24"/>
          <w:szCs w:val="24"/>
        </w:rPr>
        <w:t>2016</w:t>
      </w:r>
      <w:r>
        <w:rPr>
          <w:rFonts w:ascii="Calibri" w:eastAsia="Times New Roman" w:hAnsi="Calibri" w:cs="Tahoma"/>
          <w:sz w:val="24"/>
          <w:szCs w:val="24"/>
        </w:rPr>
        <w:t xml:space="preserve">. For </w:t>
      </w:r>
      <w:r w:rsidR="00E511DD">
        <w:rPr>
          <w:rFonts w:ascii="Calibri" w:eastAsia="Times New Roman" w:hAnsi="Calibri" w:cs="Tahoma"/>
          <w:sz w:val="24"/>
          <w:szCs w:val="24"/>
        </w:rPr>
        <w:t xml:space="preserve">both </w:t>
      </w:r>
      <w:r>
        <w:rPr>
          <w:rFonts w:ascii="Calibri" w:eastAsia="Times New Roman" w:hAnsi="Calibri" w:cs="Tahoma"/>
          <w:sz w:val="24"/>
          <w:szCs w:val="24"/>
        </w:rPr>
        <w:t>fall 20</w:t>
      </w:r>
      <w:r w:rsidR="0043650F">
        <w:rPr>
          <w:rFonts w:ascii="Calibri" w:eastAsia="Times New Roman" w:hAnsi="Calibri" w:cs="Tahoma"/>
          <w:sz w:val="24"/>
          <w:szCs w:val="24"/>
        </w:rPr>
        <w:t>20</w:t>
      </w:r>
      <w:r w:rsidR="00E511DD">
        <w:rPr>
          <w:rFonts w:ascii="Calibri" w:eastAsia="Times New Roman" w:hAnsi="Calibri" w:cs="Tahoma"/>
          <w:sz w:val="24"/>
          <w:szCs w:val="24"/>
        </w:rPr>
        <w:t xml:space="preserve"> and fall 2019</w:t>
      </w:r>
      <w:r>
        <w:rPr>
          <w:rFonts w:ascii="Calibri" w:eastAsia="Times New Roman" w:hAnsi="Calibri" w:cs="Tahoma"/>
          <w:sz w:val="24"/>
          <w:szCs w:val="24"/>
        </w:rPr>
        <w:t>, 63% of the student population were enrolled full-time.</w:t>
      </w:r>
    </w:p>
    <w:p w14:paraId="12FAD988" w14:textId="21B19F9C" w:rsidR="00055DAE" w:rsidRDefault="00E51B8F" w:rsidP="00DE50BF">
      <w:pPr>
        <w:tabs>
          <w:tab w:val="left" w:pos="4860"/>
        </w:tabs>
        <w:spacing w:before="160" w:after="160"/>
        <w:ind w:left="360" w:hanging="360"/>
        <w:jc w:val="center"/>
        <w:rPr>
          <w:rFonts w:ascii="Calibri" w:eastAsia="Times New Roman" w:hAnsi="Calibri" w:cs="Tahoma"/>
          <w:szCs w:val="24"/>
        </w:rPr>
      </w:pPr>
      <w:r>
        <w:rPr>
          <w:noProof/>
        </w:rPr>
        <w:drawing>
          <wp:inline distT="0" distB="0" distL="0" distR="0" wp14:anchorId="104D2A73" wp14:editId="2FC729CD">
            <wp:extent cx="4572000" cy="3200400"/>
            <wp:effectExtent l="0" t="0" r="0" b="0"/>
            <wp:docPr id="29" name="Chart 29">
              <a:extLst xmlns:a="http://schemas.openxmlformats.org/drawingml/2006/main">
                <a:ext uri="{FF2B5EF4-FFF2-40B4-BE49-F238E27FC236}">
                  <a16:creationId xmlns:a16="http://schemas.microsoft.com/office/drawing/2014/main" id="{00000000-0008-0000-01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0F0818" w14:textId="7914842B" w:rsidR="009B0B1F" w:rsidRDefault="00E7511E" w:rsidP="00AE71D8">
      <w:pPr>
        <w:tabs>
          <w:tab w:val="left" w:pos="4860"/>
        </w:tabs>
        <w:spacing w:before="360"/>
        <w:rPr>
          <w:rFonts w:ascii="Calibri" w:eastAsia="Times New Roman" w:hAnsi="Calibri" w:cs="Tahoma"/>
          <w:color w:val="FF0000"/>
          <w:szCs w:val="24"/>
        </w:rPr>
      </w:pPr>
      <w:r>
        <w:rPr>
          <w:rFonts w:ascii="Calibri" w:eastAsia="Times New Roman" w:hAnsi="Calibri" w:cs="Tahoma"/>
          <w:sz w:val="24"/>
          <w:szCs w:val="24"/>
        </w:rPr>
        <w:t>Chart 2 and Table 1 show student enrollment, including early college, on a full-time equivalent (FTE) basis with 21,</w:t>
      </w:r>
      <w:r w:rsidR="0043650F">
        <w:rPr>
          <w:rFonts w:ascii="Calibri" w:eastAsia="Times New Roman" w:hAnsi="Calibri" w:cs="Tahoma"/>
          <w:sz w:val="24"/>
          <w:szCs w:val="24"/>
        </w:rPr>
        <w:t xml:space="preserve">618 </w:t>
      </w:r>
      <w:r>
        <w:rPr>
          <w:rFonts w:ascii="Calibri" w:eastAsia="Times New Roman" w:hAnsi="Calibri" w:cs="Tahoma"/>
          <w:sz w:val="24"/>
          <w:szCs w:val="24"/>
        </w:rPr>
        <w:t xml:space="preserve">FTE students enrolled for the fall </w:t>
      </w:r>
      <w:r w:rsidR="0043650F">
        <w:rPr>
          <w:rFonts w:ascii="Calibri" w:eastAsia="Times New Roman" w:hAnsi="Calibri" w:cs="Tahoma"/>
          <w:sz w:val="24"/>
          <w:szCs w:val="24"/>
        </w:rPr>
        <w:t xml:space="preserve">2020 </w:t>
      </w:r>
      <w:r>
        <w:rPr>
          <w:rFonts w:ascii="Calibri" w:eastAsia="Times New Roman" w:hAnsi="Calibri" w:cs="Tahoma"/>
          <w:sz w:val="24"/>
          <w:szCs w:val="24"/>
        </w:rPr>
        <w:t xml:space="preserve">semester, down </w:t>
      </w:r>
      <w:r w:rsidR="0043650F">
        <w:rPr>
          <w:rFonts w:ascii="Calibri" w:eastAsia="Times New Roman" w:hAnsi="Calibri" w:cs="Tahoma"/>
          <w:sz w:val="24"/>
          <w:szCs w:val="24"/>
        </w:rPr>
        <w:t>1.4</w:t>
      </w:r>
      <w:r>
        <w:rPr>
          <w:rFonts w:ascii="Calibri" w:eastAsia="Times New Roman" w:hAnsi="Calibri" w:cs="Tahoma"/>
          <w:sz w:val="24"/>
          <w:szCs w:val="24"/>
        </w:rPr>
        <w:t xml:space="preserve">% from fall </w:t>
      </w:r>
      <w:r w:rsidR="009D0828">
        <w:rPr>
          <w:rFonts w:ascii="Calibri" w:eastAsia="Times New Roman" w:hAnsi="Calibri" w:cs="Tahoma"/>
          <w:sz w:val="24"/>
          <w:szCs w:val="24"/>
        </w:rPr>
        <w:t xml:space="preserve">2019 </w:t>
      </w:r>
      <w:r>
        <w:rPr>
          <w:rFonts w:ascii="Calibri" w:eastAsia="Times New Roman" w:hAnsi="Calibri" w:cs="Tahoma"/>
          <w:sz w:val="24"/>
          <w:szCs w:val="24"/>
        </w:rPr>
        <w:t xml:space="preserve">and </w:t>
      </w:r>
      <w:r w:rsidR="009D0828">
        <w:rPr>
          <w:rFonts w:ascii="Calibri" w:eastAsia="Times New Roman" w:hAnsi="Calibri" w:cs="Tahoma"/>
          <w:sz w:val="24"/>
          <w:szCs w:val="24"/>
        </w:rPr>
        <w:t xml:space="preserve">down </w:t>
      </w:r>
      <w:r>
        <w:rPr>
          <w:rFonts w:ascii="Calibri" w:eastAsia="Times New Roman" w:hAnsi="Calibri" w:cs="Tahoma"/>
          <w:sz w:val="24"/>
          <w:szCs w:val="24"/>
        </w:rPr>
        <w:t>1.</w:t>
      </w:r>
      <w:r w:rsidR="009D0828">
        <w:rPr>
          <w:rFonts w:ascii="Calibri" w:eastAsia="Times New Roman" w:hAnsi="Calibri" w:cs="Tahoma"/>
          <w:sz w:val="24"/>
          <w:szCs w:val="24"/>
        </w:rPr>
        <w:t>1</w:t>
      </w:r>
      <w:r>
        <w:rPr>
          <w:rFonts w:ascii="Calibri" w:eastAsia="Times New Roman" w:hAnsi="Calibri" w:cs="Tahoma"/>
          <w:sz w:val="24"/>
          <w:szCs w:val="24"/>
        </w:rPr>
        <w:t>% from fall 201</w:t>
      </w:r>
      <w:r w:rsidR="009D0828">
        <w:rPr>
          <w:rFonts w:ascii="Calibri" w:eastAsia="Times New Roman" w:hAnsi="Calibri" w:cs="Tahoma"/>
          <w:sz w:val="24"/>
          <w:szCs w:val="24"/>
        </w:rPr>
        <w:t>6</w:t>
      </w:r>
      <w:r>
        <w:rPr>
          <w:rFonts w:ascii="Calibri" w:eastAsia="Times New Roman" w:hAnsi="Calibri" w:cs="Tahoma"/>
          <w:sz w:val="24"/>
          <w:szCs w:val="24"/>
        </w:rPr>
        <w:t xml:space="preserve">. For fall </w:t>
      </w:r>
      <w:r w:rsidR="009D0828">
        <w:rPr>
          <w:rFonts w:ascii="Calibri" w:eastAsia="Times New Roman" w:hAnsi="Calibri" w:cs="Tahoma"/>
          <w:sz w:val="24"/>
          <w:szCs w:val="24"/>
        </w:rPr>
        <w:t>2020</w:t>
      </w:r>
      <w:r w:rsidR="00E511DD">
        <w:rPr>
          <w:rFonts w:ascii="Calibri" w:eastAsia="Times New Roman" w:hAnsi="Calibri" w:cs="Tahoma"/>
          <w:sz w:val="24"/>
          <w:szCs w:val="24"/>
        </w:rPr>
        <w:t>,</w:t>
      </w:r>
      <w:r w:rsidR="009D0828">
        <w:rPr>
          <w:rFonts w:ascii="Calibri" w:eastAsia="Times New Roman" w:hAnsi="Calibri" w:cs="Tahoma"/>
          <w:sz w:val="24"/>
          <w:szCs w:val="24"/>
        </w:rPr>
        <w:t xml:space="preserve"> </w:t>
      </w:r>
      <w:r w:rsidR="00B701AA">
        <w:rPr>
          <w:rFonts w:ascii="Calibri" w:eastAsia="Times New Roman" w:hAnsi="Calibri" w:cs="Tahoma"/>
          <w:sz w:val="24"/>
          <w:szCs w:val="24"/>
        </w:rPr>
        <w:t>73</w:t>
      </w:r>
      <w:r w:rsidR="00BF2FA2">
        <w:rPr>
          <w:rFonts w:ascii="Calibri" w:eastAsia="Times New Roman" w:hAnsi="Calibri" w:cs="Tahoma"/>
          <w:sz w:val="24"/>
          <w:szCs w:val="24"/>
        </w:rPr>
        <w:t>% of FTE enrollments</w:t>
      </w:r>
      <w:r w:rsidR="00845A3B">
        <w:rPr>
          <w:rFonts w:ascii="Calibri" w:eastAsia="Times New Roman" w:hAnsi="Calibri" w:cs="Tahoma"/>
          <w:sz w:val="24"/>
          <w:szCs w:val="24"/>
        </w:rPr>
        <w:t xml:space="preserve"> were from Maine resi</w:t>
      </w:r>
      <w:r w:rsidR="00E511DD">
        <w:rPr>
          <w:rFonts w:ascii="Calibri" w:eastAsia="Times New Roman" w:hAnsi="Calibri" w:cs="Tahoma"/>
          <w:sz w:val="24"/>
          <w:szCs w:val="24"/>
        </w:rPr>
        <w:t>dents</w:t>
      </w:r>
      <w:r w:rsidR="00A00145">
        <w:rPr>
          <w:rFonts w:ascii="Calibri" w:eastAsia="Times New Roman" w:hAnsi="Calibri" w:cs="Tahoma"/>
          <w:sz w:val="24"/>
          <w:szCs w:val="24"/>
        </w:rPr>
        <w:t xml:space="preserve"> compared to 75% for fall 2019.</w:t>
      </w:r>
    </w:p>
    <w:p w14:paraId="2525344F" w14:textId="3644F618" w:rsidR="00A00145" w:rsidRDefault="00E51B8F" w:rsidP="00B059A2">
      <w:pPr>
        <w:tabs>
          <w:tab w:val="left" w:pos="4860"/>
          <w:tab w:val="left" w:pos="8280"/>
        </w:tabs>
        <w:spacing w:before="160" w:after="160"/>
        <w:jc w:val="center"/>
        <w:rPr>
          <w:rFonts w:ascii="Calibri" w:eastAsia="Times New Roman" w:hAnsi="Calibri" w:cs="Tahoma"/>
          <w:b/>
          <w:bCs/>
          <w:smallCaps/>
          <w:u w:val="single"/>
        </w:rPr>
      </w:pPr>
      <w:r>
        <w:rPr>
          <w:noProof/>
        </w:rPr>
        <w:lastRenderedPageBreak/>
        <w:drawing>
          <wp:inline distT="0" distB="0" distL="0" distR="0" wp14:anchorId="2F2C9615" wp14:editId="069B6615">
            <wp:extent cx="5486400" cy="3200400"/>
            <wp:effectExtent l="0" t="0" r="0" b="0"/>
            <wp:docPr id="33" name="Chart 33">
              <a:extLst xmlns:a="http://schemas.openxmlformats.org/drawingml/2006/main">
                <a:ext uri="{FF2B5EF4-FFF2-40B4-BE49-F238E27FC236}">
                  <a16:creationId xmlns:a16="http://schemas.microsoft.com/office/drawing/2014/main" id="{00000000-0008-0000-04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E7A340" w14:textId="64F299A0" w:rsidR="00653071" w:rsidRPr="00100DD0" w:rsidRDefault="00100DD0" w:rsidP="00790AF8">
      <w:pPr>
        <w:tabs>
          <w:tab w:val="left" w:pos="4860"/>
          <w:tab w:val="left" w:pos="8280"/>
        </w:tabs>
        <w:spacing w:before="360" w:after="160"/>
        <w:jc w:val="center"/>
        <w:rPr>
          <w:b/>
        </w:rPr>
      </w:pPr>
      <w:r w:rsidRPr="00100DD0">
        <w:rPr>
          <w:b/>
          <w:sz w:val="28"/>
        </w:rPr>
        <w:t>Table 1: Student FTE Enrollment</w:t>
      </w:r>
      <w:r w:rsidR="00653071">
        <w:rPr>
          <w:b/>
        </w:rPr>
        <w:fldChar w:fldCharType="begin"/>
      </w:r>
      <w:r w:rsidR="00653071" w:rsidRPr="00100DD0">
        <w:rPr>
          <w:b/>
        </w:rPr>
        <w:instrText xml:space="preserve"> LINK Excel.Sheet.12 "\\\\wv-o-fs-sws1.sws.ad.maine.edu\\groupshares\\McMahan\\ACCTG DEPT - WRKG\\GL CLOSE WKPS\\YE CLOSE 2021\\YEFY21 WKPS\\Fin Stmts 21\\Annual Financial Report FY21\\2021 MD&amp;A Charts &amp; Tables\\C1.C2.T1 Fall Enroll 2020.xlsx" "Table 1-Report Version!R2C1:R10C12" \a \f 4 \h  \* MERGEFORMAT </w:instrText>
      </w:r>
      <w:r w:rsidR="00653071">
        <w:rPr>
          <w:b/>
        </w:rPr>
        <w:fldChar w:fldCharType="separate"/>
      </w:r>
    </w:p>
    <w:tbl>
      <w:tblPr>
        <w:tblW w:w="9817" w:type="dxa"/>
        <w:tblLayout w:type="fixed"/>
        <w:tblLook w:val="04A0" w:firstRow="1" w:lastRow="0" w:firstColumn="1" w:lastColumn="0" w:noHBand="0" w:noVBand="1"/>
      </w:tblPr>
      <w:tblGrid>
        <w:gridCol w:w="712"/>
        <w:gridCol w:w="998"/>
        <w:gridCol w:w="808"/>
        <w:gridCol w:w="831"/>
        <w:gridCol w:w="777"/>
        <w:gridCol w:w="831"/>
        <w:gridCol w:w="773"/>
        <w:gridCol w:w="831"/>
        <w:gridCol w:w="805"/>
        <w:gridCol w:w="831"/>
        <w:gridCol w:w="789"/>
        <w:gridCol w:w="831"/>
      </w:tblGrid>
      <w:tr w:rsidR="00275495" w:rsidRPr="00653071" w14:paraId="4295B43E" w14:textId="77777777" w:rsidTr="00275495">
        <w:trPr>
          <w:trHeight w:val="840"/>
        </w:trPr>
        <w:tc>
          <w:tcPr>
            <w:tcW w:w="712" w:type="dxa"/>
            <w:tcBorders>
              <w:top w:val="nil"/>
              <w:left w:val="nil"/>
              <w:bottom w:val="nil"/>
              <w:right w:val="nil"/>
            </w:tcBorders>
            <w:shd w:val="clear" w:color="000000" w:fill="FFFFFF"/>
            <w:noWrap/>
            <w:vAlign w:val="bottom"/>
            <w:hideMark/>
          </w:tcPr>
          <w:p w14:paraId="774713BE" w14:textId="70D8EC21" w:rsidR="00653071" w:rsidRPr="00653071" w:rsidRDefault="00653071" w:rsidP="00653071">
            <w:pPr>
              <w:rPr>
                <w:rFonts w:ascii="Calibri" w:eastAsia="Times New Roman" w:hAnsi="Calibri" w:cs="Calibri"/>
                <w:sz w:val="20"/>
                <w:szCs w:val="20"/>
              </w:rPr>
            </w:pPr>
            <w:r w:rsidRPr="00653071">
              <w:rPr>
                <w:rFonts w:ascii="Calibri" w:eastAsia="Times New Roman" w:hAnsi="Calibri" w:cs="Calibri"/>
                <w:sz w:val="20"/>
                <w:szCs w:val="20"/>
              </w:rPr>
              <w:t> </w:t>
            </w:r>
          </w:p>
        </w:tc>
        <w:tc>
          <w:tcPr>
            <w:tcW w:w="998" w:type="dxa"/>
            <w:tcBorders>
              <w:top w:val="nil"/>
              <w:left w:val="nil"/>
              <w:bottom w:val="nil"/>
              <w:right w:val="nil"/>
            </w:tcBorders>
            <w:shd w:val="clear" w:color="000000" w:fill="FFFFFF"/>
            <w:vAlign w:val="bottom"/>
            <w:hideMark/>
          </w:tcPr>
          <w:p w14:paraId="7CCD63D2" w14:textId="77777777" w:rsidR="00653071" w:rsidRPr="00653071" w:rsidRDefault="00653071" w:rsidP="00653071">
            <w:pPr>
              <w:jc w:val="center"/>
              <w:rPr>
                <w:rFonts w:ascii="Calibri" w:eastAsia="Times New Roman" w:hAnsi="Calibri" w:cs="Calibri"/>
                <w:b/>
                <w:bCs/>
                <w:sz w:val="20"/>
                <w:szCs w:val="20"/>
              </w:rPr>
            </w:pPr>
            <w:r w:rsidRPr="00653071">
              <w:rPr>
                <w:rFonts w:ascii="Calibri" w:eastAsia="Times New Roman" w:hAnsi="Calibri" w:cs="Calibri"/>
                <w:b/>
                <w:bCs/>
                <w:sz w:val="20"/>
                <w:szCs w:val="20"/>
              </w:rPr>
              <w:t xml:space="preserve">% Change </w:t>
            </w:r>
            <w:r w:rsidRPr="00653071">
              <w:rPr>
                <w:rFonts w:ascii="Calibri" w:eastAsia="Times New Roman" w:hAnsi="Calibri" w:cs="Calibri"/>
                <w:b/>
                <w:bCs/>
                <w:sz w:val="20"/>
                <w:szCs w:val="20"/>
              </w:rPr>
              <w:br/>
              <w:t xml:space="preserve">Fall 2016 </w:t>
            </w:r>
            <w:r w:rsidRPr="00653071">
              <w:rPr>
                <w:rFonts w:ascii="Calibri" w:eastAsia="Times New Roman" w:hAnsi="Calibri" w:cs="Calibri"/>
                <w:b/>
                <w:bCs/>
                <w:sz w:val="20"/>
                <w:szCs w:val="20"/>
              </w:rPr>
              <w:br/>
              <w:t>to 2020</w:t>
            </w:r>
          </w:p>
        </w:tc>
        <w:tc>
          <w:tcPr>
            <w:tcW w:w="808" w:type="dxa"/>
            <w:tcBorders>
              <w:top w:val="nil"/>
              <w:left w:val="nil"/>
              <w:bottom w:val="nil"/>
              <w:right w:val="nil"/>
            </w:tcBorders>
            <w:shd w:val="clear" w:color="000000" w:fill="FFFFFF"/>
            <w:vAlign w:val="bottom"/>
            <w:hideMark/>
          </w:tcPr>
          <w:p w14:paraId="6E7B5C9B" w14:textId="77777777" w:rsidR="00653071" w:rsidRPr="00653071" w:rsidRDefault="00653071" w:rsidP="00653071">
            <w:pPr>
              <w:jc w:val="center"/>
              <w:rPr>
                <w:rFonts w:ascii="Calibri" w:eastAsia="Times New Roman" w:hAnsi="Calibri" w:cs="Calibri"/>
                <w:b/>
                <w:bCs/>
                <w:sz w:val="20"/>
                <w:szCs w:val="20"/>
              </w:rPr>
            </w:pPr>
            <w:r w:rsidRPr="00653071">
              <w:rPr>
                <w:rFonts w:ascii="Calibri" w:eastAsia="Times New Roman" w:hAnsi="Calibri" w:cs="Calibri"/>
                <w:b/>
                <w:bCs/>
                <w:sz w:val="20"/>
                <w:szCs w:val="20"/>
              </w:rPr>
              <w:t>Fall 2020</w:t>
            </w:r>
          </w:p>
        </w:tc>
        <w:tc>
          <w:tcPr>
            <w:tcW w:w="831" w:type="dxa"/>
            <w:tcBorders>
              <w:top w:val="nil"/>
              <w:left w:val="nil"/>
              <w:bottom w:val="nil"/>
              <w:right w:val="nil"/>
            </w:tcBorders>
            <w:shd w:val="clear" w:color="000000" w:fill="FFFFFF"/>
            <w:vAlign w:val="bottom"/>
            <w:hideMark/>
          </w:tcPr>
          <w:p w14:paraId="0D9CA71D" w14:textId="77777777" w:rsidR="00653071" w:rsidRPr="00653071" w:rsidRDefault="00653071" w:rsidP="00653071">
            <w:pPr>
              <w:jc w:val="center"/>
              <w:rPr>
                <w:rFonts w:ascii="Calibri" w:eastAsia="Times New Roman" w:hAnsi="Calibri" w:cs="Calibri"/>
                <w:b/>
                <w:bCs/>
                <w:sz w:val="20"/>
                <w:szCs w:val="20"/>
              </w:rPr>
            </w:pPr>
            <w:r w:rsidRPr="00653071">
              <w:rPr>
                <w:rFonts w:ascii="Calibri" w:eastAsia="Times New Roman" w:hAnsi="Calibri" w:cs="Calibri"/>
                <w:b/>
                <w:bCs/>
                <w:sz w:val="20"/>
                <w:szCs w:val="20"/>
              </w:rPr>
              <w:t>% Change</w:t>
            </w:r>
          </w:p>
        </w:tc>
        <w:tc>
          <w:tcPr>
            <w:tcW w:w="777" w:type="dxa"/>
            <w:tcBorders>
              <w:top w:val="nil"/>
              <w:left w:val="nil"/>
              <w:bottom w:val="nil"/>
              <w:right w:val="nil"/>
            </w:tcBorders>
            <w:shd w:val="clear" w:color="000000" w:fill="FFFFFF"/>
            <w:vAlign w:val="bottom"/>
            <w:hideMark/>
          </w:tcPr>
          <w:p w14:paraId="4DC3C04D" w14:textId="77777777" w:rsidR="00653071" w:rsidRPr="00653071" w:rsidRDefault="00653071" w:rsidP="00653071">
            <w:pPr>
              <w:jc w:val="center"/>
              <w:rPr>
                <w:rFonts w:ascii="Calibri" w:eastAsia="Times New Roman" w:hAnsi="Calibri" w:cs="Calibri"/>
                <w:b/>
                <w:bCs/>
                <w:sz w:val="20"/>
                <w:szCs w:val="20"/>
              </w:rPr>
            </w:pPr>
            <w:r w:rsidRPr="00653071">
              <w:rPr>
                <w:rFonts w:ascii="Calibri" w:eastAsia="Times New Roman" w:hAnsi="Calibri" w:cs="Calibri"/>
                <w:b/>
                <w:bCs/>
                <w:sz w:val="20"/>
                <w:szCs w:val="20"/>
              </w:rPr>
              <w:t>Fall</w:t>
            </w:r>
            <w:r w:rsidRPr="00653071">
              <w:rPr>
                <w:rFonts w:ascii="Calibri" w:eastAsia="Times New Roman" w:hAnsi="Calibri" w:cs="Calibri"/>
                <w:b/>
                <w:bCs/>
                <w:sz w:val="20"/>
                <w:szCs w:val="20"/>
              </w:rPr>
              <w:br/>
              <w:t>2019</w:t>
            </w:r>
          </w:p>
        </w:tc>
        <w:tc>
          <w:tcPr>
            <w:tcW w:w="831" w:type="dxa"/>
            <w:tcBorders>
              <w:top w:val="nil"/>
              <w:left w:val="nil"/>
              <w:bottom w:val="nil"/>
              <w:right w:val="nil"/>
            </w:tcBorders>
            <w:shd w:val="clear" w:color="000000" w:fill="FFFFFF"/>
            <w:vAlign w:val="bottom"/>
            <w:hideMark/>
          </w:tcPr>
          <w:p w14:paraId="69B52FB9" w14:textId="77777777" w:rsidR="00653071" w:rsidRPr="00653071" w:rsidRDefault="00653071" w:rsidP="00653071">
            <w:pPr>
              <w:jc w:val="center"/>
              <w:rPr>
                <w:rFonts w:ascii="Calibri" w:eastAsia="Times New Roman" w:hAnsi="Calibri" w:cs="Calibri"/>
                <w:b/>
                <w:bCs/>
                <w:sz w:val="20"/>
                <w:szCs w:val="20"/>
              </w:rPr>
            </w:pPr>
            <w:r w:rsidRPr="00653071">
              <w:rPr>
                <w:rFonts w:ascii="Calibri" w:eastAsia="Times New Roman" w:hAnsi="Calibri" w:cs="Calibri"/>
                <w:b/>
                <w:bCs/>
                <w:sz w:val="20"/>
                <w:szCs w:val="20"/>
              </w:rPr>
              <w:t>%</w:t>
            </w:r>
            <w:r w:rsidRPr="00653071">
              <w:rPr>
                <w:rFonts w:ascii="Calibri" w:eastAsia="Times New Roman" w:hAnsi="Calibri" w:cs="Calibri"/>
                <w:b/>
                <w:bCs/>
                <w:sz w:val="20"/>
                <w:szCs w:val="20"/>
              </w:rPr>
              <w:br/>
              <w:t>Change</w:t>
            </w:r>
          </w:p>
        </w:tc>
        <w:tc>
          <w:tcPr>
            <w:tcW w:w="773" w:type="dxa"/>
            <w:tcBorders>
              <w:top w:val="nil"/>
              <w:left w:val="nil"/>
              <w:bottom w:val="nil"/>
              <w:right w:val="nil"/>
            </w:tcBorders>
            <w:shd w:val="clear" w:color="000000" w:fill="FFFFFF"/>
            <w:vAlign w:val="bottom"/>
            <w:hideMark/>
          </w:tcPr>
          <w:p w14:paraId="66F4BFAB" w14:textId="77777777" w:rsidR="00653071" w:rsidRPr="00653071" w:rsidRDefault="00653071" w:rsidP="00653071">
            <w:pPr>
              <w:jc w:val="center"/>
              <w:rPr>
                <w:rFonts w:ascii="Calibri" w:eastAsia="Times New Roman" w:hAnsi="Calibri" w:cs="Calibri"/>
                <w:b/>
                <w:bCs/>
                <w:sz w:val="20"/>
                <w:szCs w:val="20"/>
              </w:rPr>
            </w:pPr>
            <w:r w:rsidRPr="00653071">
              <w:rPr>
                <w:rFonts w:ascii="Calibri" w:eastAsia="Times New Roman" w:hAnsi="Calibri" w:cs="Calibri"/>
                <w:b/>
                <w:bCs/>
                <w:sz w:val="20"/>
                <w:szCs w:val="20"/>
              </w:rPr>
              <w:t>Fall</w:t>
            </w:r>
            <w:r w:rsidRPr="00653071">
              <w:rPr>
                <w:rFonts w:ascii="Calibri" w:eastAsia="Times New Roman" w:hAnsi="Calibri" w:cs="Calibri"/>
                <w:b/>
                <w:bCs/>
                <w:sz w:val="20"/>
                <w:szCs w:val="20"/>
              </w:rPr>
              <w:br/>
              <w:t>2018</w:t>
            </w:r>
          </w:p>
        </w:tc>
        <w:tc>
          <w:tcPr>
            <w:tcW w:w="831" w:type="dxa"/>
            <w:tcBorders>
              <w:top w:val="nil"/>
              <w:left w:val="nil"/>
              <w:bottom w:val="nil"/>
              <w:right w:val="nil"/>
            </w:tcBorders>
            <w:shd w:val="clear" w:color="000000" w:fill="FFFFFF"/>
            <w:vAlign w:val="bottom"/>
            <w:hideMark/>
          </w:tcPr>
          <w:p w14:paraId="5669FFCD" w14:textId="77777777" w:rsidR="00653071" w:rsidRPr="00653071" w:rsidRDefault="00653071" w:rsidP="00653071">
            <w:pPr>
              <w:jc w:val="center"/>
              <w:rPr>
                <w:rFonts w:ascii="Calibri" w:eastAsia="Times New Roman" w:hAnsi="Calibri" w:cs="Calibri"/>
                <w:b/>
                <w:bCs/>
                <w:sz w:val="20"/>
                <w:szCs w:val="20"/>
              </w:rPr>
            </w:pPr>
            <w:r w:rsidRPr="00653071">
              <w:rPr>
                <w:rFonts w:ascii="Calibri" w:eastAsia="Times New Roman" w:hAnsi="Calibri" w:cs="Calibri"/>
                <w:b/>
                <w:bCs/>
                <w:sz w:val="20"/>
                <w:szCs w:val="20"/>
              </w:rPr>
              <w:t>%</w:t>
            </w:r>
            <w:r w:rsidRPr="00653071">
              <w:rPr>
                <w:rFonts w:ascii="Calibri" w:eastAsia="Times New Roman" w:hAnsi="Calibri" w:cs="Calibri"/>
                <w:b/>
                <w:bCs/>
                <w:sz w:val="20"/>
                <w:szCs w:val="20"/>
              </w:rPr>
              <w:br/>
              <w:t>Change</w:t>
            </w:r>
          </w:p>
        </w:tc>
        <w:tc>
          <w:tcPr>
            <w:tcW w:w="805" w:type="dxa"/>
            <w:tcBorders>
              <w:top w:val="nil"/>
              <w:left w:val="nil"/>
              <w:bottom w:val="nil"/>
              <w:right w:val="nil"/>
            </w:tcBorders>
            <w:shd w:val="clear" w:color="000000" w:fill="FFFFFF"/>
            <w:vAlign w:val="bottom"/>
            <w:hideMark/>
          </w:tcPr>
          <w:p w14:paraId="3B873EE7" w14:textId="77777777" w:rsidR="00653071" w:rsidRPr="00653071" w:rsidRDefault="00653071" w:rsidP="00653071">
            <w:pPr>
              <w:jc w:val="center"/>
              <w:rPr>
                <w:rFonts w:ascii="Calibri" w:eastAsia="Times New Roman" w:hAnsi="Calibri" w:cs="Calibri"/>
                <w:b/>
                <w:bCs/>
                <w:sz w:val="20"/>
                <w:szCs w:val="20"/>
              </w:rPr>
            </w:pPr>
            <w:r w:rsidRPr="00653071">
              <w:rPr>
                <w:rFonts w:ascii="Calibri" w:eastAsia="Times New Roman" w:hAnsi="Calibri" w:cs="Calibri"/>
                <w:b/>
                <w:bCs/>
                <w:sz w:val="20"/>
                <w:szCs w:val="20"/>
              </w:rPr>
              <w:t xml:space="preserve">Fall </w:t>
            </w:r>
            <w:r w:rsidRPr="00653071">
              <w:rPr>
                <w:rFonts w:ascii="Calibri" w:eastAsia="Times New Roman" w:hAnsi="Calibri" w:cs="Calibri"/>
                <w:b/>
                <w:bCs/>
                <w:sz w:val="20"/>
                <w:szCs w:val="20"/>
              </w:rPr>
              <w:br/>
              <w:t>2017</w:t>
            </w:r>
          </w:p>
        </w:tc>
        <w:tc>
          <w:tcPr>
            <w:tcW w:w="831" w:type="dxa"/>
            <w:tcBorders>
              <w:top w:val="nil"/>
              <w:left w:val="nil"/>
              <w:bottom w:val="nil"/>
              <w:right w:val="nil"/>
            </w:tcBorders>
            <w:shd w:val="clear" w:color="000000" w:fill="FFFFFF"/>
            <w:vAlign w:val="bottom"/>
            <w:hideMark/>
          </w:tcPr>
          <w:p w14:paraId="4E84FF2E" w14:textId="77777777" w:rsidR="00653071" w:rsidRPr="00653071" w:rsidRDefault="00653071" w:rsidP="00653071">
            <w:pPr>
              <w:jc w:val="center"/>
              <w:rPr>
                <w:rFonts w:ascii="Calibri" w:eastAsia="Times New Roman" w:hAnsi="Calibri" w:cs="Calibri"/>
                <w:b/>
                <w:bCs/>
                <w:sz w:val="20"/>
                <w:szCs w:val="20"/>
              </w:rPr>
            </w:pPr>
            <w:r w:rsidRPr="00653071">
              <w:rPr>
                <w:rFonts w:ascii="Calibri" w:eastAsia="Times New Roman" w:hAnsi="Calibri" w:cs="Calibri"/>
                <w:b/>
                <w:bCs/>
                <w:sz w:val="20"/>
                <w:szCs w:val="20"/>
              </w:rPr>
              <w:t>%</w:t>
            </w:r>
            <w:r w:rsidRPr="00653071">
              <w:rPr>
                <w:rFonts w:ascii="Calibri" w:eastAsia="Times New Roman" w:hAnsi="Calibri" w:cs="Calibri"/>
                <w:b/>
                <w:bCs/>
                <w:sz w:val="20"/>
                <w:szCs w:val="20"/>
              </w:rPr>
              <w:br/>
              <w:t>Change</w:t>
            </w:r>
          </w:p>
        </w:tc>
        <w:tc>
          <w:tcPr>
            <w:tcW w:w="789" w:type="dxa"/>
            <w:tcBorders>
              <w:top w:val="nil"/>
              <w:left w:val="nil"/>
              <w:bottom w:val="nil"/>
              <w:right w:val="nil"/>
            </w:tcBorders>
            <w:shd w:val="clear" w:color="000000" w:fill="FFFFFF"/>
            <w:vAlign w:val="bottom"/>
            <w:hideMark/>
          </w:tcPr>
          <w:p w14:paraId="5F3E6AB1" w14:textId="77777777" w:rsidR="00653071" w:rsidRPr="00653071" w:rsidRDefault="00653071" w:rsidP="00653071">
            <w:pPr>
              <w:jc w:val="center"/>
              <w:rPr>
                <w:rFonts w:ascii="Calibri" w:eastAsia="Times New Roman" w:hAnsi="Calibri" w:cs="Calibri"/>
                <w:b/>
                <w:bCs/>
                <w:sz w:val="20"/>
                <w:szCs w:val="20"/>
              </w:rPr>
            </w:pPr>
            <w:r w:rsidRPr="00653071">
              <w:rPr>
                <w:rFonts w:ascii="Calibri" w:eastAsia="Times New Roman" w:hAnsi="Calibri" w:cs="Calibri"/>
                <w:b/>
                <w:bCs/>
                <w:sz w:val="20"/>
                <w:szCs w:val="20"/>
              </w:rPr>
              <w:t xml:space="preserve">Fall </w:t>
            </w:r>
            <w:r w:rsidRPr="00653071">
              <w:rPr>
                <w:rFonts w:ascii="Calibri" w:eastAsia="Times New Roman" w:hAnsi="Calibri" w:cs="Calibri"/>
                <w:b/>
                <w:bCs/>
                <w:sz w:val="20"/>
                <w:szCs w:val="20"/>
              </w:rPr>
              <w:br/>
              <w:t>2016</w:t>
            </w:r>
          </w:p>
        </w:tc>
        <w:tc>
          <w:tcPr>
            <w:tcW w:w="831" w:type="dxa"/>
            <w:tcBorders>
              <w:top w:val="nil"/>
              <w:left w:val="nil"/>
              <w:bottom w:val="nil"/>
              <w:right w:val="nil"/>
            </w:tcBorders>
            <w:shd w:val="clear" w:color="000000" w:fill="FFFFFF"/>
            <w:vAlign w:val="bottom"/>
            <w:hideMark/>
          </w:tcPr>
          <w:p w14:paraId="788FE01D" w14:textId="77777777" w:rsidR="00653071" w:rsidRPr="00653071" w:rsidRDefault="00653071" w:rsidP="00653071">
            <w:pPr>
              <w:jc w:val="center"/>
              <w:rPr>
                <w:rFonts w:ascii="Calibri" w:eastAsia="Times New Roman" w:hAnsi="Calibri" w:cs="Calibri"/>
                <w:b/>
                <w:bCs/>
                <w:sz w:val="20"/>
                <w:szCs w:val="20"/>
              </w:rPr>
            </w:pPr>
            <w:r w:rsidRPr="00653071">
              <w:rPr>
                <w:rFonts w:ascii="Calibri" w:eastAsia="Times New Roman" w:hAnsi="Calibri" w:cs="Calibri"/>
                <w:b/>
                <w:bCs/>
                <w:sz w:val="20"/>
                <w:szCs w:val="20"/>
              </w:rPr>
              <w:t>%</w:t>
            </w:r>
            <w:r w:rsidRPr="00653071">
              <w:rPr>
                <w:rFonts w:ascii="Calibri" w:eastAsia="Times New Roman" w:hAnsi="Calibri" w:cs="Calibri"/>
                <w:b/>
                <w:bCs/>
                <w:sz w:val="20"/>
                <w:szCs w:val="20"/>
              </w:rPr>
              <w:br/>
              <w:t>Change</w:t>
            </w:r>
          </w:p>
        </w:tc>
      </w:tr>
      <w:tr w:rsidR="00275495" w:rsidRPr="00653071" w14:paraId="3DA48DE7" w14:textId="77777777" w:rsidTr="00275495">
        <w:trPr>
          <w:trHeight w:val="288"/>
        </w:trPr>
        <w:tc>
          <w:tcPr>
            <w:tcW w:w="712" w:type="dxa"/>
            <w:tcBorders>
              <w:top w:val="single" w:sz="8" w:space="0" w:color="00688D"/>
              <w:left w:val="nil"/>
              <w:bottom w:val="nil"/>
              <w:right w:val="nil"/>
            </w:tcBorders>
            <w:shd w:val="clear" w:color="000000" w:fill="FFFFFF"/>
            <w:noWrap/>
            <w:vAlign w:val="bottom"/>
            <w:hideMark/>
          </w:tcPr>
          <w:p w14:paraId="0430842C" w14:textId="77777777" w:rsidR="00653071" w:rsidRPr="00653071" w:rsidRDefault="00653071" w:rsidP="00653071">
            <w:pPr>
              <w:rPr>
                <w:rFonts w:ascii="Calibri" w:eastAsia="Times New Roman" w:hAnsi="Calibri" w:cs="Calibri"/>
                <w:sz w:val="20"/>
                <w:szCs w:val="20"/>
              </w:rPr>
            </w:pPr>
            <w:r w:rsidRPr="00653071">
              <w:rPr>
                <w:rFonts w:ascii="Calibri" w:eastAsia="Times New Roman" w:hAnsi="Calibri" w:cs="Calibri"/>
                <w:sz w:val="20"/>
                <w:szCs w:val="20"/>
              </w:rPr>
              <w:t>UM</w:t>
            </w:r>
          </w:p>
        </w:tc>
        <w:tc>
          <w:tcPr>
            <w:tcW w:w="998" w:type="dxa"/>
            <w:tcBorders>
              <w:top w:val="single" w:sz="8" w:space="0" w:color="00688D"/>
              <w:left w:val="single" w:sz="4" w:space="0" w:color="00688D"/>
              <w:bottom w:val="nil"/>
              <w:right w:val="single" w:sz="4" w:space="0" w:color="00688D"/>
            </w:tcBorders>
            <w:shd w:val="clear" w:color="000000" w:fill="D9D9D9"/>
            <w:noWrap/>
            <w:vAlign w:val="bottom"/>
            <w:hideMark/>
          </w:tcPr>
          <w:p w14:paraId="544B30B3"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1.9%</w:t>
            </w:r>
          </w:p>
        </w:tc>
        <w:tc>
          <w:tcPr>
            <w:tcW w:w="808" w:type="dxa"/>
            <w:tcBorders>
              <w:top w:val="single" w:sz="8" w:space="0" w:color="00688D"/>
              <w:left w:val="nil"/>
              <w:bottom w:val="nil"/>
              <w:right w:val="nil"/>
            </w:tcBorders>
            <w:shd w:val="clear" w:color="000000" w:fill="FFFFFF"/>
            <w:noWrap/>
            <w:vAlign w:val="bottom"/>
            <w:hideMark/>
          </w:tcPr>
          <w:p w14:paraId="63981D04" w14:textId="4660E366"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9,773 </w:t>
            </w:r>
          </w:p>
        </w:tc>
        <w:tc>
          <w:tcPr>
            <w:tcW w:w="831" w:type="dxa"/>
            <w:tcBorders>
              <w:top w:val="single" w:sz="8" w:space="0" w:color="00688D"/>
              <w:left w:val="nil"/>
              <w:bottom w:val="nil"/>
              <w:right w:val="nil"/>
            </w:tcBorders>
            <w:shd w:val="clear" w:color="000000" w:fill="D9D9D9"/>
            <w:noWrap/>
            <w:vAlign w:val="bottom"/>
            <w:hideMark/>
          </w:tcPr>
          <w:p w14:paraId="5D9E020F"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-0.1%</w:t>
            </w:r>
          </w:p>
        </w:tc>
        <w:tc>
          <w:tcPr>
            <w:tcW w:w="777" w:type="dxa"/>
            <w:tcBorders>
              <w:top w:val="single" w:sz="8" w:space="0" w:color="00688D"/>
              <w:left w:val="nil"/>
              <w:bottom w:val="nil"/>
              <w:right w:val="nil"/>
            </w:tcBorders>
            <w:shd w:val="clear" w:color="000000" w:fill="FFFFFF"/>
            <w:noWrap/>
            <w:vAlign w:val="bottom"/>
            <w:hideMark/>
          </w:tcPr>
          <w:p w14:paraId="11C1F0F7" w14:textId="16B3EF8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9,782 </w:t>
            </w:r>
          </w:p>
        </w:tc>
        <w:tc>
          <w:tcPr>
            <w:tcW w:w="831" w:type="dxa"/>
            <w:tcBorders>
              <w:top w:val="single" w:sz="8" w:space="0" w:color="00688D"/>
              <w:left w:val="nil"/>
              <w:bottom w:val="nil"/>
              <w:right w:val="nil"/>
            </w:tcBorders>
            <w:shd w:val="clear" w:color="000000" w:fill="D9D9D9"/>
            <w:noWrap/>
            <w:vAlign w:val="bottom"/>
            <w:hideMark/>
          </w:tcPr>
          <w:p w14:paraId="5845DC57"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0.3%</w:t>
            </w:r>
          </w:p>
        </w:tc>
        <w:tc>
          <w:tcPr>
            <w:tcW w:w="773" w:type="dxa"/>
            <w:tcBorders>
              <w:top w:val="single" w:sz="8" w:space="0" w:color="00688D"/>
              <w:left w:val="nil"/>
              <w:bottom w:val="nil"/>
              <w:right w:val="nil"/>
            </w:tcBorders>
            <w:shd w:val="clear" w:color="000000" w:fill="FFFFFF"/>
            <w:noWrap/>
            <w:vAlign w:val="bottom"/>
            <w:hideMark/>
          </w:tcPr>
          <w:p w14:paraId="0B22E0AE" w14:textId="35DFB975"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9,750 </w:t>
            </w:r>
          </w:p>
        </w:tc>
        <w:tc>
          <w:tcPr>
            <w:tcW w:w="831" w:type="dxa"/>
            <w:tcBorders>
              <w:top w:val="single" w:sz="8" w:space="0" w:color="00688D"/>
              <w:left w:val="nil"/>
              <w:bottom w:val="nil"/>
              <w:right w:val="nil"/>
            </w:tcBorders>
            <w:shd w:val="clear" w:color="000000" w:fill="D9D9D9"/>
            <w:noWrap/>
            <w:vAlign w:val="bottom"/>
            <w:hideMark/>
          </w:tcPr>
          <w:p w14:paraId="54123C57"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0.3%</w:t>
            </w:r>
          </w:p>
        </w:tc>
        <w:tc>
          <w:tcPr>
            <w:tcW w:w="805" w:type="dxa"/>
            <w:tcBorders>
              <w:top w:val="single" w:sz="8" w:space="0" w:color="00688D"/>
              <w:left w:val="nil"/>
              <w:bottom w:val="nil"/>
              <w:right w:val="nil"/>
            </w:tcBorders>
            <w:shd w:val="clear" w:color="000000" w:fill="FFFFFF"/>
            <w:noWrap/>
            <w:vAlign w:val="bottom"/>
            <w:hideMark/>
          </w:tcPr>
          <w:p w14:paraId="5AA1BA3C" w14:textId="43B4DD4A"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9,720 </w:t>
            </w:r>
          </w:p>
        </w:tc>
        <w:tc>
          <w:tcPr>
            <w:tcW w:w="831" w:type="dxa"/>
            <w:tcBorders>
              <w:top w:val="single" w:sz="8" w:space="0" w:color="00688D"/>
              <w:left w:val="nil"/>
              <w:bottom w:val="nil"/>
              <w:right w:val="nil"/>
            </w:tcBorders>
            <w:shd w:val="clear" w:color="000000" w:fill="D9D9D9"/>
            <w:noWrap/>
            <w:vAlign w:val="bottom"/>
            <w:hideMark/>
          </w:tcPr>
          <w:p w14:paraId="09726777"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1.3%</w:t>
            </w:r>
          </w:p>
        </w:tc>
        <w:tc>
          <w:tcPr>
            <w:tcW w:w="789" w:type="dxa"/>
            <w:tcBorders>
              <w:top w:val="single" w:sz="8" w:space="0" w:color="00688D"/>
              <w:left w:val="nil"/>
              <w:bottom w:val="nil"/>
              <w:right w:val="nil"/>
            </w:tcBorders>
            <w:shd w:val="clear" w:color="000000" w:fill="FFFFFF"/>
            <w:noWrap/>
            <w:vAlign w:val="bottom"/>
            <w:hideMark/>
          </w:tcPr>
          <w:p w14:paraId="04F807A4" w14:textId="2CD46AF5"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9,594 </w:t>
            </w:r>
          </w:p>
        </w:tc>
        <w:tc>
          <w:tcPr>
            <w:tcW w:w="831" w:type="dxa"/>
            <w:tcBorders>
              <w:top w:val="single" w:sz="8" w:space="0" w:color="00688D"/>
              <w:left w:val="nil"/>
              <w:bottom w:val="nil"/>
              <w:right w:val="nil"/>
            </w:tcBorders>
            <w:shd w:val="clear" w:color="000000" w:fill="D9D9D9"/>
            <w:noWrap/>
            <w:vAlign w:val="bottom"/>
            <w:hideMark/>
          </w:tcPr>
          <w:p w14:paraId="3A49D607"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2.4%</w:t>
            </w:r>
          </w:p>
        </w:tc>
      </w:tr>
      <w:tr w:rsidR="00275495" w:rsidRPr="00653071" w14:paraId="2F2AE639" w14:textId="77777777" w:rsidTr="00275495">
        <w:trPr>
          <w:trHeight w:val="288"/>
        </w:trPr>
        <w:tc>
          <w:tcPr>
            <w:tcW w:w="712" w:type="dxa"/>
            <w:tcBorders>
              <w:top w:val="nil"/>
              <w:left w:val="nil"/>
              <w:bottom w:val="nil"/>
              <w:right w:val="nil"/>
            </w:tcBorders>
            <w:shd w:val="clear" w:color="000000" w:fill="FFFFFF"/>
            <w:noWrap/>
            <w:vAlign w:val="bottom"/>
            <w:hideMark/>
          </w:tcPr>
          <w:p w14:paraId="6CE4BC12" w14:textId="77777777" w:rsidR="00653071" w:rsidRPr="00653071" w:rsidRDefault="00653071" w:rsidP="00653071">
            <w:pPr>
              <w:rPr>
                <w:rFonts w:ascii="Calibri" w:eastAsia="Times New Roman" w:hAnsi="Calibri" w:cs="Calibri"/>
                <w:sz w:val="20"/>
                <w:szCs w:val="20"/>
              </w:rPr>
            </w:pPr>
            <w:r w:rsidRPr="00653071">
              <w:rPr>
                <w:rFonts w:ascii="Calibri" w:eastAsia="Times New Roman" w:hAnsi="Calibri" w:cs="Calibri"/>
                <w:sz w:val="20"/>
                <w:szCs w:val="20"/>
              </w:rPr>
              <w:t>UMA</w:t>
            </w:r>
          </w:p>
        </w:tc>
        <w:tc>
          <w:tcPr>
            <w:tcW w:w="998" w:type="dxa"/>
            <w:tcBorders>
              <w:top w:val="nil"/>
              <w:left w:val="single" w:sz="4" w:space="0" w:color="00688D"/>
              <w:bottom w:val="nil"/>
              <w:right w:val="single" w:sz="4" w:space="0" w:color="00688D"/>
            </w:tcBorders>
            <w:shd w:val="clear" w:color="000000" w:fill="D9D9D9"/>
            <w:noWrap/>
            <w:vAlign w:val="bottom"/>
            <w:hideMark/>
          </w:tcPr>
          <w:p w14:paraId="1E0FE09F"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-4.9%</w:t>
            </w:r>
          </w:p>
        </w:tc>
        <w:tc>
          <w:tcPr>
            <w:tcW w:w="808" w:type="dxa"/>
            <w:tcBorders>
              <w:top w:val="nil"/>
              <w:left w:val="nil"/>
              <w:bottom w:val="nil"/>
              <w:right w:val="nil"/>
            </w:tcBorders>
            <w:shd w:val="clear" w:color="000000" w:fill="FFFFFF"/>
            <w:noWrap/>
            <w:vAlign w:val="bottom"/>
            <w:hideMark/>
          </w:tcPr>
          <w:p w14:paraId="622904C2" w14:textId="3B8D5A42"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2,304 </w:t>
            </w:r>
          </w:p>
        </w:tc>
        <w:tc>
          <w:tcPr>
            <w:tcW w:w="831" w:type="dxa"/>
            <w:tcBorders>
              <w:top w:val="nil"/>
              <w:left w:val="nil"/>
              <w:bottom w:val="nil"/>
              <w:right w:val="nil"/>
            </w:tcBorders>
            <w:shd w:val="clear" w:color="000000" w:fill="D9D9D9"/>
            <w:noWrap/>
            <w:vAlign w:val="bottom"/>
            <w:hideMark/>
          </w:tcPr>
          <w:p w14:paraId="5AA86DE0"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-1.3%</w:t>
            </w:r>
          </w:p>
        </w:tc>
        <w:tc>
          <w:tcPr>
            <w:tcW w:w="777" w:type="dxa"/>
            <w:tcBorders>
              <w:top w:val="nil"/>
              <w:left w:val="nil"/>
              <w:bottom w:val="nil"/>
              <w:right w:val="nil"/>
            </w:tcBorders>
            <w:shd w:val="clear" w:color="000000" w:fill="FFFFFF"/>
            <w:noWrap/>
            <w:vAlign w:val="bottom"/>
            <w:hideMark/>
          </w:tcPr>
          <w:p w14:paraId="0A8C1DB1" w14:textId="5E7DB390"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2,335 </w:t>
            </w:r>
          </w:p>
        </w:tc>
        <w:tc>
          <w:tcPr>
            <w:tcW w:w="831" w:type="dxa"/>
            <w:tcBorders>
              <w:top w:val="nil"/>
              <w:left w:val="nil"/>
              <w:bottom w:val="nil"/>
              <w:right w:val="nil"/>
            </w:tcBorders>
            <w:shd w:val="clear" w:color="000000" w:fill="D9D9D9"/>
            <w:noWrap/>
            <w:vAlign w:val="bottom"/>
            <w:hideMark/>
          </w:tcPr>
          <w:p w14:paraId="3C5BD7AF"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3.9%</w:t>
            </w:r>
          </w:p>
        </w:tc>
        <w:tc>
          <w:tcPr>
            <w:tcW w:w="773" w:type="dxa"/>
            <w:tcBorders>
              <w:top w:val="nil"/>
              <w:left w:val="nil"/>
              <w:bottom w:val="nil"/>
              <w:right w:val="nil"/>
            </w:tcBorders>
            <w:shd w:val="clear" w:color="000000" w:fill="FFFFFF"/>
            <w:noWrap/>
            <w:vAlign w:val="bottom"/>
            <w:hideMark/>
          </w:tcPr>
          <w:p w14:paraId="2A6E19E2" w14:textId="29D72AA5"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2,247 </w:t>
            </w:r>
          </w:p>
        </w:tc>
        <w:tc>
          <w:tcPr>
            <w:tcW w:w="831" w:type="dxa"/>
            <w:tcBorders>
              <w:top w:val="nil"/>
              <w:left w:val="nil"/>
              <w:bottom w:val="nil"/>
              <w:right w:val="nil"/>
            </w:tcBorders>
            <w:shd w:val="clear" w:color="000000" w:fill="D9D9D9"/>
            <w:noWrap/>
            <w:vAlign w:val="bottom"/>
            <w:hideMark/>
          </w:tcPr>
          <w:p w14:paraId="5CE3CD9D"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3.6%</w:t>
            </w:r>
          </w:p>
        </w:tc>
        <w:tc>
          <w:tcPr>
            <w:tcW w:w="805" w:type="dxa"/>
            <w:tcBorders>
              <w:top w:val="nil"/>
              <w:left w:val="nil"/>
              <w:bottom w:val="nil"/>
              <w:right w:val="nil"/>
            </w:tcBorders>
            <w:shd w:val="clear" w:color="000000" w:fill="FFFFFF"/>
            <w:noWrap/>
            <w:vAlign w:val="bottom"/>
            <w:hideMark/>
          </w:tcPr>
          <w:p w14:paraId="2A53EA0F" w14:textId="2D4D1625"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2,169 </w:t>
            </w:r>
          </w:p>
        </w:tc>
        <w:tc>
          <w:tcPr>
            <w:tcW w:w="831" w:type="dxa"/>
            <w:tcBorders>
              <w:top w:val="nil"/>
              <w:left w:val="nil"/>
              <w:bottom w:val="nil"/>
              <w:right w:val="nil"/>
            </w:tcBorders>
            <w:shd w:val="clear" w:color="000000" w:fill="D9D9D9"/>
            <w:noWrap/>
            <w:vAlign w:val="bottom"/>
            <w:hideMark/>
          </w:tcPr>
          <w:p w14:paraId="70471C1C"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-10.4%</w:t>
            </w:r>
          </w:p>
        </w:tc>
        <w:tc>
          <w:tcPr>
            <w:tcW w:w="789" w:type="dxa"/>
            <w:tcBorders>
              <w:top w:val="nil"/>
              <w:left w:val="nil"/>
              <w:bottom w:val="nil"/>
              <w:right w:val="nil"/>
            </w:tcBorders>
            <w:shd w:val="clear" w:color="000000" w:fill="FFFFFF"/>
            <w:noWrap/>
            <w:vAlign w:val="bottom"/>
            <w:hideMark/>
          </w:tcPr>
          <w:p w14:paraId="730E5621" w14:textId="44AAE223"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2,422 </w:t>
            </w:r>
          </w:p>
        </w:tc>
        <w:tc>
          <w:tcPr>
            <w:tcW w:w="831" w:type="dxa"/>
            <w:tcBorders>
              <w:top w:val="nil"/>
              <w:left w:val="nil"/>
              <w:bottom w:val="nil"/>
              <w:right w:val="nil"/>
            </w:tcBorders>
            <w:shd w:val="clear" w:color="000000" w:fill="D9D9D9"/>
            <w:noWrap/>
            <w:vAlign w:val="bottom"/>
            <w:hideMark/>
          </w:tcPr>
          <w:p w14:paraId="080B28DA"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-7.8%</w:t>
            </w:r>
          </w:p>
        </w:tc>
      </w:tr>
      <w:tr w:rsidR="00275495" w:rsidRPr="00653071" w14:paraId="3A97E33A" w14:textId="77777777" w:rsidTr="00275495">
        <w:trPr>
          <w:trHeight w:val="288"/>
        </w:trPr>
        <w:tc>
          <w:tcPr>
            <w:tcW w:w="712" w:type="dxa"/>
            <w:tcBorders>
              <w:top w:val="nil"/>
              <w:left w:val="nil"/>
              <w:bottom w:val="nil"/>
              <w:right w:val="nil"/>
            </w:tcBorders>
            <w:shd w:val="clear" w:color="000000" w:fill="FFFFFF"/>
            <w:noWrap/>
            <w:vAlign w:val="bottom"/>
            <w:hideMark/>
          </w:tcPr>
          <w:p w14:paraId="1BCEE6EF" w14:textId="77777777" w:rsidR="00653071" w:rsidRPr="00653071" w:rsidRDefault="00653071" w:rsidP="00653071">
            <w:pPr>
              <w:rPr>
                <w:rFonts w:ascii="Calibri" w:eastAsia="Times New Roman" w:hAnsi="Calibri" w:cs="Calibri"/>
                <w:sz w:val="20"/>
                <w:szCs w:val="20"/>
              </w:rPr>
            </w:pPr>
            <w:r w:rsidRPr="00653071">
              <w:rPr>
                <w:rFonts w:ascii="Calibri" w:eastAsia="Times New Roman" w:hAnsi="Calibri" w:cs="Calibri"/>
                <w:sz w:val="20"/>
                <w:szCs w:val="20"/>
              </w:rPr>
              <w:t>UMF</w:t>
            </w:r>
          </w:p>
        </w:tc>
        <w:tc>
          <w:tcPr>
            <w:tcW w:w="998" w:type="dxa"/>
            <w:tcBorders>
              <w:top w:val="nil"/>
              <w:left w:val="single" w:sz="4" w:space="0" w:color="00688D"/>
              <w:bottom w:val="nil"/>
              <w:right w:val="single" w:sz="4" w:space="0" w:color="00688D"/>
            </w:tcBorders>
            <w:shd w:val="clear" w:color="000000" w:fill="D9D9D9"/>
            <w:noWrap/>
            <w:vAlign w:val="bottom"/>
            <w:hideMark/>
          </w:tcPr>
          <w:p w14:paraId="6B7E2A93"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-11.6%</w:t>
            </w:r>
          </w:p>
        </w:tc>
        <w:tc>
          <w:tcPr>
            <w:tcW w:w="808" w:type="dxa"/>
            <w:tcBorders>
              <w:top w:val="nil"/>
              <w:left w:val="nil"/>
              <w:bottom w:val="nil"/>
              <w:right w:val="nil"/>
            </w:tcBorders>
            <w:shd w:val="clear" w:color="000000" w:fill="FFFFFF"/>
            <w:noWrap/>
            <w:vAlign w:val="bottom"/>
            <w:hideMark/>
          </w:tcPr>
          <w:p w14:paraId="62343BBE" w14:textId="2C640975"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1,510 </w:t>
            </w:r>
          </w:p>
        </w:tc>
        <w:tc>
          <w:tcPr>
            <w:tcW w:w="831" w:type="dxa"/>
            <w:tcBorders>
              <w:top w:val="nil"/>
              <w:left w:val="nil"/>
              <w:bottom w:val="nil"/>
              <w:right w:val="nil"/>
            </w:tcBorders>
            <w:shd w:val="clear" w:color="000000" w:fill="D9D9D9"/>
            <w:noWrap/>
            <w:vAlign w:val="bottom"/>
            <w:hideMark/>
          </w:tcPr>
          <w:p w14:paraId="08E4C90F"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-4.4%</w:t>
            </w:r>
          </w:p>
        </w:tc>
        <w:tc>
          <w:tcPr>
            <w:tcW w:w="777" w:type="dxa"/>
            <w:tcBorders>
              <w:top w:val="nil"/>
              <w:left w:val="nil"/>
              <w:bottom w:val="nil"/>
              <w:right w:val="nil"/>
            </w:tcBorders>
            <w:shd w:val="clear" w:color="000000" w:fill="FFFFFF"/>
            <w:noWrap/>
            <w:vAlign w:val="bottom"/>
            <w:hideMark/>
          </w:tcPr>
          <w:p w14:paraId="4C02008B" w14:textId="7C6FB304"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1,579 </w:t>
            </w:r>
          </w:p>
        </w:tc>
        <w:tc>
          <w:tcPr>
            <w:tcW w:w="831" w:type="dxa"/>
            <w:tcBorders>
              <w:top w:val="nil"/>
              <w:left w:val="nil"/>
              <w:bottom w:val="nil"/>
              <w:right w:val="nil"/>
            </w:tcBorders>
            <w:shd w:val="clear" w:color="000000" w:fill="D9D9D9"/>
            <w:noWrap/>
            <w:vAlign w:val="bottom"/>
            <w:hideMark/>
          </w:tcPr>
          <w:p w14:paraId="03DBA1E7"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-3.8%</w:t>
            </w:r>
          </w:p>
        </w:tc>
        <w:tc>
          <w:tcPr>
            <w:tcW w:w="773" w:type="dxa"/>
            <w:tcBorders>
              <w:top w:val="nil"/>
              <w:left w:val="nil"/>
              <w:bottom w:val="nil"/>
              <w:right w:val="nil"/>
            </w:tcBorders>
            <w:shd w:val="clear" w:color="000000" w:fill="FFFFFF"/>
            <w:noWrap/>
            <w:vAlign w:val="bottom"/>
            <w:hideMark/>
          </w:tcPr>
          <w:p w14:paraId="1BDEC062" w14:textId="250FA41F"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1,641 </w:t>
            </w:r>
          </w:p>
        </w:tc>
        <w:tc>
          <w:tcPr>
            <w:tcW w:w="831" w:type="dxa"/>
            <w:tcBorders>
              <w:top w:val="nil"/>
              <w:left w:val="nil"/>
              <w:bottom w:val="nil"/>
              <w:right w:val="nil"/>
            </w:tcBorders>
            <w:shd w:val="clear" w:color="000000" w:fill="D9D9D9"/>
            <w:noWrap/>
            <w:vAlign w:val="bottom"/>
            <w:hideMark/>
          </w:tcPr>
          <w:p w14:paraId="4B87428C"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-4.8%</w:t>
            </w:r>
          </w:p>
        </w:tc>
        <w:tc>
          <w:tcPr>
            <w:tcW w:w="805" w:type="dxa"/>
            <w:tcBorders>
              <w:top w:val="nil"/>
              <w:left w:val="nil"/>
              <w:bottom w:val="nil"/>
              <w:right w:val="nil"/>
            </w:tcBorders>
            <w:shd w:val="clear" w:color="000000" w:fill="FFFFFF"/>
            <w:noWrap/>
            <w:vAlign w:val="bottom"/>
            <w:hideMark/>
          </w:tcPr>
          <w:p w14:paraId="1F10D19F" w14:textId="3D10C0E6"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1,723 </w:t>
            </w:r>
          </w:p>
        </w:tc>
        <w:tc>
          <w:tcPr>
            <w:tcW w:w="831" w:type="dxa"/>
            <w:tcBorders>
              <w:top w:val="nil"/>
              <w:left w:val="nil"/>
              <w:bottom w:val="nil"/>
              <w:right w:val="nil"/>
            </w:tcBorders>
            <w:shd w:val="clear" w:color="000000" w:fill="D9D9D9"/>
            <w:noWrap/>
            <w:vAlign w:val="bottom"/>
            <w:hideMark/>
          </w:tcPr>
          <w:p w14:paraId="634695A7"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0.8%</w:t>
            </w:r>
          </w:p>
        </w:tc>
        <w:tc>
          <w:tcPr>
            <w:tcW w:w="789" w:type="dxa"/>
            <w:tcBorders>
              <w:top w:val="nil"/>
              <w:left w:val="nil"/>
              <w:bottom w:val="nil"/>
              <w:right w:val="nil"/>
            </w:tcBorders>
            <w:shd w:val="clear" w:color="000000" w:fill="FFFFFF"/>
            <w:noWrap/>
            <w:vAlign w:val="bottom"/>
            <w:hideMark/>
          </w:tcPr>
          <w:p w14:paraId="25E82028" w14:textId="13180481"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1,709 </w:t>
            </w:r>
          </w:p>
        </w:tc>
        <w:tc>
          <w:tcPr>
            <w:tcW w:w="831" w:type="dxa"/>
            <w:tcBorders>
              <w:top w:val="nil"/>
              <w:left w:val="nil"/>
              <w:bottom w:val="nil"/>
              <w:right w:val="nil"/>
            </w:tcBorders>
            <w:shd w:val="clear" w:color="000000" w:fill="D9D9D9"/>
            <w:noWrap/>
            <w:vAlign w:val="bottom"/>
            <w:hideMark/>
          </w:tcPr>
          <w:p w14:paraId="55265501"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-0.9%</w:t>
            </w:r>
          </w:p>
        </w:tc>
      </w:tr>
      <w:tr w:rsidR="00275495" w:rsidRPr="00653071" w14:paraId="469061A6" w14:textId="77777777" w:rsidTr="00275495">
        <w:trPr>
          <w:trHeight w:val="288"/>
        </w:trPr>
        <w:tc>
          <w:tcPr>
            <w:tcW w:w="712" w:type="dxa"/>
            <w:tcBorders>
              <w:top w:val="nil"/>
              <w:left w:val="nil"/>
              <w:bottom w:val="nil"/>
              <w:right w:val="nil"/>
            </w:tcBorders>
            <w:shd w:val="clear" w:color="000000" w:fill="FFFFFF"/>
            <w:noWrap/>
            <w:vAlign w:val="bottom"/>
            <w:hideMark/>
          </w:tcPr>
          <w:p w14:paraId="6FF4F611" w14:textId="77777777" w:rsidR="00653071" w:rsidRPr="00653071" w:rsidRDefault="00653071" w:rsidP="00653071">
            <w:pPr>
              <w:rPr>
                <w:rFonts w:ascii="Calibri" w:eastAsia="Times New Roman" w:hAnsi="Calibri" w:cs="Calibri"/>
                <w:sz w:val="20"/>
                <w:szCs w:val="20"/>
              </w:rPr>
            </w:pPr>
            <w:r w:rsidRPr="00653071">
              <w:rPr>
                <w:rFonts w:ascii="Calibri" w:eastAsia="Times New Roman" w:hAnsi="Calibri" w:cs="Calibri"/>
                <w:sz w:val="20"/>
                <w:szCs w:val="20"/>
              </w:rPr>
              <w:t>UMFK</w:t>
            </w:r>
          </w:p>
        </w:tc>
        <w:tc>
          <w:tcPr>
            <w:tcW w:w="998" w:type="dxa"/>
            <w:tcBorders>
              <w:top w:val="nil"/>
              <w:left w:val="single" w:sz="4" w:space="0" w:color="00688D"/>
              <w:bottom w:val="nil"/>
              <w:right w:val="single" w:sz="4" w:space="0" w:color="00688D"/>
            </w:tcBorders>
            <w:shd w:val="clear" w:color="000000" w:fill="D9D9D9"/>
            <w:noWrap/>
            <w:vAlign w:val="bottom"/>
            <w:hideMark/>
          </w:tcPr>
          <w:p w14:paraId="2390EDC0"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-22.8%</w:t>
            </w:r>
          </w:p>
        </w:tc>
        <w:tc>
          <w:tcPr>
            <w:tcW w:w="808" w:type="dxa"/>
            <w:tcBorders>
              <w:top w:val="nil"/>
              <w:left w:val="nil"/>
              <w:bottom w:val="nil"/>
              <w:right w:val="nil"/>
            </w:tcBorders>
            <w:shd w:val="clear" w:color="000000" w:fill="FFFFFF"/>
            <w:noWrap/>
            <w:vAlign w:val="bottom"/>
            <w:hideMark/>
          </w:tcPr>
          <w:p w14:paraId="09FDB718" w14:textId="64F41F2C"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812 </w:t>
            </w:r>
          </w:p>
        </w:tc>
        <w:tc>
          <w:tcPr>
            <w:tcW w:w="831" w:type="dxa"/>
            <w:tcBorders>
              <w:top w:val="nil"/>
              <w:left w:val="nil"/>
              <w:bottom w:val="nil"/>
              <w:right w:val="nil"/>
            </w:tcBorders>
            <w:shd w:val="clear" w:color="000000" w:fill="D9D9D9"/>
            <w:noWrap/>
            <w:vAlign w:val="bottom"/>
            <w:hideMark/>
          </w:tcPr>
          <w:p w14:paraId="6565CD1D"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-3.6%</w:t>
            </w:r>
          </w:p>
        </w:tc>
        <w:tc>
          <w:tcPr>
            <w:tcW w:w="777" w:type="dxa"/>
            <w:tcBorders>
              <w:top w:val="nil"/>
              <w:left w:val="nil"/>
              <w:bottom w:val="nil"/>
              <w:right w:val="nil"/>
            </w:tcBorders>
            <w:shd w:val="clear" w:color="000000" w:fill="FFFFFF"/>
            <w:noWrap/>
            <w:vAlign w:val="bottom"/>
            <w:hideMark/>
          </w:tcPr>
          <w:p w14:paraId="0D7AB09F" w14:textId="4EDFD4D4"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842 </w:t>
            </w:r>
          </w:p>
        </w:tc>
        <w:tc>
          <w:tcPr>
            <w:tcW w:w="831" w:type="dxa"/>
            <w:tcBorders>
              <w:top w:val="nil"/>
              <w:left w:val="nil"/>
              <w:bottom w:val="nil"/>
              <w:right w:val="nil"/>
            </w:tcBorders>
            <w:shd w:val="clear" w:color="000000" w:fill="D9D9D9"/>
            <w:noWrap/>
            <w:vAlign w:val="bottom"/>
            <w:hideMark/>
          </w:tcPr>
          <w:p w14:paraId="36D68A7F"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-11.7%</w:t>
            </w:r>
          </w:p>
        </w:tc>
        <w:tc>
          <w:tcPr>
            <w:tcW w:w="773" w:type="dxa"/>
            <w:tcBorders>
              <w:top w:val="nil"/>
              <w:left w:val="nil"/>
              <w:bottom w:val="nil"/>
              <w:right w:val="nil"/>
            </w:tcBorders>
            <w:shd w:val="clear" w:color="000000" w:fill="FFFFFF"/>
            <w:noWrap/>
            <w:vAlign w:val="bottom"/>
            <w:hideMark/>
          </w:tcPr>
          <w:p w14:paraId="5F8BEF98" w14:textId="609451B6"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954 </w:t>
            </w:r>
          </w:p>
        </w:tc>
        <w:tc>
          <w:tcPr>
            <w:tcW w:w="831" w:type="dxa"/>
            <w:tcBorders>
              <w:top w:val="nil"/>
              <w:left w:val="nil"/>
              <w:bottom w:val="nil"/>
              <w:right w:val="nil"/>
            </w:tcBorders>
            <w:shd w:val="clear" w:color="000000" w:fill="D9D9D9"/>
            <w:noWrap/>
            <w:vAlign w:val="bottom"/>
            <w:hideMark/>
          </w:tcPr>
          <w:p w14:paraId="167382AC"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0.4%</w:t>
            </w:r>
          </w:p>
        </w:tc>
        <w:tc>
          <w:tcPr>
            <w:tcW w:w="805" w:type="dxa"/>
            <w:tcBorders>
              <w:top w:val="nil"/>
              <w:left w:val="nil"/>
              <w:bottom w:val="nil"/>
              <w:right w:val="nil"/>
            </w:tcBorders>
            <w:shd w:val="clear" w:color="000000" w:fill="FFFFFF"/>
            <w:noWrap/>
            <w:vAlign w:val="bottom"/>
            <w:hideMark/>
          </w:tcPr>
          <w:p w14:paraId="6868BBE6" w14:textId="30E8C1BF"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950 </w:t>
            </w:r>
          </w:p>
        </w:tc>
        <w:tc>
          <w:tcPr>
            <w:tcW w:w="831" w:type="dxa"/>
            <w:tcBorders>
              <w:top w:val="nil"/>
              <w:left w:val="nil"/>
              <w:bottom w:val="nil"/>
              <w:right w:val="nil"/>
            </w:tcBorders>
            <w:shd w:val="clear" w:color="000000" w:fill="D9D9D9"/>
            <w:noWrap/>
            <w:vAlign w:val="bottom"/>
            <w:hideMark/>
          </w:tcPr>
          <w:p w14:paraId="14FD6855"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-9.7%</w:t>
            </w:r>
          </w:p>
        </w:tc>
        <w:tc>
          <w:tcPr>
            <w:tcW w:w="789" w:type="dxa"/>
            <w:tcBorders>
              <w:top w:val="nil"/>
              <w:left w:val="nil"/>
              <w:bottom w:val="nil"/>
              <w:right w:val="nil"/>
            </w:tcBorders>
            <w:shd w:val="clear" w:color="000000" w:fill="FFFFFF"/>
            <w:noWrap/>
            <w:vAlign w:val="bottom"/>
            <w:hideMark/>
          </w:tcPr>
          <w:p w14:paraId="58984F6E" w14:textId="7EE0825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1,052 </w:t>
            </w:r>
          </w:p>
        </w:tc>
        <w:tc>
          <w:tcPr>
            <w:tcW w:w="831" w:type="dxa"/>
            <w:tcBorders>
              <w:top w:val="nil"/>
              <w:left w:val="nil"/>
              <w:bottom w:val="nil"/>
              <w:right w:val="nil"/>
            </w:tcBorders>
            <w:shd w:val="clear" w:color="000000" w:fill="D9D9D9"/>
            <w:noWrap/>
            <w:vAlign w:val="bottom"/>
            <w:hideMark/>
          </w:tcPr>
          <w:p w14:paraId="662C24E5"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15.5%</w:t>
            </w:r>
          </w:p>
        </w:tc>
      </w:tr>
      <w:tr w:rsidR="00275495" w:rsidRPr="00653071" w14:paraId="28E4F7B4" w14:textId="77777777" w:rsidTr="00275495">
        <w:trPr>
          <w:trHeight w:val="288"/>
        </w:trPr>
        <w:tc>
          <w:tcPr>
            <w:tcW w:w="712" w:type="dxa"/>
            <w:tcBorders>
              <w:top w:val="nil"/>
              <w:left w:val="nil"/>
              <w:bottom w:val="nil"/>
              <w:right w:val="nil"/>
            </w:tcBorders>
            <w:shd w:val="clear" w:color="000000" w:fill="FFFFFF"/>
            <w:noWrap/>
            <w:vAlign w:val="bottom"/>
            <w:hideMark/>
          </w:tcPr>
          <w:p w14:paraId="2BFEEBD5" w14:textId="77777777" w:rsidR="00653071" w:rsidRPr="00653071" w:rsidRDefault="00653071" w:rsidP="00653071">
            <w:pPr>
              <w:rPr>
                <w:rFonts w:ascii="Calibri" w:eastAsia="Times New Roman" w:hAnsi="Calibri" w:cs="Calibri"/>
                <w:sz w:val="20"/>
                <w:szCs w:val="20"/>
              </w:rPr>
            </w:pPr>
            <w:r w:rsidRPr="00653071">
              <w:rPr>
                <w:rFonts w:ascii="Calibri" w:eastAsia="Times New Roman" w:hAnsi="Calibri" w:cs="Calibri"/>
                <w:sz w:val="20"/>
                <w:szCs w:val="20"/>
              </w:rPr>
              <w:t>UMM</w:t>
            </w:r>
          </w:p>
        </w:tc>
        <w:tc>
          <w:tcPr>
            <w:tcW w:w="998" w:type="dxa"/>
            <w:tcBorders>
              <w:top w:val="nil"/>
              <w:left w:val="single" w:sz="4" w:space="0" w:color="00688D"/>
              <w:bottom w:val="nil"/>
              <w:right w:val="single" w:sz="4" w:space="0" w:color="00688D"/>
            </w:tcBorders>
            <w:shd w:val="clear" w:color="000000" w:fill="D9D9D9"/>
            <w:noWrap/>
            <w:vAlign w:val="bottom"/>
            <w:hideMark/>
          </w:tcPr>
          <w:p w14:paraId="6DAA0BA4"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-19.3%</w:t>
            </w:r>
          </w:p>
        </w:tc>
        <w:tc>
          <w:tcPr>
            <w:tcW w:w="808" w:type="dxa"/>
            <w:tcBorders>
              <w:top w:val="nil"/>
              <w:left w:val="nil"/>
              <w:bottom w:val="nil"/>
              <w:right w:val="nil"/>
            </w:tcBorders>
            <w:shd w:val="clear" w:color="000000" w:fill="FFFFFF"/>
            <w:noWrap/>
            <w:vAlign w:val="bottom"/>
            <w:hideMark/>
          </w:tcPr>
          <w:p w14:paraId="2F8D7470" w14:textId="4266A172"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397 </w:t>
            </w:r>
          </w:p>
        </w:tc>
        <w:tc>
          <w:tcPr>
            <w:tcW w:w="831" w:type="dxa"/>
            <w:tcBorders>
              <w:top w:val="nil"/>
              <w:left w:val="nil"/>
              <w:bottom w:val="nil"/>
              <w:right w:val="nil"/>
            </w:tcBorders>
            <w:shd w:val="clear" w:color="000000" w:fill="D9D9D9"/>
            <w:noWrap/>
            <w:vAlign w:val="bottom"/>
            <w:hideMark/>
          </w:tcPr>
          <w:p w14:paraId="60B8A8DA"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-1.5%</w:t>
            </w:r>
          </w:p>
        </w:tc>
        <w:tc>
          <w:tcPr>
            <w:tcW w:w="777" w:type="dxa"/>
            <w:tcBorders>
              <w:top w:val="nil"/>
              <w:left w:val="nil"/>
              <w:bottom w:val="nil"/>
              <w:right w:val="nil"/>
            </w:tcBorders>
            <w:shd w:val="clear" w:color="000000" w:fill="FFFFFF"/>
            <w:noWrap/>
            <w:vAlign w:val="bottom"/>
            <w:hideMark/>
          </w:tcPr>
          <w:p w14:paraId="2732ADEE" w14:textId="5B3C76F3"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403 </w:t>
            </w:r>
          </w:p>
        </w:tc>
        <w:tc>
          <w:tcPr>
            <w:tcW w:w="831" w:type="dxa"/>
            <w:tcBorders>
              <w:top w:val="nil"/>
              <w:left w:val="nil"/>
              <w:bottom w:val="nil"/>
              <w:right w:val="nil"/>
            </w:tcBorders>
            <w:shd w:val="clear" w:color="000000" w:fill="D9D9D9"/>
            <w:noWrap/>
            <w:vAlign w:val="bottom"/>
            <w:hideMark/>
          </w:tcPr>
          <w:p w14:paraId="5E474B2A"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-5.2%</w:t>
            </w:r>
          </w:p>
        </w:tc>
        <w:tc>
          <w:tcPr>
            <w:tcW w:w="773" w:type="dxa"/>
            <w:tcBorders>
              <w:top w:val="nil"/>
              <w:left w:val="nil"/>
              <w:bottom w:val="nil"/>
              <w:right w:val="nil"/>
            </w:tcBorders>
            <w:shd w:val="clear" w:color="000000" w:fill="FFFFFF"/>
            <w:noWrap/>
            <w:vAlign w:val="bottom"/>
            <w:hideMark/>
          </w:tcPr>
          <w:p w14:paraId="701B83F0" w14:textId="52A052A6"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425 </w:t>
            </w:r>
          </w:p>
        </w:tc>
        <w:tc>
          <w:tcPr>
            <w:tcW w:w="831" w:type="dxa"/>
            <w:tcBorders>
              <w:top w:val="nil"/>
              <w:left w:val="nil"/>
              <w:bottom w:val="nil"/>
              <w:right w:val="nil"/>
            </w:tcBorders>
            <w:shd w:val="clear" w:color="000000" w:fill="D9D9D9"/>
            <w:noWrap/>
            <w:vAlign w:val="bottom"/>
            <w:hideMark/>
          </w:tcPr>
          <w:p w14:paraId="6AA18DCA"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-6.0%</w:t>
            </w:r>
          </w:p>
        </w:tc>
        <w:tc>
          <w:tcPr>
            <w:tcW w:w="805" w:type="dxa"/>
            <w:tcBorders>
              <w:top w:val="nil"/>
              <w:left w:val="nil"/>
              <w:bottom w:val="nil"/>
              <w:right w:val="nil"/>
            </w:tcBorders>
            <w:shd w:val="clear" w:color="000000" w:fill="FFFFFF"/>
            <w:noWrap/>
            <w:vAlign w:val="bottom"/>
            <w:hideMark/>
          </w:tcPr>
          <w:p w14:paraId="52C9651C" w14:textId="16049F4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452 </w:t>
            </w:r>
          </w:p>
        </w:tc>
        <w:tc>
          <w:tcPr>
            <w:tcW w:w="831" w:type="dxa"/>
            <w:tcBorders>
              <w:top w:val="nil"/>
              <w:left w:val="nil"/>
              <w:bottom w:val="nil"/>
              <w:right w:val="nil"/>
            </w:tcBorders>
            <w:shd w:val="clear" w:color="000000" w:fill="D9D9D9"/>
            <w:noWrap/>
            <w:vAlign w:val="bottom"/>
            <w:hideMark/>
          </w:tcPr>
          <w:p w14:paraId="1338BE23"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-8.1%</w:t>
            </w:r>
          </w:p>
        </w:tc>
        <w:tc>
          <w:tcPr>
            <w:tcW w:w="789" w:type="dxa"/>
            <w:tcBorders>
              <w:top w:val="nil"/>
              <w:left w:val="nil"/>
              <w:bottom w:val="nil"/>
              <w:right w:val="nil"/>
            </w:tcBorders>
            <w:shd w:val="clear" w:color="000000" w:fill="FFFFFF"/>
            <w:noWrap/>
            <w:vAlign w:val="bottom"/>
            <w:hideMark/>
          </w:tcPr>
          <w:p w14:paraId="02E30BD3" w14:textId="17AF4329"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492 </w:t>
            </w:r>
          </w:p>
        </w:tc>
        <w:tc>
          <w:tcPr>
            <w:tcW w:w="831" w:type="dxa"/>
            <w:tcBorders>
              <w:top w:val="nil"/>
              <w:left w:val="nil"/>
              <w:bottom w:val="nil"/>
              <w:right w:val="nil"/>
            </w:tcBorders>
            <w:shd w:val="clear" w:color="000000" w:fill="D9D9D9"/>
            <w:noWrap/>
            <w:vAlign w:val="bottom"/>
            <w:hideMark/>
          </w:tcPr>
          <w:p w14:paraId="5B495F97"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-0.2%</w:t>
            </w:r>
          </w:p>
        </w:tc>
      </w:tr>
      <w:tr w:rsidR="00275495" w:rsidRPr="00653071" w14:paraId="591B60D4" w14:textId="77777777" w:rsidTr="00275495">
        <w:trPr>
          <w:trHeight w:val="288"/>
        </w:trPr>
        <w:tc>
          <w:tcPr>
            <w:tcW w:w="712" w:type="dxa"/>
            <w:tcBorders>
              <w:top w:val="nil"/>
              <w:left w:val="nil"/>
              <w:bottom w:val="nil"/>
              <w:right w:val="nil"/>
            </w:tcBorders>
            <w:shd w:val="clear" w:color="000000" w:fill="FFFFFF"/>
            <w:noWrap/>
            <w:vAlign w:val="bottom"/>
            <w:hideMark/>
          </w:tcPr>
          <w:p w14:paraId="72FF88AF" w14:textId="77777777" w:rsidR="00653071" w:rsidRPr="00653071" w:rsidRDefault="00653071" w:rsidP="00653071">
            <w:pPr>
              <w:rPr>
                <w:rFonts w:ascii="Calibri" w:eastAsia="Times New Roman" w:hAnsi="Calibri" w:cs="Calibri"/>
                <w:sz w:val="20"/>
                <w:szCs w:val="20"/>
              </w:rPr>
            </w:pPr>
            <w:r w:rsidRPr="00653071">
              <w:rPr>
                <w:rFonts w:ascii="Calibri" w:eastAsia="Times New Roman" w:hAnsi="Calibri" w:cs="Calibri"/>
                <w:sz w:val="20"/>
                <w:szCs w:val="20"/>
              </w:rPr>
              <w:t>UMPI</w:t>
            </w:r>
          </w:p>
        </w:tc>
        <w:tc>
          <w:tcPr>
            <w:tcW w:w="998" w:type="dxa"/>
            <w:tcBorders>
              <w:top w:val="nil"/>
              <w:left w:val="single" w:sz="4" w:space="0" w:color="00688D"/>
              <w:bottom w:val="nil"/>
              <w:right w:val="single" w:sz="4" w:space="0" w:color="00688D"/>
            </w:tcBorders>
            <w:shd w:val="clear" w:color="000000" w:fill="D9D9D9"/>
            <w:noWrap/>
            <w:vAlign w:val="bottom"/>
            <w:hideMark/>
          </w:tcPr>
          <w:p w14:paraId="502B88AD"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6.8%</w:t>
            </w:r>
          </w:p>
        </w:tc>
        <w:tc>
          <w:tcPr>
            <w:tcW w:w="808" w:type="dxa"/>
            <w:tcBorders>
              <w:top w:val="nil"/>
              <w:left w:val="nil"/>
              <w:bottom w:val="nil"/>
              <w:right w:val="nil"/>
            </w:tcBorders>
            <w:shd w:val="clear" w:color="000000" w:fill="FFFFFF"/>
            <w:noWrap/>
            <w:vAlign w:val="bottom"/>
            <w:hideMark/>
          </w:tcPr>
          <w:p w14:paraId="31272C4A" w14:textId="1F04C84E"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945 </w:t>
            </w:r>
          </w:p>
        </w:tc>
        <w:tc>
          <w:tcPr>
            <w:tcW w:w="831" w:type="dxa"/>
            <w:tcBorders>
              <w:top w:val="nil"/>
              <w:left w:val="nil"/>
              <w:bottom w:val="nil"/>
              <w:right w:val="nil"/>
            </w:tcBorders>
            <w:shd w:val="clear" w:color="000000" w:fill="D9D9D9"/>
            <w:noWrap/>
            <w:vAlign w:val="bottom"/>
            <w:hideMark/>
          </w:tcPr>
          <w:p w14:paraId="46DAEBBF"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9.9%</w:t>
            </w:r>
          </w:p>
        </w:tc>
        <w:tc>
          <w:tcPr>
            <w:tcW w:w="777" w:type="dxa"/>
            <w:tcBorders>
              <w:top w:val="nil"/>
              <w:left w:val="nil"/>
              <w:bottom w:val="nil"/>
              <w:right w:val="nil"/>
            </w:tcBorders>
            <w:shd w:val="clear" w:color="000000" w:fill="FFFFFF"/>
            <w:noWrap/>
            <w:vAlign w:val="bottom"/>
            <w:hideMark/>
          </w:tcPr>
          <w:p w14:paraId="5792E88F" w14:textId="368BA6F1"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860 </w:t>
            </w:r>
          </w:p>
        </w:tc>
        <w:tc>
          <w:tcPr>
            <w:tcW w:w="831" w:type="dxa"/>
            <w:tcBorders>
              <w:top w:val="nil"/>
              <w:left w:val="nil"/>
              <w:bottom w:val="nil"/>
              <w:right w:val="nil"/>
            </w:tcBorders>
            <w:shd w:val="clear" w:color="000000" w:fill="D9D9D9"/>
            <w:noWrap/>
            <w:vAlign w:val="bottom"/>
            <w:hideMark/>
          </w:tcPr>
          <w:p w14:paraId="39F09E8D"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-7.8%</w:t>
            </w:r>
          </w:p>
        </w:tc>
        <w:tc>
          <w:tcPr>
            <w:tcW w:w="773" w:type="dxa"/>
            <w:tcBorders>
              <w:top w:val="nil"/>
              <w:left w:val="nil"/>
              <w:bottom w:val="nil"/>
              <w:right w:val="nil"/>
            </w:tcBorders>
            <w:shd w:val="clear" w:color="000000" w:fill="FFFFFF"/>
            <w:noWrap/>
            <w:vAlign w:val="bottom"/>
            <w:hideMark/>
          </w:tcPr>
          <w:p w14:paraId="5EFF5093" w14:textId="6E556E9F"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933 </w:t>
            </w:r>
          </w:p>
        </w:tc>
        <w:tc>
          <w:tcPr>
            <w:tcW w:w="831" w:type="dxa"/>
            <w:tcBorders>
              <w:top w:val="nil"/>
              <w:left w:val="nil"/>
              <w:bottom w:val="nil"/>
              <w:right w:val="nil"/>
            </w:tcBorders>
            <w:shd w:val="clear" w:color="000000" w:fill="D9D9D9"/>
            <w:noWrap/>
            <w:vAlign w:val="bottom"/>
            <w:hideMark/>
          </w:tcPr>
          <w:p w14:paraId="03C310F1"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3.3%</w:t>
            </w:r>
          </w:p>
        </w:tc>
        <w:tc>
          <w:tcPr>
            <w:tcW w:w="805" w:type="dxa"/>
            <w:tcBorders>
              <w:top w:val="nil"/>
              <w:left w:val="nil"/>
              <w:bottom w:val="nil"/>
              <w:right w:val="nil"/>
            </w:tcBorders>
            <w:shd w:val="clear" w:color="000000" w:fill="FFFFFF"/>
            <w:noWrap/>
            <w:vAlign w:val="bottom"/>
            <w:hideMark/>
          </w:tcPr>
          <w:p w14:paraId="6D6D927D" w14:textId="6E00E9A9"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903 </w:t>
            </w:r>
          </w:p>
        </w:tc>
        <w:tc>
          <w:tcPr>
            <w:tcW w:w="831" w:type="dxa"/>
            <w:tcBorders>
              <w:top w:val="nil"/>
              <w:left w:val="nil"/>
              <w:bottom w:val="nil"/>
              <w:right w:val="nil"/>
            </w:tcBorders>
            <w:shd w:val="clear" w:color="000000" w:fill="D9D9D9"/>
            <w:noWrap/>
            <w:vAlign w:val="bottom"/>
            <w:hideMark/>
          </w:tcPr>
          <w:p w14:paraId="1F99B44E"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2.0%</w:t>
            </w:r>
          </w:p>
        </w:tc>
        <w:tc>
          <w:tcPr>
            <w:tcW w:w="789" w:type="dxa"/>
            <w:tcBorders>
              <w:top w:val="nil"/>
              <w:left w:val="nil"/>
              <w:bottom w:val="nil"/>
              <w:right w:val="nil"/>
            </w:tcBorders>
            <w:shd w:val="clear" w:color="000000" w:fill="FFFFFF"/>
            <w:noWrap/>
            <w:vAlign w:val="bottom"/>
            <w:hideMark/>
          </w:tcPr>
          <w:p w14:paraId="66A6E794" w14:textId="7E7FB4EF"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885 </w:t>
            </w:r>
          </w:p>
        </w:tc>
        <w:tc>
          <w:tcPr>
            <w:tcW w:w="831" w:type="dxa"/>
            <w:tcBorders>
              <w:top w:val="nil"/>
              <w:left w:val="nil"/>
              <w:bottom w:val="nil"/>
              <w:right w:val="nil"/>
            </w:tcBorders>
            <w:shd w:val="clear" w:color="000000" w:fill="D9D9D9"/>
            <w:noWrap/>
            <w:vAlign w:val="bottom"/>
            <w:hideMark/>
          </w:tcPr>
          <w:p w14:paraId="2C0F1167"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7.5%</w:t>
            </w:r>
          </w:p>
        </w:tc>
      </w:tr>
      <w:tr w:rsidR="00275495" w:rsidRPr="00653071" w14:paraId="799B0EC9" w14:textId="77777777" w:rsidTr="00275495">
        <w:trPr>
          <w:trHeight w:val="288"/>
        </w:trPr>
        <w:tc>
          <w:tcPr>
            <w:tcW w:w="712" w:type="dxa"/>
            <w:tcBorders>
              <w:top w:val="nil"/>
              <w:left w:val="nil"/>
              <w:bottom w:val="nil"/>
              <w:right w:val="nil"/>
            </w:tcBorders>
            <w:shd w:val="clear" w:color="000000" w:fill="FFFFFF"/>
            <w:noWrap/>
            <w:vAlign w:val="bottom"/>
            <w:hideMark/>
          </w:tcPr>
          <w:p w14:paraId="0A5E78A4" w14:textId="77777777" w:rsidR="00653071" w:rsidRPr="00653071" w:rsidRDefault="00653071" w:rsidP="00653071">
            <w:pPr>
              <w:rPr>
                <w:rFonts w:ascii="Calibri" w:eastAsia="Times New Roman" w:hAnsi="Calibri" w:cs="Calibri"/>
                <w:sz w:val="20"/>
                <w:szCs w:val="20"/>
              </w:rPr>
            </w:pPr>
            <w:r w:rsidRPr="00653071">
              <w:rPr>
                <w:rFonts w:ascii="Calibri" w:eastAsia="Times New Roman" w:hAnsi="Calibri" w:cs="Calibri"/>
                <w:sz w:val="20"/>
                <w:szCs w:val="20"/>
              </w:rPr>
              <w:t>USM</w:t>
            </w:r>
          </w:p>
        </w:tc>
        <w:tc>
          <w:tcPr>
            <w:tcW w:w="998" w:type="dxa"/>
            <w:tcBorders>
              <w:top w:val="nil"/>
              <w:left w:val="single" w:sz="4" w:space="0" w:color="00688D"/>
              <w:bottom w:val="nil"/>
              <w:right w:val="single" w:sz="4" w:space="0" w:color="00688D"/>
            </w:tcBorders>
            <w:shd w:val="clear" w:color="000000" w:fill="D9D9D9"/>
            <w:noWrap/>
            <w:vAlign w:val="bottom"/>
            <w:hideMark/>
          </w:tcPr>
          <w:p w14:paraId="6546D3F6"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2.9%</w:t>
            </w:r>
          </w:p>
        </w:tc>
        <w:tc>
          <w:tcPr>
            <w:tcW w:w="808" w:type="dxa"/>
            <w:tcBorders>
              <w:top w:val="nil"/>
              <w:left w:val="nil"/>
              <w:bottom w:val="nil"/>
              <w:right w:val="nil"/>
            </w:tcBorders>
            <w:shd w:val="clear" w:color="000000" w:fill="FFFFFF"/>
            <w:noWrap/>
            <w:vAlign w:val="bottom"/>
            <w:hideMark/>
          </w:tcPr>
          <w:p w14:paraId="693E80E5" w14:textId="2BCE3523"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5,877 </w:t>
            </w:r>
          </w:p>
        </w:tc>
        <w:tc>
          <w:tcPr>
            <w:tcW w:w="831" w:type="dxa"/>
            <w:tcBorders>
              <w:top w:val="nil"/>
              <w:left w:val="nil"/>
              <w:bottom w:val="nil"/>
              <w:right w:val="nil"/>
            </w:tcBorders>
            <w:shd w:val="clear" w:color="000000" w:fill="D9D9D9"/>
            <w:noWrap/>
            <w:vAlign w:val="bottom"/>
            <w:hideMark/>
          </w:tcPr>
          <w:p w14:paraId="1DE3CD0D"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-4.0%</w:t>
            </w:r>
          </w:p>
        </w:tc>
        <w:tc>
          <w:tcPr>
            <w:tcW w:w="777" w:type="dxa"/>
            <w:tcBorders>
              <w:top w:val="nil"/>
              <w:left w:val="nil"/>
              <w:bottom w:val="nil"/>
              <w:right w:val="nil"/>
            </w:tcBorders>
            <w:shd w:val="clear" w:color="000000" w:fill="FFFFFF"/>
            <w:noWrap/>
            <w:vAlign w:val="bottom"/>
            <w:hideMark/>
          </w:tcPr>
          <w:p w14:paraId="473E28DD" w14:textId="3683152C"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6,123 </w:t>
            </w:r>
          </w:p>
        </w:tc>
        <w:tc>
          <w:tcPr>
            <w:tcW w:w="831" w:type="dxa"/>
            <w:tcBorders>
              <w:top w:val="nil"/>
              <w:left w:val="nil"/>
              <w:bottom w:val="nil"/>
              <w:right w:val="nil"/>
            </w:tcBorders>
            <w:shd w:val="clear" w:color="000000" w:fill="D9D9D9"/>
            <w:noWrap/>
            <w:vAlign w:val="bottom"/>
            <w:hideMark/>
          </w:tcPr>
          <w:p w14:paraId="36B28884"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0.7%</w:t>
            </w:r>
          </w:p>
        </w:tc>
        <w:tc>
          <w:tcPr>
            <w:tcW w:w="773" w:type="dxa"/>
            <w:tcBorders>
              <w:top w:val="nil"/>
              <w:left w:val="nil"/>
              <w:bottom w:val="nil"/>
              <w:right w:val="nil"/>
            </w:tcBorders>
            <w:shd w:val="clear" w:color="000000" w:fill="FFFFFF"/>
            <w:noWrap/>
            <w:vAlign w:val="bottom"/>
            <w:hideMark/>
          </w:tcPr>
          <w:p w14:paraId="7A2C0ECF" w14:textId="145E04E6"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6,083 </w:t>
            </w:r>
          </w:p>
        </w:tc>
        <w:tc>
          <w:tcPr>
            <w:tcW w:w="831" w:type="dxa"/>
            <w:tcBorders>
              <w:top w:val="nil"/>
              <w:left w:val="nil"/>
              <w:bottom w:val="nil"/>
              <w:right w:val="nil"/>
            </w:tcBorders>
            <w:shd w:val="clear" w:color="000000" w:fill="D9D9D9"/>
            <w:noWrap/>
            <w:vAlign w:val="bottom"/>
            <w:hideMark/>
          </w:tcPr>
          <w:p w14:paraId="074119C2"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3.2%</w:t>
            </w:r>
          </w:p>
        </w:tc>
        <w:tc>
          <w:tcPr>
            <w:tcW w:w="805" w:type="dxa"/>
            <w:tcBorders>
              <w:top w:val="nil"/>
              <w:left w:val="nil"/>
              <w:bottom w:val="nil"/>
              <w:right w:val="nil"/>
            </w:tcBorders>
            <w:shd w:val="clear" w:color="000000" w:fill="FFFFFF"/>
            <w:noWrap/>
            <w:vAlign w:val="bottom"/>
            <w:hideMark/>
          </w:tcPr>
          <w:p w14:paraId="6785D302" w14:textId="181908E8"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5,895 </w:t>
            </w:r>
          </w:p>
        </w:tc>
        <w:tc>
          <w:tcPr>
            <w:tcW w:w="831" w:type="dxa"/>
            <w:tcBorders>
              <w:top w:val="nil"/>
              <w:left w:val="nil"/>
              <w:bottom w:val="nil"/>
              <w:right w:val="nil"/>
            </w:tcBorders>
            <w:shd w:val="clear" w:color="000000" w:fill="D9D9D9"/>
            <w:noWrap/>
            <w:vAlign w:val="bottom"/>
            <w:hideMark/>
          </w:tcPr>
          <w:p w14:paraId="13FCE206"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3.2%</w:t>
            </w:r>
          </w:p>
        </w:tc>
        <w:tc>
          <w:tcPr>
            <w:tcW w:w="789" w:type="dxa"/>
            <w:tcBorders>
              <w:top w:val="nil"/>
              <w:left w:val="nil"/>
              <w:bottom w:val="nil"/>
              <w:right w:val="nil"/>
            </w:tcBorders>
            <w:shd w:val="clear" w:color="000000" w:fill="FFFFFF"/>
            <w:noWrap/>
            <w:vAlign w:val="bottom"/>
            <w:hideMark/>
          </w:tcPr>
          <w:p w14:paraId="6777C20A" w14:textId="173361B2"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5,713 </w:t>
            </w:r>
          </w:p>
        </w:tc>
        <w:tc>
          <w:tcPr>
            <w:tcW w:w="831" w:type="dxa"/>
            <w:tcBorders>
              <w:top w:val="nil"/>
              <w:left w:val="nil"/>
              <w:bottom w:val="nil"/>
              <w:right w:val="nil"/>
            </w:tcBorders>
            <w:shd w:val="clear" w:color="000000" w:fill="D9D9D9"/>
            <w:noWrap/>
            <w:vAlign w:val="bottom"/>
            <w:hideMark/>
          </w:tcPr>
          <w:p w14:paraId="785BECDF"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0.6%</w:t>
            </w:r>
          </w:p>
        </w:tc>
      </w:tr>
      <w:tr w:rsidR="00275495" w:rsidRPr="00653071" w14:paraId="74C97D4D" w14:textId="77777777" w:rsidTr="00275495">
        <w:trPr>
          <w:trHeight w:val="300"/>
        </w:trPr>
        <w:tc>
          <w:tcPr>
            <w:tcW w:w="712" w:type="dxa"/>
            <w:tcBorders>
              <w:top w:val="nil"/>
              <w:left w:val="nil"/>
              <w:bottom w:val="nil"/>
              <w:right w:val="nil"/>
            </w:tcBorders>
            <w:shd w:val="clear" w:color="000000" w:fill="FFFFFF"/>
            <w:noWrap/>
            <w:vAlign w:val="bottom"/>
            <w:hideMark/>
          </w:tcPr>
          <w:p w14:paraId="4C9324E3" w14:textId="77777777" w:rsidR="00653071" w:rsidRPr="00653071" w:rsidRDefault="00653071" w:rsidP="00653071">
            <w:pPr>
              <w:rPr>
                <w:rFonts w:ascii="Calibri" w:eastAsia="Times New Roman" w:hAnsi="Calibri" w:cs="Calibri"/>
                <w:b/>
                <w:bCs/>
                <w:sz w:val="20"/>
                <w:szCs w:val="20"/>
              </w:rPr>
            </w:pPr>
            <w:r w:rsidRPr="00653071">
              <w:rPr>
                <w:rFonts w:ascii="Calibri" w:eastAsia="Times New Roman" w:hAnsi="Calibri" w:cs="Calibri"/>
                <w:b/>
                <w:bCs/>
                <w:sz w:val="20"/>
                <w:szCs w:val="20"/>
              </w:rPr>
              <w:t>Total</w:t>
            </w:r>
          </w:p>
        </w:tc>
        <w:tc>
          <w:tcPr>
            <w:tcW w:w="998" w:type="dxa"/>
            <w:tcBorders>
              <w:top w:val="nil"/>
              <w:left w:val="single" w:sz="4" w:space="0" w:color="00688D"/>
              <w:bottom w:val="nil"/>
              <w:right w:val="single" w:sz="4" w:space="0" w:color="00688D"/>
            </w:tcBorders>
            <w:shd w:val="clear" w:color="000000" w:fill="D9D9D9"/>
            <w:noWrap/>
            <w:vAlign w:val="bottom"/>
            <w:hideMark/>
          </w:tcPr>
          <w:p w14:paraId="43FAF9A6"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-1.1%</w:t>
            </w:r>
          </w:p>
        </w:tc>
        <w:tc>
          <w:tcPr>
            <w:tcW w:w="808" w:type="dxa"/>
            <w:tcBorders>
              <w:top w:val="single" w:sz="4" w:space="0" w:color="auto"/>
              <w:left w:val="nil"/>
              <w:bottom w:val="double" w:sz="6" w:space="0" w:color="auto"/>
              <w:right w:val="nil"/>
            </w:tcBorders>
            <w:shd w:val="clear" w:color="000000" w:fill="FFFFFF"/>
            <w:noWrap/>
            <w:vAlign w:val="bottom"/>
            <w:hideMark/>
          </w:tcPr>
          <w:p w14:paraId="0E481F56" w14:textId="482BC95C"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21,618 </w:t>
            </w:r>
          </w:p>
        </w:tc>
        <w:tc>
          <w:tcPr>
            <w:tcW w:w="831" w:type="dxa"/>
            <w:tcBorders>
              <w:top w:val="nil"/>
              <w:left w:val="nil"/>
              <w:bottom w:val="nil"/>
              <w:right w:val="nil"/>
            </w:tcBorders>
            <w:shd w:val="clear" w:color="000000" w:fill="D9D9D9"/>
            <w:noWrap/>
            <w:vAlign w:val="bottom"/>
            <w:hideMark/>
          </w:tcPr>
          <w:p w14:paraId="7FE6EB66"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-1.4%</w:t>
            </w:r>
          </w:p>
        </w:tc>
        <w:tc>
          <w:tcPr>
            <w:tcW w:w="777" w:type="dxa"/>
            <w:tcBorders>
              <w:top w:val="single" w:sz="4" w:space="0" w:color="auto"/>
              <w:left w:val="nil"/>
              <w:bottom w:val="double" w:sz="6" w:space="0" w:color="auto"/>
              <w:right w:val="nil"/>
            </w:tcBorders>
            <w:shd w:val="clear" w:color="000000" w:fill="FFFFFF"/>
            <w:noWrap/>
            <w:vAlign w:val="bottom"/>
            <w:hideMark/>
          </w:tcPr>
          <w:p w14:paraId="58E19AFE" w14:textId="0EA4D5F0"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 xml:space="preserve">21,924 </w:t>
            </w:r>
          </w:p>
        </w:tc>
        <w:tc>
          <w:tcPr>
            <w:tcW w:w="831" w:type="dxa"/>
            <w:tcBorders>
              <w:top w:val="nil"/>
              <w:left w:val="nil"/>
              <w:bottom w:val="nil"/>
              <w:right w:val="nil"/>
            </w:tcBorders>
            <w:shd w:val="clear" w:color="000000" w:fill="D9D9D9"/>
            <w:noWrap/>
            <w:vAlign w:val="bottom"/>
            <w:hideMark/>
          </w:tcPr>
          <w:p w14:paraId="6203F4B0" w14:textId="77777777" w:rsidR="00653071" w:rsidRPr="00653071" w:rsidRDefault="00653071" w:rsidP="00653071">
            <w:pPr>
              <w:jc w:val="right"/>
              <w:rPr>
                <w:rFonts w:ascii="Calibri" w:eastAsia="Times New Roman" w:hAnsi="Calibri" w:cs="Calibri"/>
                <w:b/>
                <w:bCs/>
                <w:sz w:val="20"/>
                <w:szCs w:val="20"/>
              </w:rPr>
            </w:pPr>
            <w:r w:rsidRPr="00653071">
              <w:rPr>
                <w:rFonts w:ascii="Calibri" w:eastAsia="Times New Roman" w:hAnsi="Calibri" w:cs="Calibri"/>
                <w:b/>
                <w:bCs/>
                <w:sz w:val="20"/>
                <w:szCs w:val="20"/>
              </w:rPr>
              <w:t>-0.5%</w:t>
            </w:r>
          </w:p>
        </w:tc>
        <w:tc>
          <w:tcPr>
            <w:tcW w:w="773" w:type="dxa"/>
            <w:tcBorders>
              <w:top w:val="single" w:sz="4" w:space="0" w:color="auto"/>
              <w:left w:val="nil"/>
              <w:bottom w:val="double" w:sz="6" w:space="0" w:color="auto"/>
              <w:right w:val="nil"/>
            </w:tcBorders>
            <w:shd w:val="clear" w:color="000000" w:fill="FFFFFF"/>
            <w:noWrap/>
            <w:vAlign w:val="bottom"/>
            <w:hideMark/>
          </w:tcPr>
          <w:p w14:paraId="4CCEEBCA" w14:textId="5E382900"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22,033 </w:t>
            </w:r>
          </w:p>
        </w:tc>
        <w:tc>
          <w:tcPr>
            <w:tcW w:w="831" w:type="dxa"/>
            <w:tcBorders>
              <w:top w:val="nil"/>
              <w:left w:val="nil"/>
              <w:bottom w:val="nil"/>
              <w:right w:val="nil"/>
            </w:tcBorders>
            <w:shd w:val="clear" w:color="000000" w:fill="D9D9D9"/>
            <w:noWrap/>
            <w:vAlign w:val="bottom"/>
            <w:hideMark/>
          </w:tcPr>
          <w:p w14:paraId="393874C8"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1.0%</w:t>
            </w:r>
          </w:p>
        </w:tc>
        <w:tc>
          <w:tcPr>
            <w:tcW w:w="805" w:type="dxa"/>
            <w:tcBorders>
              <w:top w:val="single" w:sz="4" w:space="0" w:color="auto"/>
              <w:left w:val="nil"/>
              <w:bottom w:val="double" w:sz="6" w:space="0" w:color="auto"/>
              <w:right w:val="nil"/>
            </w:tcBorders>
            <w:shd w:val="clear" w:color="000000" w:fill="FFFFFF"/>
            <w:noWrap/>
            <w:vAlign w:val="bottom"/>
            <w:hideMark/>
          </w:tcPr>
          <w:p w14:paraId="45E4F2AD" w14:textId="65BE25DA"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21,812 </w:t>
            </w:r>
          </w:p>
        </w:tc>
        <w:tc>
          <w:tcPr>
            <w:tcW w:w="831" w:type="dxa"/>
            <w:tcBorders>
              <w:top w:val="nil"/>
              <w:left w:val="nil"/>
              <w:bottom w:val="nil"/>
              <w:right w:val="nil"/>
            </w:tcBorders>
            <w:shd w:val="clear" w:color="000000" w:fill="D9D9D9"/>
            <w:noWrap/>
            <w:vAlign w:val="bottom"/>
            <w:hideMark/>
          </w:tcPr>
          <w:p w14:paraId="7B3E9E67"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-0.3%</w:t>
            </w:r>
          </w:p>
        </w:tc>
        <w:tc>
          <w:tcPr>
            <w:tcW w:w="789" w:type="dxa"/>
            <w:tcBorders>
              <w:top w:val="single" w:sz="4" w:space="0" w:color="auto"/>
              <w:left w:val="nil"/>
              <w:bottom w:val="double" w:sz="6" w:space="0" w:color="auto"/>
              <w:right w:val="nil"/>
            </w:tcBorders>
            <w:shd w:val="clear" w:color="000000" w:fill="FFFFFF"/>
            <w:noWrap/>
            <w:vAlign w:val="bottom"/>
            <w:hideMark/>
          </w:tcPr>
          <w:p w14:paraId="2C4FC12B" w14:textId="59D88E9B"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 xml:space="preserve">21,867 </w:t>
            </w:r>
          </w:p>
        </w:tc>
        <w:tc>
          <w:tcPr>
            <w:tcW w:w="831" w:type="dxa"/>
            <w:tcBorders>
              <w:top w:val="nil"/>
              <w:left w:val="nil"/>
              <w:bottom w:val="nil"/>
              <w:right w:val="nil"/>
            </w:tcBorders>
            <w:shd w:val="clear" w:color="000000" w:fill="D9D9D9"/>
            <w:noWrap/>
            <w:vAlign w:val="bottom"/>
            <w:hideMark/>
          </w:tcPr>
          <w:p w14:paraId="0AB249E5" w14:textId="77777777" w:rsidR="00653071" w:rsidRPr="00653071" w:rsidRDefault="00653071" w:rsidP="00653071">
            <w:pPr>
              <w:jc w:val="right"/>
              <w:rPr>
                <w:rFonts w:ascii="Calibri" w:eastAsia="Times New Roman" w:hAnsi="Calibri" w:cs="Calibri"/>
                <w:sz w:val="20"/>
                <w:szCs w:val="20"/>
              </w:rPr>
            </w:pPr>
            <w:r w:rsidRPr="00653071">
              <w:rPr>
                <w:rFonts w:ascii="Calibri" w:eastAsia="Times New Roman" w:hAnsi="Calibri" w:cs="Calibri"/>
                <w:sz w:val="20"/>
                <w:szCs w:val="20"/>
              </w:rPr>
              <w:t>1.1%</w:t>
            </w:r>
          </w:p>
        </w:tc>
      </w:tr>
    </w:tbl>
    <w:p w14:paraId="39128903" w14:textId="0C29D61C" w:rsidR="00DF7FDD" w:rsidRPr="00540652" w:rsidRDefault="00653071" w:rsidP="00540652">
      <w:pPr>
        <w:tabs>
          <w:tab w:val="left" w:pos="4860"/>
          <w:tab w:val="left" w:pos="8280"/>
        </w:tabs>
        <w:jc w:val="center"/>
        <w:rPr>
          <w:rFonts w:ascii="Calibri" w:eastAsia="Times New Roman" w:hAnsi="Calibri" w:cs="Tahoma"/>
          <w:bCs/>
          <w:smallCaps/>
          <w:sz w:val="2"/>
        </w:rPr>
      </w:pPr>
      <w:r>
        <w:rPr>
          <w:rFonts w:ascii="Calibri" w:eastAsia="Times New Roman" w:hAnsi="Calibri" w:cs="Tahoma"/>
          <w:b/>
          <w:bCs/>
          <w:smallCaps/>
          <w:u w:val="single"/>
        </w:rPr>
        <w:fldChar w:fldCharType="end"/>
      </w:r>
    </w:p>
    <w:p w14:paraId="00D0123F" w14:textId="77777777" w:rsidR="00AC5E92" w:rsidRDefault="00AC5E92">
      <w:pPr>
        <w:spacing w:after="160" w:line="259" w:lineRule="auto"/>
        <w:rPr>
          <w:b/>
          <w:i/>
          <w:sz w:val="26"/>
          <w:u w:val="single"/>
        </w:rPr>
      </w:pPr>
      <w:r>
        <w:br w:type="page"/>
      </w:r>
    </w:p>
    <w:p w14:paraId="7CFE07E7" w14:textId="6E2AF398" w:rsidR="00E7511E" w:rsidRDefault="00E7511E" w:rsidP="007531FB">
      <w:pPr>
        <w:pStyle w:val="ReportHeading3"/>
        <w:spacing w:before="240"/>
      </w:pPr>
      <w:r>
        <w:lastRenderedPageBreak/>
        <w:t>Student Comprehensive Cost of Education</w:t>
      </w:r>
    </w:p>
    <w:p w14:paraId="3882290C" w14:textId="13B03326" w:rsidR="00E7511E" w:rsidRDefault="00E7511E" w:rsidP="00E7511E">
      <w:pPr>
        <w:tabs>
          <w:tab w:val="left" w:pos="4860"/>
        </w:tabs>
        <w:rPr>
          <w:rFonts w:ascii="Calibri" w:eastAsia="Times New Roman" w:hAnsi="Calibri" w:cs="Tahoma"/>
          <w:sz w:val="24"/>
          <w:szCs w:val="24"/>
        </w:rPr>
      </w:pPr>
      <w:r>
        <w:rPr>
          <w:rFonts w:ascii="Calibri" w:eastAsia="Times New Roman" w:hAnsi="Calibri" w:cs="Tahoma"/>
          <w:sz w:val="24"/>
          <w:szCs w:val="24"/>
        </w:rPr>
        <w:t xml:space="preserve">Net student fee revenue, totaling </w:t>
      </w:r>
      <w:r w:rsidR="00267634">
        <w:rPr>
          <w:rFonts w:ascii="Calibri" w:eastAsia="Times New Roman" w:hAnsi="Calibri" w:cs="Tahoma"/>
          <w:sz w:val="24"/>
          <w:szCs w:val="24"/>
        </w:rPr>
        <w:t>$</w:t>
      </w:r>
      <w:r w:rsidR="00B520FD">
        <w:rPr>
          <w:rFonts w:ascii="Calibri" w:eastAsia="Times New Roman" w:hAnsi="Calibri" w:cs="Tahoma"/>
          <w:sz w:val="24"/>
          <w:szCs w:val="24"/>
        </w:rPr>
        <w:t xml:space="preserve">238 </w:t>
      </w:r>
      <w:r>
        <w:rPr>
          <w:rFonts w:ascii="Calibri" w:eastAsia="Times New Roman" w:hAnsi="Calibri" w:cs="Tahoma"/>
          <w:sz w:val="24"/>
          <w:szCs w:val="24"/>
        </w:rPr>
        <w:t xml:space="preserve">million in </w:t>
      </w:r>
      <w:r w:rsidR="009D0828">
        <w:rPr>
          <w:rFonts w:ascii="Calibri" w:eastAsia="Times New Roman" w:hAnsi="Calibri" w:cs="Tahoma"/>
          <w:sz w:val="24"/>
          <w:szCs w:val="24"/>
        </w:rPr>
        <w:t xml:space="preserve">FY21 </w:t>
      </w:r>
      <w:r>
        <w:rPr>
          <w:rFonts w:ascii="Calibri" w:eastAsia="Times New Roman" w:hAnsi="Calibri" w:cs="Tahoma"/>
          <w:sz w:val="24"/>
          <w:szCs w:val="24"/>
        </w:rPr>
        <w:t>and $</w:t>
      </w:r>
      <w:r w:rsidR="009D0828">
        <w:rPr>
          <w:rFonts w:ascii="Calibri" w:eastAsia="Times New Roman" w:hAnsi="Calibri" w:cs="Tahoma"/>
          <w:sz w:val="24"/>
          <w:szCs w:val="24"/>
        </w:rPr>
        <w:t xml:space="preserve">248 </w:t>
      </w:r>
      <w:r>
        <w:rPr>
          <w:rFonts w:ascii="Calibri" w:eastAsia="Times New Roman" w:hAnsi="Calibri" w:cs="Tahoma"/>
          <w:sz w:val="24"/>
          <w:szCs w:val="24"/>
        </w:rPr>
        <w:t xml:space="preserve">million in </w:t>
      </w:r>
      <w:r w:rsidR="009D0828">
        <w:rPr>
          <w:rFonts w:ascii="Calibri" w:eastAsia="Times New Roman" w:hAnsi="Calibri" w:cs="Tahoma"/>
          <w:sz w:val="24"/>
          <w:szCs w:val="24"/>
        </w:rPr>
        <w:t>FY20</w:t>
      </w:r>
      <w:r>
        <w:rPr>
          <w:rFonts w:ascii="Calibri" w:eastAsia="Times New Roman" w:hAnsi="Calibri" w:cs="Tahoma"/>
          <w:sz w:val="24"/>
          <w:szCs w:val="24"/>
        </w:rPr>
        <w:t>, is the System’s greatest so</w:t>
      </w:r>
      <w:r w:rsidR="006C68D0">
        <w:rPr>
          <w:rFonts w:ascii="Calibri" w:eastAsia="Times New Roman" w:hAnsi="Calibri" w:cs="Tahoma"/>
          <w:sz w:val="24"/>
          <w:szCs w:val="24"/>
        </w:rPr>
        <w:t xml:space="preserve">urce of revenue, contributing </w:t>
      </w:r>
      <w:r w:rsidR="007A20B3">
        <w:rPr>
          <w:rFonts w:ascii="Calibri" w:eastAsia="Times New Roman" w:hAnsi="Calibri" w:cs="Tahoma"/>
          <w:sz w:val="24"/>
          <w:szCs w:val="24"/>
        </w:rPr>
        <w:t>32</w:t>
      </w:r>
      <w:r w:rsidRPr="00AE71D8">
        <w:rPr>
          <w:rFonts w:ascii="Calibri" w:eastAsia="Times New Roman" w:hAnsi="Calibri" w:cs="Tahoma"/>
          <w:sz w:val="24"/>
          <w:szCs w:val="24"/>
        </w:rPr>
        <w:t>%</w:t>
      </w:r>
      <w:r>
        <w:rPr>
          <w:rFonts w:ascii="Calibri" w:eastAsia="Times New Roman" w:hAnsi="Calibri" w:cs="Tahoma"/>
          <w:sz w:val="24"/>
          <w:szCs w:val="24"/>
        </w:rPr>
        <w:t xml:space="preserve"> of </w:t>
      </w:r>
      <w:r w:rsidR="00A17796">
        <w:rPr>
          <w:rFonts w:ascii="Calibri" w:eastAsia="Times New Roman" w:hAnsi="Calibri" w:cs="Tahoma"/>
          <w:sz w:val="24"/>
          <w:szCs w:val="24"/>
        </w:rPr>
        <w:t xml:space="preserve">total operating </w:t>
      </w:r>
      <w:r>
        <w:rPr>
          <w:rFonts w:ascii="Calibri" w:eastAsia="Times New Roman" w:hAnsi="Calibri" w:cs="Tahoma"/>
          <w:sz w:val="24"/>
          <w:szCs w:val="24"/>
        </w:rPr>
        <w:t xml:space="preserve">and </w:t>
      </w:r>
      <w:r w:rsidR="00A17796">
        <w:rPr>
          <w:rFonts w:ascii="Calibri" w:eastAsia="Times New Roman" w:hAnsi="Calibri" w:cs="Tahoma"/>
          <w:sz w:val="24"/>
          <w:szCs w:val="24"/>
        </w:rPr>
        <w:t>net n</w:t>
      </w:r>
      <w:r>
        <w:rPr>
          <w:rFonts w:ascii="Calibri" w:eastAsia="Times New Roman" w:hAnsi="Calibri" w:cs="Tahoma"/>
          <w:sz w:val="24"/>
          <w:szCs w:val="24"/>
        </w:rPr>
        <w:t xml:space="preserve">onoperating </w:t>
      </w:r>
      <w:r w:rsidR="00CA0BA3">
        <w:rPr>
          <w:rFonts w:ascii="Calibri" w:eastAsia="Times New Roman" w:hAnsi="Calibri" w:cs="Tahoma"/>
          <w:sz w:val="24"/>
          <w:szCs w:val="24"/>
        </w:rPr>
        <w:t xml:space="preserve">revenues </w:t>
      </w:r>
      <w:r>
        <w:rPr>
          <w:rFonts w:ascii="Calibri" w:eastAsia="Times New Roman" w:hAnsi="Calibri" w:cs="Tahoma"/>
          <w:sz w:val="24"/>
          <w:szCs w:val="24"/>
        </w:rPr>
        <w:t xml:space="preserve">for </w:t>
      </w:r>
      <w:r w:rsidR="009D0828">
        <w:rPr>
          <w:rFonts w:ascii="Calibri" w:eastAsia="Times New Roman" w:hAnsi="Calibri" w:cs="Tahoma"/>
          <w:sz w:val="24"/>
          <w:szCs w:val="24"/>
        </w:rPr>
        <w:t>FY21</w:t>
      </w:r>
      <w:r>
        <w:rPr>
          <w:rFonts w:ascii="Calibri" w:eastAsia="Times New Roman" w:hAnsi="Calibri" w:cs="Tahoma"/>
          <w:sz w:val="24"/>
          <w:szCs w:val="24"/>
        </w:rPr>
        <w:t xml:space="preserve">. </w:t>
      </w:r>
      <w:r>
        <w:rPr>
          <w:rFonts w:eastAsia="Times New Roman" w:cstheme="minorHAnsi"/>
          <w:sz w:val="24"/>
        </w:rPr>
        <w:t>Net student fees represented 3</w:t>
      </w:r>
      <w:r w:rsidR="009D0828">
        <w:rPr>
          <w:rFonts w:eastAsia="Times New Roman" w:cstheme="minorHAnsi"/>
          <w:sz w:val="24"/>
        </w:rPr>
        <w:t>5</w:t>
      </w:r>
      <w:r>
        <w:rPr>
          <w:rFonts w:eastAsia="Times New Roman" w:cstheme="minorHAnsi"/>
          <w:sz w:val="24"/>
        </w:rPr>
        <w:t xml:space="preserve">% of the total operating and net nonoperating revenues for </w:t>
      </w:r>
      <w:r w:rsidR="009D0828">
        <w:rPr>
          <w:rFonts w:eastAsia="Times New Roman" w:cstheme="minorHAnsi"/>
          <w:sz w:val="24"/>
        </w:rPr>
        <w:t>FY20</w:t>
      </w:r>
      <w:r w:rsidR="00820F9A">
        <w:rPr>
          <w:rFonts w:eastAsia="Times New Roman" w:cstheme="minorHAnsi"/>
          <w:sz w:val="24"/>
        </w:rPr>
        <w:t>.</w:t>
      </w:r>
      <w:r>
        <w:rPr>
          <w:rFonts w:ascii="Calibri" w:eastAsia="Times New Roman" w:hAnsi="Calibri" w:cs="Tahoma"/>
          <w:sz w:val="24"/>
          <w:szCs w:val="24"/>
        </w:rPr>
        <w:t xml:space="preserve"> </w:t>
      </w:r>
      <w:r w:rsidR="006645B2">
        <w:rPr>
          <w:rFonts w:ascii="Calibri" w:eastAsia="Times New Roman" w:hAnsi="Calibri" w:cs="Tahoma"/>
          <w:sz w:val="24"/>
          <w:szCs w:val="24"/>
        </w:rPr>
        <w:t>Such revenues</w:t>
      </w:r>
      <w:r>
        <w:rPr>
          <w:rFonts w:ascii="Calibri" w:eastAsia="Times New Roman" w:hAnsi="Calibri" w:cs="Tahoma"/>
          <w:sz w:val="24"/>
          <w:szCs w:val="24"/>
        </w:rPr>
        <w:t xml:space="preserve"> are impacted by enrollment levels; tuition, room and board, and fee levels; and the amount of scholarship allowances provided to students.</w:t>
      </w:r>
    </w:p>
    <w:p w14:paraId="746D7C36" w14:textId="77777777" w:rsidR="00E7511E" w:rsidRPr="00DE50BF" w:rsidRDefault="00E7511E" w:rsidP="00E7511E">
      <w:pPr>
        <w:tabs>
          <w:tab w:val="left" w:pos="4860"/>
        </w:tabs>
        <w:ind w:left="360"/>
        <w:rPr>
          <w:rFonts w:ascii="Calibri" w:eastAsia="Times New Roman" w:hAnsi="Calibri" w:cs="Tahoma"/>
          <w:sz w:val="20"/>
          <w:szCs w:val="24"/>
        </w:rPr>
      </w:pPr>
    </w:p>
    <w:p w14:paraId="27430F11" w14:textId="3F0AE421" w:rsidR="00E7511E" w:rsidRDefault="00E7511E" w:rsidP="00E7511E">
      <w:pPr>
        <w:tabs>
          <w:tab w:val="left" w:pos="4860"/>
        </w:tabs>
        <w:rPr>
          <w:rFonts w:ascii="Calibri" w:eastAsia="Times New Roman" w:hAnsi="Calibri" w:cs="Tahoma"/>
          <w:sz w:val="24"/>
          <w:szCs w:val="24"/>
        </w:rPr>
      </w:pPr>
      <w:r>
        <w:rPr>
          <w:rFonts w:ascii="Calibri" w:eastAsia="Times New Roman" w:hAnsi="Calibri" w:cs="Tahoma"/>
          <w:sz w:val="24"/>
          <w:szCs w:val="24"/>
        </w:rPr>
        <w:t xml:space="preserve">The average comprehensive cost of education (tuition, </w:t>
      </w:r>
      <w:r w:rsidR="00A057B2">
        <w:rPr>
          <w:rFonts w:ascii="Calibri" w:eastAsia="Times New Roman" w:hAnsi="Calibri" w:cs="Tahoma"/>
          <w:sz w:val="24"/>
          <w:szCs w:val="24"/>
        </w:rPr>
        <w:t xml:space="preserve">mandatory </w:t>
      </w:r>
      <w:r>
        <w:rPr>
          <w:rFonts w:ascii="Calibri" w:eastAsia="Times New Roman" w:hAnsi="Calibri" w:cs="Tahoma"/>
          <w:sz w:val="24"/>
          <w:szCs w:val="24"/>
        </w:rPr>
        <w:t xml:space="preserve">fees, and room and board) for UMS undergraduate, graduate, and </w:t>
      </w:r>
      <w:r w:rsidR="00CA0BA3">
        <w:rPr>
          <w:rFonts w:ascii="Calibri" w:eastAsia="Times New Roman" w:hAnsi="Calibri" w:cs="Tahoma"/>
          <w:sz w:val="24"/>
          <w:szCs w:val="24"/>
        </w:rPr>
        <w:t>law s</w:t>
      </w:r>
      <w:r>
        <w:rPr>
          <w:rFonts w:ascii="Calibri" w:eastAsia="Times New Roman" w:hAnsi="Calibri" w:cs="Tahoma"/>
          <w:sz w:val="24"/>
          <w:szCs w:val="24"/>
        </w:rPr>
        <w:t xml:space="preserve">chool students is shown in Table 2 and Chart 3. The percentage changes for the comprehensive cost of education in </w:t>
      </w:r>
      <w:r w:rsidR="009D0828">
        <w:rPr>
          <w:rFonts w:ascii="Calibri" w:eastAsia="Times New Roman" w:hAnsi="Calibri" w:cs="Tahoma"/>
          <w:sz w:val="24"/>
          <w:szCs w:val="24"/>
        </w:rPr>
        <w:t xml:space="preserve">FY21 </w:t>
      </w:r>
      <w:r>
        <w:rPr>
          <w:rFonts w:ascii="Calibri" w:eastAsia="Times New Roman" w:hAnsi="Calibri" w:cs="Tahoma"/>
          <w:sz w:val="24"/>
          <w:szCs w:val="24"/>
        </w:rPr>
        <w:t xml:space="preserve">range from an increase of </w:t>
      </w:r>
      <w:r w:rsidR="009D0828">
        <w:rPr>
          <w:rFonts w:ascii="Calibri" w:eastAsia="Times New Roman" w:hAnsi="Calibri" w:cs="Tahoma"/>
          <w:sz w:val="24"/>
          <w:szCs w:val="24"/>
        </w:rPr>
        <w:t>3.</w:t>
      </w:r>
      <w:r w:rsidR="00B11CE6">
        <w:rPr>
          <w:rFonts w:ascii="Calibri" w:eastAsia="Times New Roman" w:hAnsi="Calibri" w:cs="Tahoma"/>
          <w:sz w:val="24"/>
          <w:szCs w:val="24"/>
        </w:rPr>
        <w:t>2</w:t>
      </w:r>
      <w:r>
        <w:rPr>
          <w:rFonts w:ascii="Calibri" w:eastAsia="Times New Roman" w:hAnsi="Calibri" w:cs="Tahoma"/>
          <w:sz w:val="24"/>
          <w:szCs w:val="24"/>
        </w:rPr>
        <w:t xml:space="preserve">% for </w:t>
      </w:r>
      <w:r w:rsidR="00CA0BA3">
        <w:rPr>
          <w:rFonts w:ascii="Calibri" w:eastAsia="Times New Roman" w:hAnsi="Calibri" w:cs="Tahoma"/>
          <w:sz w:val="24"/>
          <w:szCs w:val="24"/>
        </w:rPr>
        <w:t>o</w:t>
      </w:r>
      <w:r w:rsidR="00B11CE6">
        <w:rPr>
          <w:rFonts w:ascii="Calibri" w:eastAsia="Times New Roman" w:hAnsi="Calibri" w:cs="Tahoma"/>
          <w:sz w:val="24"/>
          <w:szCs w:val="24"/>
        </w:rPr>
        <w:t>ut-of-</w:t>
      </w:r>
      <w:r w:rsidR="00CA0BA3">
        <w:rPr>
          <w:rFonts w:ascii="Calibri" w:eastAsia="Times New Roman" w:hAnsi="Calibri" w:cs="Tahoma"/>
          <w:sz w:val="24"/>
          <w:szCs w:val="24"/>
        </w:rPr>
        <w:t>s</w:t>
      </w:r>
      <w:r w:rsidR="00B11CE6">
        <w:rPr>
          <w:rFonts w:ascii="Calibri" w:eastAsia="Times New Roman" w:hAnsi="Calibri" w:cs="Tahoma"/>
          <w:sz w:val="24"/>
          <w:szCs w:val="24"/>
        </w:rPr>
        <w:t xml:space="preserve">tate and </w:t>
      </w:r>
      <w:r>
        <w:rPr>
          <w:rFonts w:ascii="Calibri" w:eastAsia="Times New Roman" w:hAnsi="Calibri" w:cs="Tahoma"/>
          <w:sz w:val="24"/>
          <w:szCs w:val="24"/>
        </w:rPr>
        <w:t xml:space="preserve">NEBHE </w:t>
      </w:r>
      <w:r w:rsidR="00CA0BA3">
        <w:rPr>
          <w:rFonts w:ascii="Calibri" w:eastAsia="Times New Roman" w:hAnsi="Calibri" w:cs="Tahoma"/>
          <w:sz w:val="24"/>
          <w:szCs w:val="24"/>
        </w:rPr>
        <w:t xml:space="preserve">undergraduate </w:t>
      </w:r>
      <w:r>
        <w:rPr>
          <w:rFonts w:ascii="Calibri" w:eastAsia="Times New Roman" w:hAnsi="Calibri" w:cs="Tahoma"/>
          <w:sz w:val="24"/>
          <w:szCs w:val="24"/>
        </w:rPr>
        <w:t xml:space="preserve">students, down to a </w:t>
      </w:r>
      <w:r w:rsidR="009D0828">
        <w:rPr>
          <w:rFonts w:ascii="Calibri" w:eastAsia="Times New Roman" w:hAnsi="Calibri" w:cs="Tahoma"/>
          <w:sz w:val="24"/>
          <w:szCs w:val="24"/>
        </w:rPr>
        <w:t xml:space="preserve">decrease </w:t>
      </w:r>
      <w:r>
        <w:rPr>
          <w:rFonts w:ascii="Calibri" w:eastAsia="Times New Roman" w:hAnsi="Calibri" w:cs="Tahoma"/>
          <w:sz w:val="24"/>
          <w:szCs w:val="24"/>
        </w:rPr>
        <w:t xml:space="preserve">of </w:t>
      </w:r>
      <w:r w:rsidR="00B11CE6">
        <w:rPr>
          <w:rFonts w:ascii="Calibri" w:eastAsia="Times New Roman" w:hAnsi="Calibri" w:cs="Tahoma"/>
          <w:sz w:val="24"/>
          <w:szCs w:val="24"/>
        </w:rPr>
        <w:t>20.3</w:t>
      </w:r>
      <w:r>
        <w:rPr>
          <w:rFonts w:ascii="Calibri" w:eastAsia="Times New Roman" w:hAnsi="Calibri" w:cs="Tahoma"/>
          <w:sz w:val="24"/>
          <w:szCs w:val="24"/>
        </w:rPr>
        <w:t xml:space="preserve">% for </w:t>
      </w:r>
      <w:r w:rsidR="00A559C6">
        <w:rPr>
          <w:rFonts w:ascii="Calibri" w:eastAsia="Times New Roman" w:hAnsi="Calibri" w:cs="Tahoma"/>
          <w:sz w:val="24"/>
          <w:szCs w:val="24"/>
        </w:rPr>
        <w:t xml:space="preserve">Canadian </w:t>
      </w:r>
      <w:r w:rsidR="00CA0BA3">
        <w:rPr>
          <w:rFonts w:ascii="Calibri" w:eastAsia="Times New Roman" w:hAnsi="Calibri" w:cs="Tahoma"/>
          <w:sz w:val="24"/>
          <w:szCs w:val="24"/>
        </w:rPr>
        <w:t xml:space="preserve">graduate </w:t>
      </w:r>
      <w:r>
        <w:rPr>
          <w:rFonts w:ascii="Calibri" w:eastAsia="Times New Roman" w:hAnsi="Calibri" w:cs="Tahoma"/>
          <w:sz w:val="24"/>
          <w:szCs w:val="24"/>
        </w:rPr>
        <w:t xml:space="preserve">students. Percentage changes in </w:t>
      </w:r>
      <w:r w:rsidR="009D0828">
        <w:rPr>
          <w:rFonts w:ascii="Calibri" w:eastAsia="Times New Roman" w:hAnsi="Calibri" w:cs="Tahoma"/>
          <w:sz w:val="24"/>
          <w:szCs w:val="24"/>
        </w:rPr>
        <w:t xml:space="preserve">FY20 </w:t>
      </w:r>
      <w:r>
        <w:rPr>
          <w:rFonts w:ascii="Calibri" w:eastAsia="Times New Roman" w:hAnsi="Calibri" w:cs="Tahoma"/>
          <w:sz w:val="24"/>
          <w:szCs w:val="24"/>
        </w:rPr>
        <w:t xml:space="preserve">ranged </w:t>
      </w:r>
      <w:r w:rsidR="009D0828">
        <w:rPr>
          <w:rFonts w:ascii="Calibri" w:eastAsia="Times New Roman" w:hAnsi="Calibri" w:cs="Tahoma"/>
          <w:sz w:val="24"/>
          <w:szCs w:val="24"/>
        </w:rPr>
        <w:t xml:space="preserve">from an increase of 2.8% for </w:t>
      </w:r>
      <w:r w:rsidR="002E776D">
        <w:rPr>
          <w:rFonts w:ascii="Calibri" w:eastAsia="Times New Roman" w:hAnsi="Calibri" w:cs="Tahoma"/>
          <w:sz w:val="24"/>
          <w:szCs w:val="24"/>
        </w:rPr>
        <w:t>i</w:t>
      </w:r>
      <w:r w:rsidR="009D0828">
        <w:rPr>
          <w:rFonts w:ascii="Calibri" w:eastAsia="Times New Roman" w:hAnsi="Calibri" w:cs="Tahoma"/>
          <w:sz w:val="24"/>
          <w:szCs w:val="24"/>
        </w:rPr>
        <w:t>n-</w:t>
      </w:r>
      <w:r w:rsidR="002E776D">
        <w:rPr>
          <w:rFonts w:ascii="Calibri" w:eastAsia="Times New Roman" w:hAnsi="Calibri" w:cs="Tahoma"/>
          <w:sz w:val="24"/>
          <w:szCs w:val="24"/>
        </w:rPr>
        <w:t>state</w:t>
      </w:r>
      <w:r w:rsidR="009D0828">
        <w:rPr>
          <w:rFonts w:ascii="Calibri" w:eastAsia="Times New Roman" w:hAnsi="Calibri" w:cs="Tahoma"/>
          <w:sz w:val="24"/>
          <w:szCs w:val="24"/>
        </w:rPr>
        <w:t xml:space="preserve">, NEBHE and Canadian </w:t>
      </w:r>
      <w:r w:rsidR="00CA0BA3">
        <w:rPr>
          <w:rFonts w:ascii="Calibri" w:eastAsia="Times New Roman" w:hAnsi="Calibri" w:cs="Tahoma"/>
          <w:sz w:val="24"/>
          <w:szCs w:val="24"/>
        </w:rPr>
        <w:t xml:space="preserve">undergraduate </w:t>
      </w:r>
      <w:r w:rsidR="009D0828">
        <w:rPr>
          <w:rFonts w:ascii="Calibri" w:eastAsia="Times New Roman" w:hAnsi="Calibri" w:cs="Tahoma"/>
          <w:sz w:val="24"/>
          <w:szCs w:val="24"/>
        </w:rPr>
        <w:t xml:space="preserve">students, down to an increase of 0.8% for </w:t>
      </w:r>
      <w:r w:rsidR="00CA0BA3">
        <w:rPr>
          <w:rFonts w:ascii="Calibri" w:eastAsia="Times New Roman" w:hAnsi="Calibri" w:cs="Tahoma"/>
          <w:sz w:val="24"/>
          <w:szCs w:val="24"/>
        </w:rPr>
        <w:t>i</w:t>
      </w:r>
      <w:r w:rsidR="009D0828">
        <w:rPr>
          <w:rFonts w:ascii="Calibri" w:eastAsia="Times New Roman" w:hAnsi="Calibri" w:cs="Tahoma"/>
          <w:sz w:val="24"/>
          <w:szCs w:val="24"/>
        </w:rPr>
        <w:t>n-</w:t>
      </w:r>
      <w:r w:rsidR="00CA0BA3">
        <w:rPr>
          <w:rFonts w:ascii="Calibri" w:eastAsia="Times New Roman" w:hAnsi="Calibri" w:cs="Tahoma"/>
          <w:sz w:val="24"/>
          <w:szCs w:val="24"/>
        </w:rPr>
        <w:t>s</w:t>
      </w:r>
      <w:r w:rsidR="009D0828">
        <w:rPr>
          <w:rFonts w:ascii="Calibri" w:eastAsia="Times New Roman" w:hAnsi="Calibri" w:cs="Tahoma"/>
          <w:sz w:val="24"/>
          <w:szCs w:val="24"/>
        </w:rPr>
        <w:t xml:space="preserve">tate </w:t>
      </w:r>
      <w:r w:rsidR="00CA0BA3">
        <w:rPr>
          <w:rFonts w:ascii="Calibri" w:eastAsia="Times New Roman" w:hAnsi="Calibri" w:cs="Tahoma"/>
          <w:sz w:val="24"/>
          <w:szCs w:val="24"/>
        </w:rPr>
        <w:t>l</w:t>
      </w:r>
      <w:r w:rsidR="009D0828">
        <w:rPr>
          <w:rFonts w:ascii="Calibri" w:eastAsia="Times New Roman" w:hAnsi="Calibri" w:cs="Tahoma"/>
          <w:sz w:val="24"/>
          <w:szCs w:val="24"/>
        </w:rPr>
        <w:t xml:space="preserve">aw </w:t>
      </w:r>
      <w:r w:rsidR="00CA0BA3">
        <w:rPr>
          <w:rFonts w:ascii="Calibri" w:eastAsia="Times New Roman" w:hAnsi="Calibri" w:cs="Tahoma"/>
          <w:sz w:val="24"/>
          <w:szCs w:val="24"/>
        </w:rPr>
        <w:t xml:space="preserve">school </w:t>
      </w:r>
      <w:r w:rsidR="009D0828">
        <w:rPr>
          <w:rFonts w:ascii="Calibri" w:eastAsia="Times New Roman" w:hAnsi="Calibri" w:cs="Tahoma"/>
          <w:sz w:val="24"/>
          <w:szCs w:val="24"/>
        </w:rPr>
        <w:t>students.</w:t>
      </w:r>
    </w:p>
    <w:p w14:paraId="39E59424" w14:textId="77777777" w:rsidR="005471BA" w:rsidRDefault="005471BA" w:rsidP="00E7511E">
      <w:pPr>
        <w:tabs>
          <w:tab w:val="left" w:pos="4860"/>
        </w:tabs>
        <w:rPr>
          <w:rFonts w:ascii="Calibri" w:eastAsia="Times New Roman" w:hAnsi="Calibri" w:cs="Tahoma"/>
          <w:sz w:val="24"/>
          <w:szCs w:val="24"/>
        </w:rPr>
      </w:pPr>
    </w:p>
    <w:p w14:paraId="37890A51" w14:textId="677E37A2" w:rsidR="00E7511E" w:rsidRDefault="00E7511E" w:rsidP="00A74468">
      <w:pPr>
        <w:tabs>
          <w:tab w:val="left" w:pos="4860"/>
        </w:tabs>
        <w:rPr>
          <w:rFonts w:ascii="Calibri" w:eastAsia="Times New Roman" w:hAnsi="Calibri" w:cs="Tahoma"/>
          <w:sz w:val="24"/>
          <w:szCs w:val="24"/>
        </w:rPr>
      </w:pPr>
      <w:r>
        <w:rPr>
          <w:rFonts w:ascii="Calibri" w:eastAsia="Times New Roman" w:hAnsi="Calibri" w:cs="Tahoma"/>
          <w:sz w:val="24"/>
          <w:szCs w:val="24"/>
        </w:rPr>
        <w:t xml:space="preserve">The </w:t>
      </w:r>
      <w:r w:rsidR="00A559C6">
        <w:rPr>
          <w:rFonts w:ascii="Calibri" w:eastAsia="Times New Roman" w:hAnsi="Calibri" w:cs="Tahoma"/>
          <w:sz w:val="24"/>
          <w:szCs w:val="24"/>
        </w:rPr>
        <w:t xml:space="preserve">FY21 </w:t>
      </w:r>
      <w:r>
        <w:rPr>
          <w:rFonts w:ascii="Calibri" w:eastAsia="Times New Roman" w:hAnsi="Calibri" w:cs="Tahoma"/>
          <w:sz w:val="24"/>
          <w:szCs w:val="24"/>
        </w:rPr>
        <w:t>in-state undergraduate tuition increased by a system-wide average of 2.</w:t>
      </w:r>
      <w:r w:rsidR="00A559C6">
        <w:rPr>
          <w:rFonts w:ascii="Calibri" w:eastAsia="Times New Roman" w:hAnsi="Calibri" w:cs="Tahoma"/>
          <w:sz w:val="24"/>
          <w:szCs w:val="24"/>
        </w:rPr>
        <w:t>5</w:t>
      </w:r>
      <w:r>
        <w:rPr>
          <w:rFonts w:ascii="Calibri" w:eastAsia="Times New Roman" w:hAnsi="Calibri" w:cs="Tahoma"/>
          <w:sz w:val="24"/>
          <w:szCs w:val="24"/>
        </w:rPr>
        <w:t xml:space="preserve">% where the overall average comprehensive cost of education for this same category of students increased </w:t>
      </w:r>
      <w:r w:rsidR="00A559C6">
        <w:rPr>
          <w:rFonts w:ascii="Calibri" w:eastAsia="Times New Roman" w:hAnsi="Calibri" w:cs="Tahoma"/>
          <w:sz w:val="24"/>
          <w:szCs w:val="24"/>
        </w:rPr>
        <w:t>3.0</w:t>
      </w:r>
      <w:r>
        <w:rPr>
          <w:rFonts w:ascii="Calibri" w:eastAsia="Times New Roman" w:hAnsi="Calibri" w:cs="Tahoma"/>
          <w:sz w:val="24"/>
          <w:szCs w:val="24"/>
        </w:rPr>
        <w:t xml:space="preserve">%. In </w:t>
      </w:r>
      <w:r w:rsidR="00A559C6">
        <w:rPr>
          <w:rFonts w:ascii="Calibri" w:eastAsia="Times New Roman" w:hAnsi="Calibri" w:cs="Tahoma"/>
          <w:sz w:val="24"/>
          <w:szCs w:val="24"/>
        </w:rPr>
        <w:t>FY20</w:t>
      </w:r>
      <w:r>
        <w:rPr>
          <w:rFonts w:ascii="Calibri" w:eastAsia="Times New Roman" w:hAnsi="Calibri" w:cs="Tahoma"/>
          <w:sz w:val="24"/>
          <w:szCs w:val="24"/>
        </w:rPr>
        <w:t>, the System increased tuition for in-state undergraduate students by a system-wide average of 2.</w:t>
      </w:r>
      <w:r w:rsidR="00A559C6">
        <w:rPr>
          <w:rFonts w:ascii="Calibri" w:eastAsia="Times New Roman" w:hAnsi="Calibri" w:cs="Tahoma"/>
          <w:sz w:val="24"/>
          <w:szCs w:val="24"/>
        </w:rPr>
        <w:t>7</w:t>
      </w:r>
      <w:r>
        <w:rPr>
          <w:rFonts w:ascii="Calibri" w:eastAsia="Times New Roman" w:hAnsi="Calibri" w:cs="Tahoma"/>
          <w:sz w:val="24"/>
          <w:szCs w:val="24"/>
        </w:rPr>
        <w:t>% where the overall average comprehensive cost of education for this same categ</w:t>
      </w:r>
      <w:r w:rsidR="004E330C">
        <w:rPr>
          <w:rFonts w:ascii="Calibri" w:eastAsia="Times New Roman" w:hAnsi="Calibri" w:cs="Tahoma"/>
          <w:sz w:val="24"/>
          <w:szCs w:val="24"/>
        </w:rPr>
        <w:t xml:space="preserve">ory of students increased </w:t>
      </w:r>
      <w:r w:rsidR="00A559C6">
        <w:rPr>
          <w:rFonts w:ascii="Calibri" w:eastAsia="Times New Roman" w:hAnsi="Calibri" w:cs="Tahoma"/>
          <w:sz w:val="24"/>
          <w:szCs w:val="24"/>
        </w:rPr>
        <w:t>2.8</w:t>
      </w:r>
      <w:r w:rsidR="004E330C">
        <w:rPr>
          <w:rFonts w:ascii="Calibri" w:eastAsia="Times New Roman" w:hAnsi="Calibri" w:cs="Tahoma"/>
          <w:sz w:val="24"/>
          <w:szCs w:val="24"/>
        </w:rPr>
        <w:t>%.</w:t>
      </w:r>
    </w:p>
    <w:p w14:paraId="4673702B" w14:textId="4C1068C7" w:rsidR="004E330C" w:rsidRDefault="004E330C" w:rsidP="00A74468">
      <w:pPr>
        <w:tabs>
          <w:tab w:val="left" w:pos="4860"/>
        </w:tabs>
        <w:rPr>
          <w:rFonts w:ascii="Calibri" w:eastAsia="Times New Roman" w:hAnsi="Calibri" w:cs="Tahoma"/>
          <w:sz w:val="20"/>
          <w:szCs w:val="24"/>
        </w:rPr>
      </w:pPr>
    </w:p>
    <w:p w14:paraId="2C9083F2" w14:textId="1C8BA96C" w:rsidR="00E16652" w:rsidRPr="00540652" w:rsidRDefault="00E16652" w:rsidP="00E16652">
      <w:pPr>
        <w:tabs>
          <w:tab w:val="left" w:pos="4860"/>
        </w:tabs>
        <w:jc w:val="center"/>
        <w:rPr>
          <w:rFonts w:ascii="Calibri" w:eastAsia="Times New Roman" w:hAnsi="Calibri" w:cs="Tahoma"/>
          <w:b/>
          <w:sz w:val="24"/>
          <w:szCs w:val="24"/>
        </w:rPr>
      </w:pPr>
      <w:r w:rsidRPr="00540652">
        <w:rPr>
          <w:rFonts w:ascii="Calibri" w:eastAsia="Times New Roman" w:hAnsi="Calibri" w:cs="Tahoma"/>
          <w:b/>
          <w:sz w:val="24"/>
          <w:szCs w:val="24"/>
        </w:rPr>
        <w:t>Table 2: Student Comprehensive Cost of Education</w:t>
      </w:r>
    </w:p>
    <w:p w14:paraId="34EF6109" w14:textId="2C764FB1" w:rsidR="00E16652" w:rsidRPr="00540652" w:rsidRDefault="00E16652" w:rsidP="00790AF8">
      <w:pPr>
        <w:tabs>
          <w:tab w:val="left" w:pos="4860"/>
        </w:tabs>
        <w:spacing w:after="120"/>
        <w:jc w:val="center"/>
        <w:rPr>
          <w:rFonts w:ascii="Calibri" w:eastAsia="Times New Roman" w:hAnsi="Calibri" w:cs="Tahoma"/>
          <w:b/>
          <w:sz w:val="24"/>
          <w:szCs w:val="24"/>
        </w:rPr>
      </w:pPr>
      <w:r w:rsidRPr="00540652">
        <w:rPr>
          <w:rFonts w:ascii="Calibri" w:eastAsia="Times New Roman" w:hAnsi="Calibri" w:cs="Tahoma"/>
          <w:b/>
          <w:sz w:val="24"/>
          <w:szCs w:val="24"/>
        </w:rPr>
        <w:t>Tuition, Mandatory Fees, and Room and Board Fiscal Year Averages</w:t>
      </w:r>
    </w:p>
    <w:tbl>
      <w:tblPr>
        <w:tblW w:w="9360" w:type="dxa"/>
        <w:tblCellMar>
          <w:left w:w="0" w:type="dxa"/>
          <w:right w:w="0" w:type="dxa"/>
        </w:tblCellMar>
        <w:tblLook w:val="04A0" w:firstRow="1" w:lastRow="0" w:firstColumn="1" w:lastColumn="0" w:noHBand="0" w:noVBand="1"/>
      </w:tblPr>
      <w:tblGrid>
        <w:gridCol w:w="1520"/>
        <w:gridCol w:w="814"/>
        <w:gridCol w:w="763"/>
        <w:gridCol w:w="817"/>
        <w:gridCol w:w="763"/>
        <w:gridCol w:w="798"/>
        <w:gridCol w:w="763"/>
        <w:gridCol w:w="798"/>
        <w:gridCol w:w="763"/>
        <w:gridCol w:w="798"/>
        <w:gridCol w:w="763"/>
      </w:tblGrid>
      <w:tr w:rsidR="00A23D24" w:rsidRPr="00E16652" w14:paraId="1F23BE80" w14:textId="77777777" w:rsidTr="00A23D24">
        <w:trPr>
          <w:trHeight w:val="225"/>
        </w:trPr>
        <w:tc>
          <w:tcPr>
            <w:tcW w:w="1534" w:type="dxa"/>
            <w:tcBorders>
              <w:top w:val="nil"/>
              <w:left w:val="nil"/>
              <w:bottom w:val="single" w:sz="12" w:space="0" w:color="00688D"/>
              <w:right w:val="nil"/>
            </w:tcBorders>
            <w:shd w:val="clear" w:color="000000" w:fill="FFFFFF"/>
            <w:noWrap/>
            <w:vAlign w:val="bottom"/>
            <w:hideMark/>
          </w:tcPr>
          <w:p w14:paraId="387BA610" w14:textId="77777777" w:rsidR="00E16652" w:rsidRPr="00E16652" w:rsidRDefault="00E16652" w:rsidP="00E16652">
            <w:pPr>
              <w:rPr>
                <w:rFonts w:ascii="Calibri" w:eastAsia="Times New Roman" w:hAnsi="Calibri" w:cs="Calibri"/>
                <w:color w:val="0D0D0D"/>
                <w:sz w:val="20"/>
              </w:rPr>
            </w:pPr>
            <w:r w:rsidRPr="00E16652">
              <w:rPr>
                <w:rFonts w:ascii="Calibri" w:eastAsia="Times New Roman" w:hAnsi="Calibri" w:cs="Calibri"/>
                <w:color w:val="0D0D0D"/>
                <w:sz w:val="20"/>
              </w:rPr>
              <w:t> </w:t>
            </w:r>
          </w:p>
        </w:tc>
        <w:tc>
          <w:tcPr>
            <w:tcW w:w="814" w:type="dxa"/>
            <w:tcBorders>
              <w:top w:val="nil"/>
              <w:left w:val="nil"/>
              <w:bottom w:val="single" w:sz="12" w:space="0" w:color="00688D"/>
              <w:right w:val="nil"/>
            </w:tcBorders>
            <w:shd w:val="clear" w:color="000000" w:fill="FFFFFF"/>
            <w:noWrap/>
            <w:vAlign w:val="bottom"/>
            <w:hideMark/>
          </w:tcPr>
          <w:p w14:paraId="7A9E7FB6"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2021</w:t>
            </w:r>
          </w:p>
        </w:tc>
        <w:tc>
          <w:tcPr>
            <w:tcW w:w="761" w:type="dxa"/>
            <w:tcBorders>
              <w:top w:val="nil"/>
              <w:left w:val="nil"/>
              <w:bottom w:val="single" w:sz="12" w:space="0" w:color="00688D"/>
              <w:right w:val="nil"/>
            </w:tcBorders>
            <w:shd w:val="clear" w:color="000000" w:fill="FFFFFF"/>
            <w:noWrap/>
            <w:vAlign w:val="bottom"/>
            <w:hideMark/>
          </w:tcPr>
          <w:p w14:paraId="2D966965"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 </w:t>
            </w:r>
          </w:p>
        </w:tc>
        <w:tc>
          <w:tcPr>
            <w:tcW w:w="816" w:type="dxa"/>
            <w:tcBorders>
              <w:top w:val="nil"/>
              <w:left w:val="nil"/>
              <w:bottom w:val="single" w:sz="12" w:space="0" w:color="00688D"/>
              <w:right w:val="nil"/>
            </w:tcBorders>
            <w:shd w:val="clear" w:color="000000" w:fill="FFFFFF"/>
            <w:noWrap/>
            <w:vAlign w:val="bottom"/>
            <w:hideMark/>
          </w:tcPr>
          <w:p w14:paraId="7E562054"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2020</w:t>
            </w:r>
          </w:p>
        </w:tc>
        <w:tc>
          <w:tcPr>
            <w:tcW w:w="761" w:type="dxa"/>
            <w:tcBorders>
              <w:top w:val="nil"/>
              <w:left w:val="nil"/>
              <w:bottom w:val="single" w:sz="12" w:space="0" w:color="00688D"/>
              <w:right w:val="nil"/>
            </w:tcBorders>
            <w:shd w:val="clear" w:color="000000" w:fill="FFFFFF"/>
            <w:noWrap/>
            <w:vAlign w:val="bottom"/>
            <w:hideMark/>
          </w:tcPr>
          <w:p w14:paraId="49233226"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 </w:t>
            </w:r>
          </w:p>
        </w:tc>
        <w:tc>
          <w:tcPr>
            <w:tcW w:w="797" w:type="dxa"/>
            <w:tcBorders>
              <w:top w:val="nil"/>
              <w:left w:val="nil"/>
              <w:bottom w:val="single" w:sz="12" w:space="0" w:color="00688D"/>
              <w:right w:val="nil"/>
            </w:tcBorders>
            <w:shd w:val="clear" w:color="000000" w:fill="FFFFFF"/>
            <w:noWrap/>
            <w:vAlign w:val="bottom"/>
            <w:hideMark/>
          </w:tcPr>
          <w:p w14:paraId="6647AA8D"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2019</w:t>
            </w:r>
          </w:p>
        </w:tc>
        <w:tc>
          <w:tcPr>
            <w:tcW w:w="761" w:type="dxa"/>
            <w:tcBorders>
              <w:top w:val="nil"/>
              <w:left w:val="nil"/>
              <w:bottom w:val="single" w:sz="12" w:space="0" w:color="00688D"/>
              <w:right w:val="nil"/>
            </w:tcBorders>
            <w:shd w:val="clear" w:color="000000" w:fill="FFFFFF"/>
            <w:noWrap/>
            <w:vAlign w:val="bottom"/>
            <w:hideMark/>
          </w:tcPr>
          <w:p w14:paraId="6666DFC0"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 </w:t>
            </w:r>
          </w:p>
        </w:tc>
        <w:tc>
          <w:tcPr>
            <w:tcW w:w="797" w:type="dxa"/>
            <w:tcBorders>
              <w:top w:val="nil"/>
              <w:left w:val="nil"/>
              <w:bottom w:val="single" w:sz="12" w:space="0" w:color="00688D"/>
              <w:right w:val="nil"/>
            </w:tcBorders>
            <w:shd w:val="clear" w:color="000000" w:fill="FFFFFF"/>
            <w:noWrap/>
            <w:vAlign w:val="bottom"/>
            <w:hideMark/>
          </w:tcPr>
          <w:p w14:paraId="13A2C49C"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2018</w:t>
            </w:r>
          </w:p>
        </w:tc>
        <w:tc>
          <w:tcPr>
            <w:tcW w:w="761" w:type="dxa"/>
            <w:tcBorders>
              <w:top w:val="nil"/>
              <w:left w:val="nil"/>
              <w:bottom w:val="single" w:sz="12" w:space="0" w:color="00688D"/>
              <w:right w:val="nil"/>
            </w:tcBorders>
            <w:shd w:val="clear" w:color="000000" w:fill="FFFFFF"/>
            <w:noWrap/>
            <w:vAlign w:val="bottom"/>
            <w:hideMark/>
          </w:tcPr>
          <w:p w14:paraId="665D51D0"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 </w:t>
            </w:r>
          </w:p>
        </w:tc>
        <w:tc>
          <w:tcPr>
            <w:tcW w:w="797" w:type="dxa"/>
            <w:tcBorders>
              <w:top w:val="nil"/>
              <w:left w:val="nil"/>
              <w:bottom w:val="single" w:sz="12" w:space="0" w:color="00688D"/>
              <w:right w:val="nil"/>
            </w:tcBorders>
            <w:shd w:val="clear" w:color="000000" w:fill="FFFFFF"/>
            <w:noWrap/>
            <w:vAlign w:val="bottom"/>
            <w:hideMark/>
          </w:tcPr>
          <w:p w14:paraId="25187ACC"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2017</w:t>
            </w:r>
          </w:p>
        </w:tc>
        <w:tc>
          <w:tcPr>
            <w:tcW w:w="761" w:type="dxa"/>
            <w:tcBorders>
              <w:top w:val="nil"/>
              <w:left w:val="nil"/>
              <w:bottom w:val="single" w:sz="12" w:space="0" w:color="00688D"/>
              <w:right w:val="nil"/>
            </w:tcBorders>
            <w:shd w:val="clear" w:color="000000" w:fill="FFFFFF"/>
            <w:noWrap/>
            <w:vAlign w:val="bottom"/>
            <w:hideMark/>
          </w:tcPr>
          <w:p w14:paraId="372B9C9B"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 </w:t>
            </w:r>
          </w:p>
        </w:tc>
      </w:tr>
      <w:tr w:rsidR="00A23D24" w:rsidRPr="00E16652" w14:paraId="40C6DAC6" w14:textId="77777777" w:rsidTr="00A23D24">
        <w:trPr>
          <w:trHeight w:val="528"/>
        </w:trPr>
        <w:tc>
          <w:tcPr>
            <w:tcW w:w="1534" w:type="dxa"/>
            <w:tcBorders>
              <w:top w:val="nil"/>
              <w:left w:val="nil"/>
              <w:bottom w:val="nil"/>
              <w:right w:val="nil"/>
            </w:tcBorders>
            <w:shd w:val="clear" w:color="000000" w:fill="FFFFFF"/>
            <w:noWrap/>
            <w:vAlign w:val="bottom"/>
            <w:hideMark/>
          </w:tcPr>
          <w:p w14:paraId="39500653" w14:textId="77777777" w:rsidR="00E16652" w:rsidRPr="00E16652" w:rsidRDefault="00E16652" w:rsidP="00E16652">
            <w:pPr>
              <w:rPr>
                <w:rFonts w:ascii="Calibri" w:eastAsia="Times New Roman" w:hAnsi="Calibri" w:cs="Calibri"/>
                <w:color w:val="0D0D0D"/>
                <w:sz w:val="20"/>
              </w:rPr>
            </w:pPr>
            <w:r w:rsidRPr="00E16652">
              <w:rPr>
                <w:rFonts w:ascii="Calibri" w:eastAsia="Times New Roman" w:hAnsi="Calibri" w:cs="Calibri"/>
                <w:color w:val="0D0D0D"/>
                <w:sz w:val="20"/>
              </w:rPr>
              <w:t> </w:t>
            </w:r>
          </w:p>
        </w:tc>
        <w:tc>
          <w:tcPr>
            <w:tcW w:w="814" w:type="dxa"/>
            <w:tcBorders>
              <w:top w:val="nil"/>
              <w:left w:val="nil"/>
              <w:bottom w:val="nil"/>
              <w:right w:val="nil"/>
            </w:tcBorders>
            <w:shd w:val="clear" w:color="000000" w:fill="FFFFFF"/>
            <w:noWrap/>
            <w:vAlign w:val="bottom"/>
            <w:hideMark/>
          </w:tcPr>
          <w:p w14:paraId="4E0F5F1D" w14:textId="77777777" w:rsidR="00E16652" w:rsidRPr="00E16652" w:rsidRDefault="00E16652" w:rsidP="00E16652">
            <w:pPr>
              <w:jc w:val="center"/>
              <w:rPr>
                <w:rFonts w:ascii="Calibri" w:eastAsia="Times New Roman" w:hAnsi="Calibri" w:cs="Calibri"/>
                <w:color w:val="0D0D0D"/>
                <w:sz w:val="20"/>
              </w:rPr>
            </w:pPr>
            <w:r w:rsidRPr="00E16652">
              <w:rPr>
                <w:rFonts w:ascii="Calibri" w:eastAsia="Times New Roman" w:hAnsi="Calibri" w:cs="Calibri"/>
                <w:color w:val="0D0D0D"/>
                <w:sz w:val="20"/>
              </w:rPr>
              <w:t>Cost</w:t>
            </w:r>
          </w:p>
        </w:tc>
        <w:tc>
          <w:tcPr>
            <w:tcW w:w="761" w:type="dxa"/>
            <w:tcBorders>
              <w:top w:val="nil"/>
              <w:left w:val="nil"/>
              <w:bottom w:val="nil"/>
              <w:right w:val="nil"/>
            </w:tcBorders>
            <w:shd w:val="clear" w:color="000000" w:fill="FFFFFF"/>
            <w:vAlign w:val="bottom"/>
            <w:hideMark/>
          </w:tcPr>
          <w:p w14:paraId="3EC0C7E2" w14:textId="77777777" w:rsidR="00E16652" w:rsidRPr="00E16652" w:rsidRDefault="00E16652" w:rsidP="00E16652">
            <w:pPr>
              <w:jc w:val="center"/>
              <w:rPr>
                <w:rFonts w:ascii="Calibri" w:eastAsia="Times New Roman" w:hAnsi="Calibri" w:cs="Calibri"/>
                <w:color w:val="0D0D0D"/>
                <w:sz w:val="20"/>
              </w:rPr>
            </w:pPr>
            <w:r w:rsidRPr="00E16652">
              <w:rPr>
                <w:rFonts w:ascii="Calibri" w:eastAsia="Times New Roman" w:hAnsi="Calibri" w:cs="Calibri"/>
                <w:color w:val="0D0D0D"/>
                <w:sz w:val="20"/>
              </w:rPr>
              <w:t>%</w:t>
            </w:r>
            <w:r w:rsidRPr="00E16652">
              <w:rPr>
                <w:rFonts w:ascii="Calibri" w:eastAsia="Times New Roman" w:hAnsi="Calibri" w:cs="Calibri"/>
                <w:color w:val="0D0D0D"/>
                <w:sz w:val="20"/>
              </w:rPr>
              <w:br/>
              <w:t>Change</w:t>
            </w:r>
          </w:p>
        </w:tc>
        <w:tc>
          <w:tcPr>
            <w:tcW w:w="816" w:type="dxa"/>
            <w:tcBorders>
              <w:top w:val="nil"/>
              <w:left w:val="nil"/>
              <w:bottom w:val="nil"/>
              <w:right w:val="nil"/>
            </w:tcBorders>
            <w:shd w:val="clear" w:color="000000" w:fill="FFFFFF"/>
            <w:noWrap/>
            <w:vAlign w:val="bottom"/>
            <w:hideMark/>
          </w:tcPr>
          <w:p w14:paraId="04C0F59B" w14:textId="77777777" w:rsidR="00E16652" w:rsidRPr="00E16652" w:rsidRDefault="00E16652" w:rsidP="00E16652">
            <w:pPr>
              <w:jc w:val="center"/>
              <w:rPr>
                <w:rFonts w:ascii="Calibri" w:eastAsia="Times New Roman" w:hAnsi="Calibri" w:cs="Calibri"/>
                <w:color w:val="0D0D0D"/>
                <w:sz w:val="20"/>
              </w:rPr>
            </w:pPr>
            <w:r w:rsidRPr="00E16652">
              <w:rPr>
                <w:rFonts w:ascii="Calibri" w:eastAsia="Times New Roman" w:hAnsi="Calibri" w:cs="Calibri"/>
                <w:color w:val="0D0D0D"/>
                <w:sz w:val="20"/>
              </w:rPr>
              <w:t>Cost</w:t>
            </w:r>
          </w:p>
        </w:tc>
        <w:tc>
          <w:tcPr>
            <w:tcW w:w="761" w:type="dxa"/>
            <w:tcBorders>
              <w:top w:val="nil"/>
              <w:left w:val="nil"/>
              <w:bottom w:val="nil"/>
              <w:right w:val="nil"/>
            </w:tcBorders>
            <w:shd w:val="clear" w:color="000000" w:fill="FFFFFF"/>
            <w:vAlign w:val="bottom"/>
            <w:hideMark/>
          </w:tcPr>
          <w:p w14:paraId="799B003D" w14:textId="77777777" w:rsidR="00E16652" w:rsidRPr="00E16652" w:rsidRDefault="00E16652" w:rsidP="00E16652">
            <w:pPr>
              <w:jc w:val="center"/>
              <w:rPr>
                <w:rFonts w:ascii="Calibri" w:eastAsia="Times New Roman" w:hAnsi="Calibri" w:cs="Calibri"/>
                <w:color w:val="0D0D0D"/>
                <w:sz w:val="20"/>
              </w:rPr>
            </w:pPr>
            <w:r w:rsidRPr="00E16652">
              <w:rPr>
                <w:rFonts w:ascii="Calibri" w:eastAsia="Times New Roman" w:hAnsi="Calibri" w:cs="Calibri"/>
                <w:color w:val="0D0D0D"/>
                <w:sz w:val="20"/>
              </w:rPr>
              <w:t>%</w:t>
            </w:r>
            <w:r w:rsidRPr="00E16652">
              <w:rPr>
                <w:rFonts w:ascii="Calibri" w:eastAsia="Times New Roman" w:hAnsi="Calibri" w:cs="Calibri"/>
                <w:color w:val="0D0D0D"/>
                <w:sz w:val="20"/>
              </w:rPr>
              <w:br/>
              <w:t>Change</w:t>
            </w:r>
          </w:p>
        </w:tc>
        <w:tc>
          <w:tcPr>
            <w:tcW w:w="797" w:type="dxa"/>
            <w:tcBorders>
              <w:top w:val="nil"/>
              <w:left w:val="nil"/>
              <w:bottom w:val="nil"/>
              <w:right w:val="nil"/>
            </w:tcBorders>
            <w:shd w:val="clear" w:color="000000" w:fill="FFFFFF"/>
            <w:noWrap/>
            <w:vAlign w:val="bottom"/>
            <w:hideMark/>
          </w:tcPr>
          <w:p w14:paraId="4A65288F" w14:textId="77777777" w:rsidR="00E16652" w:rsidRPr="00E16652" w:rsidRDefault="00E16652" w:rsidP="00E16652">
            <w:pPr>
              <w:jc w:val="center"/>
              <w:rPr>
                <w:rFonts w:ascii="Calibri" w:eastAsia="Times New Roman" w:hAnsi="Calibri" w:cs="Calibri"/>
                <w:color w:val="0D0D0D"/>
                <w:sz w:val="20"/>
              </w:rPr>
            </w:pPr>
            <w:r w:rsidRPr="00E16652">
              <w:rPr>
                <w:rFonts w:ascii="Calibri" w:eastAsia="Times New Roman" w:hAnsi="Calibri" w:cs="Calibri"/>
                <w:color w:val="0D0D0D"/>
                <w:sz w:val="20"/>
              </w:rPr>
              <w:t>Cost</w:t>
            </w:r>
          </w:p>
        </w:tc>
        <w:tc>
          <w:tcPr>
            <w:tcW w:w="761" w:type="dxa"/>
            <w:tcBorders>
              <w:top w:val="nil"/>
              <w:left w:val="nil"/>
              <w:bottom w:val="nil"/>
              <w:right w:val="nil"/>
            </w:tcBorders>
            <w:shd w:val="clear" w:color="000000" w:fill="FFFFFF"/>
            <w:vAlign w:val="bottom"/>
            <w:hideMark/>
          </w:tcPr>
          <w:p w14:paraId="25D1CE4B" w14:textId="77777777" w:rsidR="00E16652" w:rsidRPr="00E16652" w:rsidRDefault="00E16652" w:rsidP="00E16652">
            <w:pPr>
              <w:jc w:val="center"/>
              <w:rPr>
                <w:rFonts w:ascii="Calibri" w:eastAsia="Times New Roman" w:hAnsi="Calibri" w:cs="Calibri"/>
                <w:color w:val="0D0D0D"/>
                <w:sz w:val="20"/>
              </w:rPr>
            </w:pPr>
            <w:r w:rsidRPr="00E16652">
              <w:rPr>
                <w:rFonts w:ascii="Calibri" w:eastAsia="Times New Roman" w:hAnsi="Calibri" w:cs="Calibri"/>
                <w:color w:val="0D0D0D"/>
                <w:sz w:val="20"/>
              </w:rPr>
              <w:t>%</w:t>
            </w:r>
            <w:r w:rsidRPr="00E16652">
              <w:rPr>
                <w:rFonts w:ascii="Calibri" w:eastAsia="Times New Roman" w:hAnsi="Calibri" w:cs="Calibri"/>
                <w:color w:val="0D0D0D"/>
                <w:sz w:val="20"/>
              </w:rPr>
              <w:br/>
              <w:t>Change</w:t>
            </w:r>
          </w:p>
        </w:tc>
        <w:tc>
          <w:tcPr>
            <w:tcW w:w="797" w:type="dxa"/>
            <w:tcBorders>
              <w:top w:val="nil"/>
              <w:left w:val="nil"/>
              <w:bottom w:val="nil"/>
              <w:right w:val="nil"/>
            </w:tcBorders>
            <w:shd w:val="clear" w:color="000000" w:fill="FFFFFF"/>
            <w:noWrap/>
            <w:vAlign w:val="bottom"/>
            <w:hideMark/>
          </w:tcPr>
          <w:p w14:paraId="7CE3CCA3" w14:textId="77777777" w:rsidR="00E16652" w:rsidRPr="00E16652" w:rsidRDefault="00E16652" w:rsidP="00E16652">
            <w:pPr>
              <w:jc w:val="center"/>
              <w:rPr>
                <w:rFonts w:ascii="Calibri" w:eastAsia="Times New Roman" w:hAnsi="Calibri" w:cs="Calibri"/>
                <w:color w:val="0D0D0D"/>
                <w:sz w:val="20"/>
              </w:rPr>
            </w:pPr>
            <w:r w:rsidRPr="00E16652">
              <w:rPr>
                <w:rFonts w:ascii="Calibri" w:eastAsia="Times New Roman" w:hAnsi="Calibri" w:cs="Calibri"/>
                <w:color w:val="0D0D0D"/>
                <w:sz w:val="20"/>
              </w:rPr>
              <w:t>Cost</w:t>
            </w:r>
          </w:p>
        </w:tc>
        <w:tc>
          <w:tcPr>
            <w:tcW w:w="761" w:type="dxa"/>
            <w:tcBorders>
              <w:top w:val="nil"/>
              <w:left w:val="nil"/>
              <w:bottom w:val="nil"/>
              <w:right w:val="nil"/>
            </w:tcBorders>
            <w:shd w:val="clear" w:color="000000" w:fill="FFFFFF"/>
            <w:vAlign w:val="bottom"/>
            <w:hideMark/>
          </w:tcPr>
          <w:p w14:paraId="4A2E8EA9" w14:textId="77777777" w:rsidR="00E16652" w:rsidRPr="00E16652" w:rsidRDefault="00E16652" w:rsidP="00E16652">
            <w:pPr>
              <w:jc w:val="center"/>
              <w:rPr>
                <w:rFonts w:ascii="Calibri" w:eastAsia="Times New Roman" w:hAnsi="Calibri" w:cs="Calibri"/>
                <w:color w:val="0D0D0D"/>
                <w:sz w:val="20"/>
              </w:rPr>
            </w:pPr>
            <w:r w:rsidRPr="00E16652">
              <w:rPr>
                <w:rFonts w:ascii="Calibri" w:eastAsia="Times New Roman" w:hAnsi="Calibri" w:cs="Calibri"/>
                <w:color w:val="0D0D0D"/>
                <w:sz w:val="20"/>
              </w:rPr>
              <w:t>%</w:t>
            </w:r>
            <w:r w:rsidRPr="00E16652">
              <w:rPr>
                <w:rFonts w:ascii="Calibri" w:eastAsia="Times New Roman" w:hAnsi="Calibri" w:cs="Calibri"/>
                <w:color w:val="0D0D0D"/>
                <w:sz w:val="20"/>
              </w:rPr>
              <w:br/>
              <w:t>Change</w:t>
            </w:r>
          </w:p>
        </w:tc>
        <w:tc>
          <w:tcPr>
            <w:tcW w:w="797" w:type="dxa"/>
            <w:tcBorders>
              <w:top w:val="nil"/>
              <w:left w:val="nil"/>
              <w:bottom w:val="nil"/>
              <w:right w:val="nil"/>
            </w:tcBorders>
            <w:shd w:val="clear" w:color="000000" w:fill="FFFFFF"/>
            <w:noWrap/>
            <w:vAlign w:val="bottom"/>
            <w:hideMark/>
          </w:tcPr>
          <w:p w14:paraId="7723D690" w14:textId="77777777" w:rsidR="00E16652" w:rsidRPr="00E16652" w:rsidRDefault="00E16652" w:rsidP="00E16652">
            <w:pPr>
              <w:jc w:val="center"/>
              <w:rPr>
                <w:rFonts w:ascii="Calibri" w:eastAsia="Times New Roman" w:hAnsi="Calibri" w:cs="Calibri"/>
                <w:color w:val="0D0D0D"/>
                <w:sz w:val="20"/>
              </w:rPr>
            </w:pPr>
            <w:r w:rsidRPr="00E16652">
              <w:rPr>
                <w:rFonts w:ascii="Calibri" w:eastAsia="Times New Roman" w:hAnsi="Calibri" w:cs="Calibri"/>
                <w:color w:val="0D0D0D"/>
                <w:sz w:val="20"/>
              </w:rPr>
              <w:t>Cost</w:t>
            </w:r>
          </w:p>
        </w:tc>
        <w:tc>
          <w:tcPr>
            <w:tcW w:w="761" w:type="dxa"/>
            <w:tcBorders>
              <w:top w:val="nil"/>
              <w:left w:val="nil"/>
              <w:bottom w:val="nil"/>
              <w:right w:val="nil"/>
            </w:tcBorders>
            <w:shd w:val="clear" w:color="000000" w:fill="FFFFFF"/>
            <w:vAlign w:val="bottom"/>
            <w:hideMark/>
          </w:tcPr>
          <w:p w14:paraId="34EB451B" w14:textId="77777777" w:rsidR="00E16652" w:rsidRPr="00E16652" w:rsidRDefault="00E16652" w:rsidP="00E16652">
            <w:pPr>
              <w:jc w:val="center"/>
              <w:rPr>
                <w:rFonts w:ascii="Calibri" w:eastAsia="Times New Roman" w:hAnsi="Calibri" w:cs="Calibri"/>
                <w:color w:val="0D0D0D"/>
                <w:sz w:val="20"/>
              </w:rPr>
            </w:pPr>
            <w:r w:rsidRPr="00E16652">
              <w:rPr>
                <w:rFonts w:ascii="Calibri" w:eastAsia="Times New Roman" w:hAnsi="Calibri" w:cs="Calibri"/>
                <w:color w:val="0D0D0D"/>
                <w:sz w:val="20"/>
              </w:rPr>
              <w:t>%</w:t>
            </w:r>
            <w:r w:rsidRPr="00E16652">
              <w:rPr>
                <w:rFonts w:ascii="Calibri" w:eastAsia="Times New Roman" w:hAnsi="Calibri" w:cs="Calibri"/>
                <w:color w:val="0D0D0D"/>
                <w:sz w:val="20"/>
              </w:rPr>
              <w:br/>
              <w:t>Change</w:t>
            </w:r>
          </w:p>
        </w:tc>
      </w:tr>
      <w:tr w:rsidR="00A23D24" w:rsidRPr="00E16652" w14:paraId="629B7BD2" w14:textId="77777777" w:rsidTr="00A23D24">
        <w:trPr>
          <w:trHeight w:val="288"/>
        </w:trPr>
        <w:tc>
          <w:tcPr>
            <w:tcW w:w="1534" w:type="dxa"/>
            <w:tcBorders>
              <w:top w:val="nil"/>
              <w:left w:val="nil"/>
              <w:bottom w:val="nil"/>
              <w:right w:val="nil"/>
            </w:tcBorders>
            <w:shd w:val="clear" w:color="000000" w:fill="FFFFFF"/>
            <w:noWrap/>
            <w:vAlign w:val="bottom"/>
            <w:hideMark/>
          </w:tcPr>
          <w:p w14:paraId="1E72DC2C" w14:textId="77777777" w:rsidR="00A23D24" w:rsidRDefault="00A23D24" w:rsidP="00E16652">
            <w:pPr>
              <w:rPr>
                <w:rFonts w:ascii="Calibri" w:eastAsia="Times New Roman" w:hAnsi="Calibri" w:cs="Calibri"/>
                <w:b/>
                <w:bCs/>
                <w:color w:val="0D0D0D"/>
                <w:sz w:val="20"/>
              </w:rPr>
            </w:pPr>
            <w:r w:rsidRPr="00E16652">
              <w:rPr>
                <w:rFonts w:ascii="Calibri" w:eastAsia="Times New Roman" w:hAnsi="Calibri" w:cs="Calibri"/>
                <w:b/>
                <w:bCs/>
                <w:color w:val="0D0D0D"/>
                <w:sz w:val="20"/>
              </w:rPr>
              <w:t>Undergraduate:</w:t>
            </w:r>
          </w:p>
          <w:p w14:paraId="4A612809" w14:textId="1AFE0783" w:rsidR="00E16652" w:rsidRPr="00E16652" w:rsidRDefault="00E16652" w:rsidP="00E16652">
            <w:pPr>
              <w:rPr>
                <w:rFonts w:ascii="Calibri" w:eastAsia="Times New Roman" w:hAnsi="Calibri" w:cs="Calibri"/>
                <w:color w:val="0D0D0D"/>
                <w:sz w:val="20"/>
              </w:rPr>
            </w:pPr>
            <w:r w:rsidRPr="00E16652">
              <w:rPr>
                <w:rFonts w:ascii="Calibri" w:eastAsia="Times New Roman" w:hAnsi="Calibri" w:cs="Calibri"/>
                <w:color w:val="0D0D0D"/>
                <w:sz w:val="20"/>
              </w:rPr>
              <w:t>In-State</w:t>
            </w:r>
          </w:p>
        </w:tc>
        <w:tc>
          <w:tcPr>
            <w:tcW w:w="814" w:type="dxa"/>
            <w:tcBorders>
              <w:top w:val="nil"/>
              <w:left w:val="nil"/>
              <w:bottom w:val="nil"/>
              <w:right w:val="nil"/>
            </w:tcBorders>
            <w:shd w:val="clear" w:color="000000" w:fill="FFFFFF"/>
            <w:noWrap/>
            <w:vAlign w:val="bottom"/>
            <w:hideMark/>
          </w:tcPr>
          <w:p w14:paraId="0C49AD53"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$18,877</w:t>
            </w:r>
          </w:p>
        </w:tc>
        <w:tc>
          <w:tcPr>
            <w:tcW w:w="761" w:type="dxa"/>
            <w:tcBorders>
              <w:top w:val="nil"/>
              <w:left w:val="nil"/>
              <w:bottom w:val="nil"/>
              <w:right w:val="nil"/>
            </w:tcBorders>
            <w:shd w:val="clear" w:color="000000" w:fill="BFBFBF"/>
            <w:noWrap/>
            <w:vAlign w:val="bottom"/>
            <w:hideMark/>
          </w:tcPr>
          <w:p w14:paraId="018B0AA5"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3.0%</w:t>
            </w:r>
          </w:p>
        </w:tc>
        <w:tc>
          <w:tcPr>
            <w:tcW w:w="816" w:type="dxa"/>
            <w:tcBorders>
              <w:top w:val="nil"/>
              <w:left w:val="nil"/>
              <w:bottom w:val="nil"/>
              <w:right w:val="nil"/>
            </w:tcBorders>
            <w:shd w:val="clear" w:color="000000" w:fill="FFFFFF"/>
            <w:noWrap/>
            <w:vAlign w:val="bottom"/>
            <w:hideMark/>
          </w:tcPr>
          <w:p w14:paraId="4E2405FA"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$18,321</w:t>
            </w:r>
          </w:p>
        </w:tc>
        <w:tc>
          <w:tcPr>
            <w:tcW w:w="761" w:type="dxa"/>
            <w:tcBorders>
              <w:top w:val="nil"/>
              <w:left w:val="nil"/>
              <w:bottom w:val="nil"/>
              <w:right w:val="nil"/>
            </w:tcBorders>
            <w:shd w:val="clear" w:color="000000" w:fill="BFBFBF"/>
            <w:noWrap/>
            <w:vAlign w:val="bottom"/>
            <w:hideMark/>
          </w:tcPr>
          <w:p w14:paraId="57061DD7"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2.8%</w:t>
            </w:r>
          </w:p>
        </w:tc>
        <w:tc>
          <w:tcPr>
            <w:tcW w:w="797" w:type="dxa"/>
            <w:tcBorders>
              <w:top w:val="nil"/>
              <w:left w:val="nil"/>
              <w:bottom w:val="nil"/>
              <w:right w:val="nil"/>
            </w:tcBorders>
            <w:shd w:val="clear" w:color="000000" w:fill="FFFFFF"/>
            <w:noWrap/>
            <w:vAlign w:val="bottom"/>
            <w:hideMark/>
          </w:tcPr>
          <w:p w14:paraId="20B39421"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$17,819</w:t>
            </w:r>
          </w:p>
        </w:tc>
        <w:tc>
          <w:tcPr>
            <w:tcW w:w="761" w:type="dxa"/>
            <w:tcBorders>
              <w:top w:val="nil"/>
              <w:left w:val="nil"/>
              <w:bottom w:val="nil"/>
              <w:right w:val="nil"/>
            </w:tcBorders>
            <w:shd w:val="clear" w:color="000000" w:fill="BFBFBF"/>
            <w:noWrap/>
            <w:vAlign w:val="bottom"/>
            <w:hideMark/>
          </w:tcPr>
          <w:p w14:paraId="2446735B"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1.7%</w:t>
            </w:r>
          </w:p>
        </w:tc>
        <w:tc>
          <w:tcPr>
            <w:tcW w:w="797" w:type="dxa"/>
            <w:tcBorders>
              <w:top w:val="nil"/>
              <w:left w:val="nil"/>
              <w:bottom w:val="nil"/>
              <w:right w:val="nil"/>
            </w:tcBorders>
            <w:shd w:val="clear" w:color="000000" w:fill="FFFFFF"/>
            <w:noWrap/>
            <w:vAlign w:val="bottom"/>
            <w:hideMark/>
          </w:tcPr>
          <w:p w14:paraId="3DC43AD5"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$17,520</w:t>
            </w:r>
          </w:p>
        </w:tc>
        <w:tc>
          <w:tcPr>
            <w:tcW w:w="761" w:type="dxa"/>
            <w:tcBorders>
              <w:top w:val="nil"/>
              <w:left w:val="nil"/>
              <w:bottom w:val="nil"/>
              <w:right w:val="nil"/>
            </w:tcBorders>
            <w:shd w:val="clear" w:color="000000" w:fill="BFBFBF"/>
            <w:noWrap/>
            <w:vAlign w:val="bottom"/>
            <w:hideMark/>
          </w:tcPr>
          <w:p w14:paraId="2C11CFE0"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2.7%</w:t>
            </w:r>
          </w:p>
        </w:tc>
        <w:tc>
          <w:tcPr>
            <w:tcW w:w="797" w:type="dxa"/>
            <w:tcBorders>
              <w:top w:val="nil"/>
              <w:left w:val="nil"/>
              <w:bottom w:val="nil"/>
              <w:right w:val="nil"/>
            </w:tcBorders>
            <w:shd w:val="clear" w:color="000000" w:fill="FFFFFF"/>
            <w:noWrap/>
            <w:vAlign w:val="bottom"/>
            <w:hideMark/>
          </w:tcPr>
          <w:p w14:paraId="42609DB1"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$17,065</w:t>
            </w:r>
          </w:p>
        </w:tc>
        <w:tc>
          <w:tcPr>
            <w:tcW w:w="761" w:type="dxa"/>
            <w:tcBorders>
              <w:top w:val="nil"/>
              <w:left w:val="nil"/>
              <w:bottom w:val="nil"/>
              <w:right w:val="nil"/>
            </w:tcBorders>
            <w:shd w:val="clear" w:color="000000" w:fill="BFBFBF"/>
            <w:noWrap/>
            <w:vAlign w:val="bottom"/>
            <w:hideMark/>
          </w:tcPr>
          <w:p w14:paraId="0F8E5690"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0.3%</w:t>
            </w:r>
          </w:p>
        </w:tc>
      </w:tr>
      <w:tr w:rsidR="00A23D24" w:rsidRPr="00E16652" w14:paraId="328F818D" w14:textId="77777777" w:rsidTr="00A23D24">
        <w:trPr>
          <w:trHeight w:val="288"/>
        </w:trPr>
        <w:tc>
          <w:tcPr>
            <w:tcW w:w="1534" w:type="dxa"/>
            <w:tcBorders>
              <w:top w:val="nil"/>
              <w:left w:val="nil"/>
              <w:bottom w:val="nil"/>
              <w:right w:val="nil"/>
            </w:tcBorders>
            <w:shd w:val="clear" w:color="000000" w:fill="FFFFFF"/>
            <w:noWrap/>
            <w:vAlign w:val="bottom"/>
            <w:hideMark/>
          </w:tcPr>
          <w:p w14:paraId="01EA1942" w14:textId="77777777" w:rsidR="00E16652" w:rsidRPr="00E16652" w:rsidRDefault="00E16652" w:rsidP="00E16652">
            <w:pPr>
              <w:rPr>
                <w:rFonts w:ascii="Calibri" w:eastAsia="Times New Roman" w:hAnsi="Calibri" w:cs="Calibri"/>
                <w:color w:val="0D0D0D"/>
                <w:sz w:val="20"/>
              </w:rPr>
            </w:pPr>
            <w:r w:rsidRPr="00E16652">
              <w:rPr>
                <w:rFonts w:ascii="Calibri" w:eastAsia="Times New Roman" w:hAnsi="Calibri" w:cs="Calibri"/>
                <w:color w:val="0D0D0D"/>
                <w:sz w:val="20"/>
              </w:rPr>
              <w:t>Out-of-State</w:t>
            </w:r>
          </w:p>
        </w:tc>
        <w:tc>
          <w:tcPr>
            <w:tcW w:w="814" w:type="dxa"/>
            <w:tcBorders>
              <w:top w:val="nil"/>
              <w:left w:val="nil"/>
              <w:bottom w:val="nil"/>
              <w:right w:val="nil"/>
            </w:tcBorders>
            <w:shd w:val="clear" w:color="000000" w:fill="FFFFFF"/>
            <w:noWrap/>
            <w:vAlign w:val="bottom"/>
            <w:hideMark/>
          </w:tcPr>
          <w:p w14:paraId="0CD7B705"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29,337</w:t>
            </w:r>
          </w:p>
        </w:tc>
        <w:tc>
          <w:tcPr>
            <w:tcW w:w="761" w:type="dxa"/>
            <w:tcBorders>
              <w:top w:val="nil"/>
              <w:left w:val="nil"/>
              <w:bottom w:val="nil"/>
              <w:right w:val="nil"/>
            </w:tcBorders>
            <w:shd w:val="clear" w:color="000000" w:fill="BFBFBF"/>
            <w:noWrap/>
            <w:vAlign w:val="bottom"/>
            <w:hideMark/>
          </w:tcPr>
          <w:p w14:paraId="4A94FD94"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3.2%</w:t>
            </w:r>
          </w:p>
        </w:tc>
        <w:tc>
          <w:tcPr>
            <w:tcW w:w="816" w:type="dxa"/>
            <w:tcBorders>
              <w:top w:val="nil"/>
              <w:left w:val="nil"/>
              <w:bottom w:val="nil"/>
              <w:right w:val="nil"/>
            </w:tcBorders>
            <w:shd w:val="clear" w:color="000000" w:fill="FFFFFF"/>
            <w:noWrap/>
            <w:vAlign w:val="bottom"/>
            <w:hideMark/>
          </w:tcPr>
          <w:p w14:paraId="50D10187"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28,425</w:t>
            </w:r>
          </w:p>
        </w:tc>
        <w:tc>
          <w:tcPr>
            <w:tcW w:w="761" w:type="dxa"/>
            <w:tcBorders>
              <w:top w:val="nil"/>
              <w:left w:val="nil"/>
              <w:bottom w:val="nil"/>
              <w:right w:val="nil"/>
            </w:tcBorders>
            <w:shd w:val="clear" w:color="000000" w:fill="BFBFBF"/>
            <w:noWrap/>
            <w:vAlign w:val="bottom"/>
            <w:hideMark/>
          </w:tcPr>
          <w:p w14:paraId="7D3482BD"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2.2%</w:t>
            </w:r>
          </w:p>
        </w:tc>
        <w:tc>
          <w:tcPr>
            <w:tcW w:w="797" w:type="dxa"/>
            <w:tcBorders>
              <w:top w:val="nil"/>
              <w:left w:val="nil"/>
              <w:bottom w:val="nil"/>
              <w:right w:val="nil"/>
            </w:tcBorders>
            <w:shd w:val="clear" w:color="000000" w:fill="FFFFFF"/>
            <w:noWrap/>
            <w:vAlign w:val="bottom"/>
            <w:hideMark/>
          </w:tcPr>
          <w:p w14:paraId="62887FAC"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27,809</w:t>
            </w:r>
          </w:p>
        </w:tc>
        <w:tc>
          <w:tcPr>
            <w:tcW w:w="761" w:type="dxa"/>
            <w:tcBorders>
              <w:top w:val="nil"/>
              <w:left w:val="nil"/>
              <w:bottom w:val="nil"/>
              <w:right w:val="nil"/>
            </w:tcBorders>
            <w:shd w:val="clear" w:color="000000" w:fill="BFBFBF"/>
            <w:noWrap/>
            <w:vAlign w:val="bottom"/>
            <w:hideMark/>
          </w:tcPr>
          <w:p w14:paraId="2996E2CC"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0.4%</w:t>
            </w:r>
          </w:p>
        </w:tc>
        <w:tc>
          <w:tcPr>
            <w:tcW w:w="797" w:type="dxa"/>
            <w:tcBorders>
              <w:top w:val="nil"/>
              <w:left w:val="nil"/>
              <w:bottom w:val="nil"/>
              <w:right w:val="nil"/>
            </w:tcBorders>
            <w:shd w:val="clear" w:color="000000" w:fill="FFFFFF"/>
            <w:noWrap/>
            <w:vAlign w:val="bottom"/>
            <w:hideMark/>
          </w:tcPr>
          <w:p w14:paraId="1C876283"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27,707</w:t>
            </w:r>
          </w:p>
        </w:tc>
        <w:tc>
          <w:tcPr>
            <w:tcW w:w="761" w:type="dxa"/>
            <w:tcBorders>
              <w:top w:val="nil"/>
              <w:left w:val="nil"/>
              <w:bottom w:val="nil"/>
              <w:right w:val="nil"/>
            </w:tcBorders>
            <w:shd w:val="clear" w:color="000000" w:fill="BFBFBF"/>
            <w:noWrap/>
            <w:vAlign w:val="bottom"/>
            <w:hideMark/>
          </w:tcPr>
          <w:p w14:paraId="10DAEA20"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2.9%</w:t>
            </w:r>
          </w:p>
        </w:tc>
        <w:tc>
          <w:tcPr>
            <w:tcW w:w="797" w:type="dxa"/>
            <w:tcBorders>
              <w:top w:val="nil"/>
              <w:left w:val="nil"/>
              <w:bottom w:val="nil"/>
              <w:right w:val="nil"/>
            </w:tcBorders>
            <w:shd w:val="clear" w:color="000000" w:fill="FFFFFF"/>
            <w:noWrap/>
            <w:vAlign w:val="bottom"/>
            <w:hideMark/>
          </w:tcPr>
          <w:p w14:paraId="39547962"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26,922</w:t>
            </w:r>
          </w:p>
        </w:tc>
        <w:tc>
          <w:tcPr>
            <w:tcW w:w="761" w:type="dxa"/>
            <w:tcBorders>
              <w:top w:val="nil"/>
              <w:left w:val="nil"/>
              <w:bottom w:val="nil"/>
              <w:right w:val="nil"/>
            </w:tcBorders>
            <w:shd w:val="clear" w:color="000000" w:fill="BFBFBF"/>
            <w:noWrap/>
            <w:vAlign w:val="bottom"/>
            <w:hideMark/>
          </w:tcPr>
          <w:p w14:paraId="78C1816F"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1.1%</w:t>
            </w:r>
          </w:p>
        </w:tc>
      </w:tr>
      <w:tr w:rsidR="00A23D24" w:rsidRPr="00E16652" w14:paraId="6E6AB03E" w14:textId="77777777" w:rsidTr="00A23D24">
        <w:trPr>
          <w:trHeight w:val="288"/>
        </w:trPr>
        <w:tc>
          <w:tcPr>
            <w:tcW w:w="1534" w:type="dxa"/>
            <w:tcBorders>
              <w:top w:val="nil"/>
              <w:left w:val="nil"/>
              <w:bottom w:val="nil"/>
              <w:right w:val="nil"/>
            </w:tcBorders>
            <w:shd w:val="clear" w:color="000000" w:fill="FFFFFF"/>
            <w:noWrap/>
            <w:vAlign w:val="bottom"/>
            <w:hideMark/>
          </w:tcPr>
          <w:p w14:paraId="4669CC5F" w14:textId="77777777" w:rsidR="00E16652" w:rsidRPr="00E16652" w:rsidRDefault="00E16652" w:rsidP="00E16652">
            <w:pPr>
              <w:rPr>
                <w:rFonts w:ascii="Calibri" w:eastAsia="Times New Roman" w:hAnsi="Calibri" w:cs="Calibri"/>
                <w:color w:val="0D0D0D"/>
                <w:sz w:val="20"/>
              </w:rPr>
            </w:pPr>
            <w:r w:rsidRPr="00E16652">
              <w:rPr>
                <w:rFonts w:ascii="Calibri" w:eastAsia="Times New Roman" w:hAnsi="Calibri" w:cs="Calibri"/>
                <w:color w:val="0D0D0D"/>
                <w:sz w:val="20"/>
              </w:rPr>
              <w:t xml:space="preserve">NEBHE </w:t>
            </w:r>
          </w:p>
        </w:tc>
        <w:tc>
          <w:tcPr>
            <w:tcW w:w="814" w:type="dxa"/>
            <w:tcBorders>
              <w:top w:val="nil"/>
              <w:left w:val="nil"/>
              <w:bottom w:val="nil"/>
              <w:right w:val="nil"/>
            </w:tcBorders>
            <w:shd w:val="clear" w:color="000000" w:fill="FFFFFF"/>
            <w:noWrap/>
            <w:vAlign w:val="bottom"/>
            <w:hideMark/>
          </w:tcPr>
          <w:p w14:paraId="63D243A8"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23,979</w:t>
            </w:r>
          </w:p>
        </w:tc>
        <w:tc>
          <w:tcPr>
            <w:tcW w:w="761" w:type="dxa"/>
            <w:tcBorders>
              <w:top w:val="nil"/>
              <w:left w:val="nil"/>
              <w:bottom w:val="nil"/>
              <w:right w:val="nil"/>
            </w:tcBorders>
            <w:shd w:val="clear" w:color="000000" w:fill="BFBFBF"/>
            <w:noWrap/>
            <w:vAlign w:val="bottom"/>
            <w:hideMark/>
          </w:tcPr>
          <w:p w14:paraId="147A7A7F"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3.2%</w:t>
            </w:r>
          </w:p>
        </w:tc>
        <w:tc>
          <w:tcPr>
            <w:tcW w:w="816" w:type="dxa"/>
            <w:tcBorders>
              <w:top w:val="nil"/>
              <w:left w:val="nil"/>
              <w:bottom w:val="nil"/>
              <w:right w:val="nil"/>
            </w:tcBorders>
            <w:shd w:val="clear" w:color="000000" w:fill="FFFFFF"/>
            <w:noWrap/>
            <w:vAlign w:val="bottom"/>
            <w:hideMark/>
          </w:tcPr>
          <w:p w14:paraId="39BA1448"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23,229</w:t>
            </w:r>
          </w:p>
        </w:tc>
        <w:tc>
          <w:tcPr>
            <w:tcW w:w="761" w:type="dxa"/>
            <w:tcBorders>
              <w:top w:val="nil"/>
              <w:left w:val="nil"/>
              <w:bottom w:val="nil"/>
              <w:right w:val="nil"/>
            </w:tcBorders>
            <w:shd w:val="clear" w:color="000000" w:fill="BFBFBF"/>
            <w:noWrap/>
            <w:vAlign w:val="bottom"/>
            <w:hideMark/>
          </w:tcPr>
          <w:p w14:paraId="32A8E633"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2.8%</w:t>
            </w:r>
          </w:p>
        </w:tc>
        <w:tc>
          <w:tcPr>
            <w:tcW w:w="797" w:type="dxa"/>
            <w:tcBorders>
              <w:top w:val="nil"/>
              <w:left w:val="nil"/>
              <w:bottom w:val="nil"/>
              <w:right w:val="nil"/>
            </w:tcBorders>
            <w:shd w:val="clear" w:color="000000" w:fill="FFFFFF"/>
            <w:noWrap/>
            <w:vAlign w:val="bottom"/>
            <w:hideMark/>
          </w:tcPr>
          <w:p w14:paraId="1493F66A"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22,593</w:t>
            </w:r>
          </w:p>
        </w:tc>
        <w:tc>
          <w:tcPr>
            <w:tcW w:w="761" w:type="dxa"/>
            <w:tcBorders>
              <w:top w:val="nil"/>
              <w:left w:val="nil"/>
              <w:bottom w:val="nil"/>
              <w:right w:val="nil"/>
            </w:tcBorders>
            <w:shd w:val="clear" w:color="000000" w:fill="BFBFBF"/>
            <w:noWrap/>
            <w:vAlign w:val="bottom"/>
            <w:hideMark/>
          </w:tcPr>
          <w:p w14:paraId="0B6109B7"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2.6%</w:t>
            </w:r>
          </w:p>
        </w:tc>
        <w:tc>
          <w:tcPr>
            <w:tcW w:w="797" w:type="dxa"/>
            <w:tcBorders>
              <w:top w:val="nil"/>
              <w:left w:val="nil"/>
              <w:bottom w:val="nil"/>
              <w:right w:val="nil"/>
            </w:tcBorders>
            <w:shd w:val="clear" w:color="000000" w:fill="FFFFFF"/>
            <w:noWrap/>
            <w:vAlign w:val="bottom"/>
            <w:hideMark/>
          </w:tcPr>
          <w:p w14:paraId="24BE76B7"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22,015</w:t>
            </w:r>
          </w:p>
        </w:tc>
        <w:tc>
          <w:tcPr>
            <w:tcW w:w="761" w:type="dxa"/>
            <w:tcBorders>
              <w:top w:val="nil"/>
              <w:left w:val="nil"/>
              <w:bottom w:val="nil"/>
              <w:right w:val="nil"/>
            </w:tcBorders>
            <w:shd w:val="clear" w:color="000000" w:fill="BFBFBF"/>
            <w:noWrap/>
            <w:vAlign w:val="bottom"/>
            <w:hideMark/>
          </w:tcPr>
          <w:p w14:paraId="39DD1E07"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4.6%</w:t>
            </w:r>
          </w:p>
        </w:tc>
        <w:tc>
          <w:tcPr>
            <w:tcW w:w="797" w:type="dxa"/>
            <w:tcBorders>
              <w:top w:val="nil"/>
              <w:left w:val="nil"/>
              <w:bottom w:val="nil"/>
              <w:right w:val="nil"/>
            </w:tcBorders>
            <w:shd w:val="clear" w:color="000000" w:fill="FFFFFF"/>
            <w:noWrap/>
            <w:vAlign w:val="bottom"/>
            <w:hideMark/>
          </w:tcPr>
          <w:p w14:paraId="72D5BA52"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21,045</w:t>
            </w:r>
          </w:p>
        </w:tc>
        <w:tc>
          <w:tcPr>
            <w:tcW w:w="761" w:type="dxa"/>
            <w:tcBorders>
              <w:top w:val="nil"/>
              <w:left w:val="nil"/>
              <w:bottom w:val="nil"/>
              <w:right w:val="nil"/>
            </w:tcBorders>
            <w:shd w:val="clear" w:color="000000" w:fill="BFBFBF"/>
            <w:noWrap/>
            <w:vAlign w:val="bottom"/>
            <w:hideMark/>
          </w:tcPr>
          <w:p w14:paraId="0C59DC72"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2.0%</w:t>
            </w:r>
          </w:p>
        </w:tc>
      </w:tr>
      <w:tr w:rsidR="00A23D24" w:rsidRPr="00E16652" w14:paraId="2E4D6879" w14:textId="77777777" w:rsidTr="00A23D24">
        <w:trPr>
          <w:trHeight w:val="288"/>
        </w:trPr>
        <w:tc>
          <w:tcPr>
            <w:tcW w:w="1534" w:type="dxa"/>
            <w:tcBorders>
              <w:top w:val="nil"/>
              <w:left w:val="nil"/>
              <w:bottom w:val="nil"/>
              <w:right w:val="nil"/>
            </w:tcBorders>
            <w:shd w:val="clear" w:color="000000" w:fill="FFFFFF"/>
            <w:noWrap/>
            <w:hideMark/>
          </w:tcPr>
          <w:p w14:paraId="0DF82886" w14:textId="77777777" w:rsidR="00E16652" w:rsidRPr="00E16652" w:rsidRDefault="00E16652" w:rsidP="00E16652">
            <w:pPr>
              <w:rPr>
                <w:rFonts w:ascii="Calibri" w:eastAsia="Times New Roman" w:hAnsi="Calibri" w:cs="Calibri"/>
                <w:color w:val="0D0D0D"/>
                <w:sz w:val="20"/>
              </w:rPr>
            </w:pPr>
            <w:r w:rsidRPr="00E16652">
              <w:rPr>
                <w:rFonts w:ascii="Calibri" w:eastAsia="Times New Roman" w:hAnsi="Calibri" w:cs="Calibri"/>
                <w:color w:val="0D0D0D"/>
                <w:sz w:val="20"/>
              </w:rPr>
              <w:t>Canadian</w:t>
            </w:r>
          </w:p>
        </w:tc>
        <w:tc>
          <w:tcPr>
            <w:tcW w:w="814" w:type="dxa"/>
            <w:tcBorders>
              <w:top w:val="nil"/>
              <w:left w:val="nil"/>
              <w:bottom w:val="nil"/>
              <w:right w:val="nil"/>
            </w:tcBorders>
            <w:shd w:val="clear" w:color="000000" w:fill="FFFFFF"/>
            <w:noWrap/>
            <w:hideMark/>
          </w:tcPr>
          <w:p w14:paraId="043742AC"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18,877</w:t>
            </w:r>
          </w:p>
        </w:tc>
        <w:tc>
          <w:tcPr>
            <w:tcW w:w="761" w:type="dxa"/>
            <w:tcBorders>
              <w:top w:val="nil"/>
              <w:left w:val="nil"/>
              <w:bottom w:val="nil"/>
              <w:right w:val="nil"/>
            </w:tcBorders>
            <w:shd w:val="clear" w:color="000000" w:fill="BFBFBF"/>
            <w:noWrap/>
            <w:vAlign w:val="bottom"/>
            <w:hideMark/>
          </w:tcPr>
          <w:p w14:paraId="5705777B"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-18.7%</w:t>
            </w:r>
          </w:p>
        </w:tc>
        <w:tc>
          <w:tcPr>
            <w:tcW w:w="816" w:type="dxa"/>
            <w:tcBorders>
              <w:top w:val="nil"/>
              <w:left w:val="nil"/>
              <w:bottom w:val="nil"/>
              <w:right w:val="nil"/>
            </w:tcBorders>
            <w:shd w:val="clear" w:color="000000" w:fill="FFFFFF"/>
            <w:noWrap/>
            <w:hideMark/>
          </w:tcPr>
          <w:p w14:paraId="07C58FF7"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23,229</w:t>
            </w:r>
          </w:p>
        </w:tc>
        <w:tc>
          <w:tcPr>
            <w:tcW w:w="761" w:type="dxa"/>
            <w:tcBorders>
              <w:top w:val="nil"/>
              <w:left w:val="nil"/>
              <w:bottom w:val="nil"/>
              <w:right w:val="nil"/>
            </w:tcBorders>
            <w:shd w:val="clear" w:color="000000" w:fill="BFBFBF"/>
            <w:noWrap/>
            <w:vAlign w:val="bottom"/>
            <w:hideMark/>
          </w:tcPr>
          <w:p w14:paraId="4130A7E2"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2.8%</w:t>
            </w:r>
          </w:p>
        </w:tc>
        <w:tc>
          <w:tcPr>
            <w:tcW w:w="797" w:type="dxa"/>
            <w:tcBorders>
              <w:top w:val="nil"/>
              <w:left w:val="nil"/>
              <w:bottom w:val="nil"/>
              <w:right w:val="nil"/>
            </w:tcBorders>
            <w:shd w:val="clear" w:color="000000" w:fill="FFFFFF"/>
            <w:noWrap/>
            <w:hideMark/>
          </w:tcPr>
          <w:p w14:paraId="02A568F0"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22,593</w:t>
            </w:r>
          </w:p>
        </w:tc>
        <w:tc>
          <w:tcPr>
            <w:tcW w:w="761" w:type="dxa"/>
            <w:tcBorders>
              <w:top w:val="nil"/>
              <w:left w:val="nil"/>
              <w:bottom w:val="nil"/>
              <w:right w:val="nil"/>
            </w:tcBorders>
            <w:shd w:val="clear" w:color="000000" w:fill="BFBFBF"/>
            <w:noWrap/>
            <w:vAlign w:val="bottom"/>
            <w:hideMark/>
          </w:tcPr>
          <w:p w14:paraId="1EB77EE1"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2.5%</w:t>
            </w:r>
          </w:p>
        </w:tc>
        <w:tc>
          <w:tcPr>
            <w:tcW w:w="797" w:type="dxa"/>
            <w:tcBorders>
              <w:top w:val="nil"/>
              <w:left w:val="nil"/>
              <w:bottom w:val="nil"/>
              <w:right w:val="nil"/>
            </w:tcBorders>
            <w:shd w:val="clear" w:color="000000" w:fill="FFFFFF"/>
            <w:noWrap/>
            <w:hideMark/>
          </w:tcPr>
          <w:p w14:paraId="008B405B"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22,045</w:t>
            </w:r>
          </w:p>
        </w:tc>
        <w:tc>
          <w:tcPr>
            <w:tcW w:w="761" w:type="dxa"/>
            <w:tcBorders>
              <w:top w:val="nil"/>
              <w:left w:val="nil"/>
              <w:bottom w:val="nil"/>
              <w:right w:val="nil"/>
            </w:tcBorders>
            <w:shd w:val="clear" w:color="000000" w:fill="BFBFBF"/>
            <w:noWrap/>
            <w:vAlign w:val="bottom"/>
            <w:hideMark/>
          </w:tcPr>
          <w:p w14:paraId="79309987"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4.6%</w:t>
            </w:r>
          </w:p>
        </w:tc>
        <w:tc>
          <w:tcPr>
            <w:tcW w:w="797" w:type="dxa"/>
            <w:tcBorders>
              <w:top w:val="nil"/>
              <w:left w:val="nil"/>
              <w:bottom w:val="nil"/>
              <w:right w:val="nil"/>
            </w:tcBorders>
            <w:shd w:val="clear" w:color="000000" w:fill="FFFFFF"/>
            <w:noWrap/>
            <w:hideMark/>
          </w:tcPr>
          <w:p w14:paraId="587ED245"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21,075</w:t>
            </w:r>
          </w:p>
        </w:tc>
        <w:tc>
          <w:tcPr>
            <w:tcW w:w="761" w:type="dxa"/>
            <w:tcBorders>
              <w:top w:val="nil"/>
              <w:left w:val="nil"/>
              <w:bottom w:val="nil"/>
              <w:right w:val="nil"/>
            </w:tcBorders>
            <w:shd w:val="clear" w:color="000000" w:fill="BFBFBF"/>
            <w:noWrap/>
            <w:vAlign w:val="bottom"/>
            <w:hideMark/>
          </w:tcPr>
          <w:p w14:paraId="14557A9C"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1.8%</w:t>
            </w:r>
          </w:p>
        </w:tc>
      </w:tr>
      <w:tr w:rsidR="00A23D24" w:rsidRPr="00E16652" w14:paraId="6DF4AFD5" w14:textId="77777777" w:rsidTr="00A23D24">
        <w:trPr>
          <w:trHeight w:val="288"/>
        </w:trPr>
        <w:tc>
          <w:tcPr>
            <w:tcW w:w="1534" w:type="dxa"/>
            <w:tcBorders>
              <w:top w:val="nil"/>
              <w:left w:val="nil"/>
              <w:bottom w:val="nil"/>
              <w:right w:val="nil"/>
            </w:tcBorders>
            <w:shd w:val="clear" w:color="000000" w:fill="FFFFFF"/>
            <w:noWrap/>
            <w:vAlign w:val="bottom"/>
            <w:hideMark/>
          </w:tcPr>
          <w:p w14:paraId="6FB991D1" w14:textId="77777777" w:rsidR="00A23D24" w:rsidRDefault="00A23D24" w:rsidP="00E16652">
            <w:pPr>
              <w:rPr>
                <w:rFonts w:ascii="Calibri" w:eastAsia="Times New Roman" w:hAnsi="Calibri" w:cs="Calibri"/>
                <w:b/>
                <w:bCs/>
                <w:color w:val="0D0D0D"/>
                <w:sz w:val="20"/>
              </w:rPr>
            </w:pPr>
            <w:r w:rsidRPr="00E16652">
              <w:rPr>
                <w:rFonts w:ascii="Calibri" w:eastAsia="Times New Roman" w:hAnsi="Calibri" w:cs="Calibri"/>
                <w:b/>
                <w:bCs/>
                <w:color w:val="0D0D0D"/>
                <w:sz w:val="20"/>
              </w:rPr>
              <w:t>Graduate:</w:t>
            </w:r>
          </w:p>
          <w:p w14:paraId="68975013" w14:textId="520A49AF" w:rsidR="00E16652" w:rsidRPr="00E16652" w:rsidRDefault="00E16652" w:rsidP="00E16652">
            <w:pPr>
              <w:rPr>
                <w:rFonts w:ascii="Calibri" w:eastAsia="Times New Roman" w:hAnsi="Calibri" w:cs="Calibri"/>
                <w:color w:val="0D0D0D"/>
                <w:sz w:val="20"/>
              </w:rPr>
            </w:pPr>
            <w:r w:rsidRPr="00E16652">
              <w:rPr>
                <w:rFonts w:ascii="Calibri" w:eastAsia="Times New Roman" w:hAnsi="Calibri" w:cs="Calibri"/>
                <w:color w:val="0D0D0D"/>
                <w:sz w:val="20"/>
              </w:rPr>
              <w:t>In-State</w:t>
            </w:r>
          </w:p>
        </w:tc>
        <w:tc>
          <w:tcPr>
            <w:tcW w:w="814" w:type="dxa"/>
            <w:tcBorders>
              <w:top w:val="nil"/>
              <w:left w:val="nil"/>
              <w:bottom w:val="nil"/>
              <w:right w:val="nil"/>
            </w:tcBorders>
            <w:shd w:val="clear" w:color="000000" w:fill="FFFFFF"/>
            <w:noWrap/>
            <w:vAlign w:val="bottom"/>
            <w:hideMark/>
          </w:tcPr>
          <w:p w14:paraId="0FE7DBFF"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$18,683</w:t>
            </w:r>
          </w:p>
        </w:tc>
        <w:tc>
          <w:tcPr>
            <w:tcW w:w="761" w:type="dxa"/>
            <w:tcBorders>
              <w:top w:val="nil"/>
              <w:left w:val="nil"/>
              <w:bottom w:val="nil"/>
              <w:right w:val="nil"/>
            </w:tcBorders>
            <w:shd w:val="clear" w:color="000000" w:fill="BFBFBF"/>
            <w:noWrap/>
            <w:vAlign w:val="bottom"/>
            <w:hideMark/>
          </w:tcPr>
          <w:p w14:paraId="4CEF791D"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2.3%</w:t>
            </w:r>
          </w:p>
        </w:tc>
        <w:tc>
          <w:tcPr>
            <w:tcW w:w="816" w:type="dxa"/>
            <w:tcBorders>
              <w:top w:val="nil"/>
              <w:left w:val="nil"/>
              <w:bottom w:val="nil"/>
              <w:right w:val="nil"/>
            </w:tcBorders>
            <w:shd w:val="clear" w:color="000000" w:fill="FFFFFF"/>
            <w:noWrap/>
            <w:vAlign w:val="bottom"/>
            <w:hideMark/>
          </w:tcPr>
          <w:p w14:paraId="1A061F36"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$18,262</w:t>
            </w:r>
          </w:p>
        </w:tc>
        <w:tc>
          <w:tcPr>
            <w:tcW w:w="761" w:type="dxa"/>
            <w:tcBorders>
              <w:top w:val="nil"/>
              <w:left w:val="nil"/>
              <w:bottom w:val="nil"/>
              <w:right w:val="nil"/>
            </w:tcBorders>
            <w:shd w:val="clear" w:color="000000" w:fill="BFBFBF"/>
            <w:noWrap/>
            <w:vAlign w:val="bottom"/>
            <w:hideMark/>
          </w:tcPr>
          <w:p w14:paraId="77E80DA4"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1.0%</w:t>
            </w:r>
          </w:p>
        </w:tc>
        <w:tc>
          <w:tcPr>
            <w:tcW w:w="797" w:type="dxa"/>
            <w:tcBorders>
              <w:top w:val="nil"/>
              <w:left w:val="nil"/>
              <w:bottom w:val="nil"/>
              <w:right w:val="nil"/>
            </w:tcBorders>
            <w:shd w:val="clear" w:color="000000" w:fill="FFFFFF"/>
            <w:noWrap/>
            <w:vAlign w:val="bottom"/>
            <w:hideMark/>
          </w:tcPr>
          <w:p w14:paraId="1C60412B"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$18,081</w:t>
            </w:r>
          </w:p>
        </w:tc>
        <w:tc>
          <w:tcPr>
            <w:tcW w:w="761" w:type="dxa"/>
            <w:tcBorders>
              <w:top w:val="nil"/>
              <w:left w:val="nil"/>
              <w:bottom w:val="nil"/>
              <w:right w:val="nil"/>
            </w:tcBorders>
            <w:shd w:val="clear" w:color="000000" w:fill="BFBFBF"/>
            <w:noWrap/>
            <w:vAlign w:val="bottom"/>
            <w:hideMark/>
          </w:tcPr>
          <w:p w14:paraId="33B0DA60"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3.3%</w:t>
            </w:r>
          </w:p>
        </w:tc>
        <w:tc>
          <w:tcPr>
            <w:tcW w:w="797" w:type="dxa"/>
            <w:tcBorders>
              <w:top w:val="nil"/>
              <w:left w:val="nil"/>
              <w:bottom w:val="nil"/>
              <w:right w:val="nil"/>
            </w:tcBorders>
            <w:shd w:val="clear" w:color="000000" w:fill="FFFFFF"/>
            <w:noWrap/>
            <w:vAlign w:val="bottom"/>
            <w:hideMark/>
          </w:tcPr>
          <w:p w14:paraId="22B660DB"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$17,501</w:t>
            </w:r>
          </w:p>
        </w:tc>
        <w:tc>
          <w:tcPr>
            <w:tcW w:w="761" w:type="dxa"/>
            <w:tcBorders>
              <w:top w:val="nil"/>
              <w:left w:val="nil"/>
              <w:bottom w:val="nil"/>
              <w:right w:val="nil"/>
            </w:tcBorders>
            <w:shd w:val="clear" w:color="000000" w:fill="BFBFBF"/>
            <w:noWrap/>
            <w:vAlign w:val="bottom"/>
            <w:hideMark/>
          </w:tcPr>
          <w:p w14:paraId="49AE6C14"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2.3%</w:t>
            </w:r>
          </w:p>
        </w:tc>
        <w:tc>
          <w:tcPr>
            <w:tcW w:w="797" w:type="dxa"/>
            <w:tcBorders>
              <w:top w:val="nil"/>
              <w:left w:val="nil"/>
              <w:bottom w:val="nil"/>
              <w:right w:val="nil"/>
            </w:tcBorders>
            <w:shd w:val="clear" w:color="000000" w:fill="FFFFFF"/>
            <w:noWrap/>
            <w:vAlign w:val="bottom"/>
            <w:hideMark/>
          </w:tcPr>
          <w:p w14:paraId="43750FC9"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$17,114</w:t>
            </w:r>
          </w:p>
        </w:tc>
        <w:tc>
          <w:tcPr>
            <w:tcW w:w="761" w:type="dxa"/>
            <w:tcBorders>
              <w:top w:val="nil"/>
              <w:left w:val="nil"/>
              <w:bottom w:val="nil"/>
              <w:right w:val="nil"/>
            </w:tcBorders>
            <w:shd w:val="clear" w:color="000000" w:fill="BFBFBF"/>
            <w:noWrap/>
            <w:vAlign w:val="bottom"/>
            <w:hideMark/>
          </w:tcPr>
          <w:p w14:paraId="7CEB67A9"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0.0%</w:t>
            </w:r>
          </w:p>
        </w:tc>
      </w:tr>
      <w:tr w:rsidR="00A23D24" w:rsidRPr="00E16652" w14:paraId="57BE7C29" w14:textId="77777777" w:rsidTr="00A23D24">
        <w:trPr>
          <w:trHeight w:val="288"/>
        </w:trPr>
        <w:tc>
          <w:tcPr>
            <w:tcW w:w="1534" w:type="dxa"/>
            <w:tcBorders>
              <w:top w:val="nil"/>
              <w:left w:val="nil"/>
              <w:bottom w:val="nil"/>
              <w:right w:val="nil"/>
            </w:tcBorders>
            <w:shd w:val="clear" w:color="000000" w:fill="FFFFFF"/>
            <w:noWrap/>
            <w:vAlign w:val="bottom"/>
            <w:hideMark/>
          </w:tcPr>
          <w:p w14:paraId="5F0A7EE1" w14:textId="77777777" w:rsidR="00E16652" w:rsidRPr="00E16652" w:rsidRDefault="00E16652" w:rsidP="00E16652">
            <w:pPr>
              <w:rPr>
                <w:rFonts w:ascii="Calibri" w:eastAsia="Times New Roman" w:hAnsi="Calibri" w:cs="Calibri"/>
                <w:color w:val="0D0D0D"/>
                <w:sz w:val="20"/>
              </w:rPr>
            </w:pPr>
            <w:r w:rsidRPr="00E16652">
              <w:rPr>
                <w:rFonts w:ascii="Calibri" w:eastAsia="Times New Roman" w:hAnsi="Calibri" w:cs="Calibri"/>
                <w:color w:val="0D0D0D"/>
                <w:sz w:val="20"/>
              </w:rPr>
              <w:t>Out-of-State</w:t>
            </w:r>
          </w:p>
        </w:tc>
        <w:tc>
          <w:tcPr>
            <w:tcW w:w="814" w:type="dxa"/>
            <w:tcBorders>
              <w:top w:val="nil"/>
              <w:left w:val="nil"/>
              <w:bottom w:val="nil"/>
              <w:right w:val="nil"/>
            </w:tcBorders>
            <w:shd w:val="clear" w:color="000000" w:fill="FFFFFF"/>
            <w:noWrap/>
            <w:vAlign w:val="bottom"/>
            <w:hideMark/>
          </w:tcPr>
          <w:p w14:paraId="30B26B5C"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27,251</w:t>
            </w:r>
          </w:p>
        </w:tc>
        <w:tc>
          <w:tcPr>
            <w:tcW w:w="761" w:type="dxa"/>
            <w:tcBorders>
              <w:top w:val="nil"/>
              <w:left w:val="nil"/>
              <w:bottom w:val="nil"/>
              <w:right w:val="nil"/>
            </w:tcBorders>
            <w:shd w:val="clear" w:color="000000" w:fill="BFBFBF"/>
            <w:noWrap/>
            <w:vAlign w:val="bottom"/>
            <w:hideMark/>
          </w:tcPr>
          <w:p w14:paraId="47CD784C"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-8.9%</w:t>
            </w:r>
          </w:p>
        </w:tc>
        <w:tc>
          <w:tcPr>
            <w:tcW w:w="816" w:type="dxa"/>
            <w:tcBorders>
              <w:top w:val="nil"/>
              <w:left w:val="nil"/>
              <w:bottom w:val="nil"/>
              <w:right w:val="nil"/>
            </w:tcBorders>
            <w:shd w:val="clear" w:color="000000" w:fill="FFFFFF"/>
            <w:noWrap/>
            <w:vAlign w:val="bottom"/>
            <w:hideMark/>
          </w:tcPr>
          <w:p w14:paraId="308CC737"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29,902</w:t>
            </w:r>
          </w:p>
        </w:tc>
        <w:tc>
          <w:tcPr>
            <w:tcW w:w="761" w:type="dxa"/>
            <w:tcBorders>
              <w:top w:val="nil"/>
              <w:left w:val="nil"/>
              <w:bottom w:val="nil"/>
              <w:right w:val="nil"/>
            </w:tcBorders>
            <w:shd w:val="clear" w:color="000000" w:fill="BFBFBF"/>
            <w:noWrap/>
            <w:vAlign w:val="bottom"/>
            <w:hideMark/>
          </w:tcPr>
          <w:p w14:paraId="23C34706"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2.0%</w:t>
            </w:r>
          </w:p>
        </w:tc>
        <w:tc>
          <w:tcPr>
            <w:tcW w:w="797" w:type="dxa"/>
            <w:tcBorders>
              <w:top w:val="nil"/>
              <w:left w:val="nil"/>
              <w:bottom w:val="nil"/>
              <w:right w:val="nil"/>
            </w:tcBorders>
            <w:shd w:val="clear" w:color="000000" w:fill="FFFFFF"/>
            <w:noWrap/>
            <w:vAlign w:val="bottom"/>
            <w:hideMark/>
          </w:tcPr>
          <w:p w14:paraId="158873F2"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29,313</w:t>
            </w:r>
          </w:p>
        </w:tc>
        <w:tc>
          <w:tcPr>
            <w:tcW w:w="761" w:type="dxa"/>
            <w:tcBorders>
              <w:top w:val="nil"/>
              <w:left w:val="nil"/>
              <w:bottom w:val="nil"/>
              <w:right w:val="nil"/>
            </w:tcBorders>
            <w:shd w:val="clear" w:color="000000" w:fill="BFBFBF"/>
            <w:noWrap/>
            <w:vAlign w:val="bottom"/>
            <w:hideMark/>
          </w:tcPr>
          <w:p w14:paraId="2ED4B852"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3.1%</w:t>
            </w:r>
          </w:p>
        </w:tc>
        <w:tc>
          <w:tcPr>
            <w:tcW w:w="797" w:type="dxa"/>
            <w:tcBorders>
              <w:top w:val="nil"/>
              <w:left w:val="nil"/>
              <w:bottom w:val="nil"/>
              <w:right w:val="nil"/>
            </w:tcBorders>
            <w:shd w:val="clear" w:color="000000" w:fill="FFFFFF"/>
            <w:noWrap/>
            <w:vAlign w:val="bottom"/>
            <w:hideMark/>
          </w:tcPr>
          <w:p w14:paraId="31AFFE7A"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28,427</w:t>
            </w:r>
          </w:p>
        </w:tc>
        <w:tc>
          <w:tcPr>
            <w:tcW w:w="761" w:type="dxa"/>
            <w:tcBorders>
              <w:top w:val="nil"/>
              <w:left w:val="nil"/>
              <w:bottom w:val="nil"/>
              <w:right w:val="nil"/>
            </w:tcBorders>
            <w:shd w:val="clear" w:color="000000" w:fill="BFBFBF"/>
            <w:noWrap/>
            <w:vAlign w:val="bottom"/>
            <w:hideMark/>
          </w:tcPr>
          <w:p w14:paraId="47C25C3F"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2.7%</w:t>
            </w:r>
          </w:p>
        </w:tc>
        <w:tc>
          <w:tcPr>
            <w:tcW w:w="797" w:type="dxa"/>
            <w:tcBorders>
              <w:top w:val="nil"/>
              <w:left w:val="nil"/>
              <w:bottom w:val="nil"/>
              <w:right w:val="nil"/>
            </w:tcBorders>
            <w:shd w:val="clear" w:color="000000" w:fill="FFFFFF"/>
            <w:noWrap/>
            <w:vAlign w:val="bottom"/>
            <w:hideMark/>
          </w:tcPr>
          <w:p w14:paraId="0659B322"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27,674</w:t>
            </w:r>
          </w:p>
        </w:tc>
        <w:tc>
          <w:tcPr>
            <w:tcW w:w="761" w:type="dxa"/>
            <w:tcBorders>
              <w:top w:val="nil"/>
              <w:left w:val="nil"/>
              <w:bottom w:val="nil"/>
              <w:right w:val="nil"/>
            </w:tcBorders>
            <w:shd w:val="clear" w:color="000000" w:fill="BFBFBF"/>
            <w:noWrap/>
            <w:vAlign w:val="bottom"/>
            <w:hideMark/>
          </w:tcPr>
          <w:p w14:paraId="3A39D573"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0.7%</w:t>
            </w:r>
          </w:p>
        </w:tc>
      </w:tr>
      <w:tr w:rsidR="00A23D24" w:rsidRPr="00E16652" w14:paraId="22CDAB91" w14:textId="77777777" w:rsidTr="00A23D24">
        <w:trPr>
          <w:trHeight w:val="288"/>
        </w:trPr>
        <w:tc>
          <w:tcPr>
            <w:tcW w:w="1534" w:type="dxa"/>
            <w:tcBorders>
              <w:top w:val="nil"/>
              <w:left w:val="nil"/>
              <w:bottom w:val="nil"/>
              <w:right w:val="nil"/>
            </w:tcBorders>
            <w:shd w:val="clear" w:color="000000" w:fill="FFFFFF"/>
            <w:noWrap/>
            <w:vAlign w:val="bottom"/>
            <w:hideMark/>
          </w:tcPr>
          <w:p w14:paraId="41AE1380" w14:textId="77777777" w:rsidR="00E16652" w:rsidRPr="00E16652" w:rsidRDefault="00E16652" w:rsidP="00E16652">
            <w:pPr>
              <w:rPr>
                <w:rFonts w:ascii="Calibri" w:eastAsia="Times New Roman" w:hAnsi="Calibri" w:cs="Calibri"/>
                <w:color w:val="0D0D0D"/>
                <w:sz w:val="20"/>
              </w:rPr>
            </w:pPr>
            <w:r w:rsidRPr="00E16652">
              <w:rPr>
                <w:rFonts w:ascii="Calibri" w:eastAsia="Times New Roman" w:hAnsi="Calibri" w:cs="Calibri"/>
                <w:color w:val="0D0D0D"/>
                <w:sz w:val="20"/>
              </w:rPr>
              <w:t>NEBHE</w:t>
            </w:r>
          </w:p>
        </w:tc>
        <w:tc>
          <w:tcPr>
            <w:tcW w:w="814" w:type="dxa"/>
            <w:tcBorders>
              <w:top w:val="nil"/>
              <w:left w:val="nil"/>
              <w:bottom w:val="nil"/>
              <w:right w:val="nil"/>
            </w:tcBorders>
            <w:shd w:val="clear" w:color="000000" w:fill="FFFFFF"/>
            <w:noWrap/>
            <w:vAlign w:val="bottom"/>
            <w:hideMark/>
          </w:tcPr>
          <w:p w14:paraId="4E2EF0D6"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24,097</w:t>
            </w:r>
          </w:p>
        </w:tc>
        <w:tc>
          <w:tcPr>
            <w:tcW w:w="761" w:type="dxa"/>
            <w:tcBorders>
              <w:top w:val="nil"/>
              <w:left w:val="nil"/>
              <w:bottom w:val="nil"/>
              <w:right w:val="nil"/>
            </w:tcBorders>
            <w:shd w:val="clear" w:color="000000" w:fill="BFBFBF"/>
            <w:noWrap/>
            <w:vAlign w:val="bottom"/>
            <w:hideMark/>
          </w:tcPr>
          <w:p w14:paraId="79DA2BB0"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2.2%</w:t>
            </w:r>
          </w:p>
        </w:tc>
        <w:tc>
          <w:tcPr>
            <w:tcW w:w="816" w:type="dxa"/>
            <w:tcBorders>
              <w:top w:val="nil"/>
              <w:left w:val="nil"/>
              <w:bottom w:val="nil"/>
              <w:right w:val="nil"/>
            </w:tcBorders>
            <w:shd w:val="clear" w:color="000000" w:fill="FFFFFF"/>
            <w:noWrap/>
            <w:vAlign w:val="bottom"/>
            <w:hideMark/>
          </w:tcPr>
          <w:p w14:paraId="41CAF8FF"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23,578</w:t>
            </w:r>
          </w:p>
        </w:tc>
        <w:tc>
          <w:tcPr>
            <w:tcW w:w="761" w:type="dxa"/>
            <w:tcBorders>
              <w:top w:val="nil"/>
              <w:left w:val="nil"/>
              <w:bottom w:val="nil"/>
              <w:right w:val="nil"/>
            </w:tcBorders>
            <w:shd w:val="clear" w:color="000000" w:fill="BFBFBF"/>
            <w:noWrap/>
            <w:vAlign w:val="bottom"/>
            <w:hideMark/>
          </w:tcPr>
          <w:p w14:paraId="22BF246F"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2.6%</w:t>
            </w:r>
          </w:p>
        </w:tc>
        <w:tc>
          <w:tcPr>
            <w:tcW w:w="797" w:type="dxa"/>
            <w:tcBorders>
              <w:top w:val="nil"/>
              <w:left w:val="nil"/>
              <w:bottom w:val="nil"/>
              <w:right w:val="nil"/>
            </w:tcBorders>
            <w:shd w:val="clear" w:color="000000" w:fill="FFFFFF"/>
            <w:noWrap/>
            <w:vAlign w:val="bottom"/>
            <w:hideMark/>
          </w:tcPr>
          <w:p w14:paraId="19E568FA"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22,983</w:t>
            </w:r>
          </w:p>
        </w:tc>
        <w:tc>
          <w:tcPr>
            <w:tcW w:w="761" w:type="dxa"/>
            <w:tcBorders>
              <w:top w:val="nil"/>
              <w:left w:val="nil"/>
              <w:bottom w:val="nil"/>
              <w:right w:val="nil"/>
            </w:tcBorders>
            <w:shd w:val="clear" w:color="000000" w:fill="BFBFBF"/>
            <w:noWrap/>
            <w:vAlign w:val="bottom"/>
            <w:hideMark/>
          </w:tcPr>
          <w:p w14:paraId="10F91092"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2.8%</w:t>
            </w:r>
          </w:p>
        </w:tc>
        <w:tc>
          <w:tcPr>
            <w:tcW w:w="797" w:type="dxa"/>
            <w:tcBorders>
              <w:top w:val="nil"/>
              <w:left w:val="nil"/>
              <w:bottom w:val="nil"/>
              <w:right w:val="nil"/>
            </w:tcBorders>
            <w:shd w:val="clear" w:color="000000" w:fill="FFFFFF"/>
            <w:noWrap/>
            <w:vAlign w:val="bottom"/>
            <w:hideMark/>
          </w:tcPr>
          <w:p w14:paraId="3DFD6B09"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22,350</w:t>
            </w:r>
          </w:p>
        </w:tc>
        <w:tc>
          <w:tcPr>
            <w:tcW w:w="761" w:type="dxa"/>
            <w:tcBorders>
              <w:top w:val="nil"/>
              <w:left w:val="nil"/>
              <w:bottom w:val="nil"/>
              <w:right w:val="nil"/>
            </w:tcBorders>
            <w:shd w:val="clear" w:color="000000" w:fill="BFBFBF"/>
            <w:noWrap/>
            <w:vAlign w:val="bottom"/>
            <w:hideMark/>
          </w:tcPr>
          <w:p w14:paraId="3E000260"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4.0%</w:t>
            </w:r>
          </w:p>
        </w:tc>
        <w:tc>
          <w:tcPr>
            <w:tcW w:w="797" w:type="dxa"/>
            <w:tcBorders>
              <w:top w:val="nil"/>
              <w:left w:val="nil"/>
              <w:bottom w:val="nil"/>
              <w:right w:val="nil"/>
            </w:tcBorders>
            <w:shd w:val="clear" w:color="000000" w:fill="FFFFFF"/>
            <w:noWrap/>
            <w:vAlign w:val="bottom"/>
            <w:hideMark/>
          </w:tcPr>
          <w:p w14:paraId="2167E901"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21,488</w:t>
            </w:r>
          </w:p>
        </w:tc>
        <w:tc>
          <w:tcPr>
            <w:tcW w:w="761" w:type="dxa"/>
            <w:tcBorders>
              <w:top w:val="nil"/>
              <w:left w:val="nil"/>
              <w:bottom w:val="nil"/>
              <w:right w:val="nil"/>
            </w:tcBorders>
            <w:shd w:val="clear" w:color="000000" w:fill="BFBFBF"/>
            <w:noWrap/>
            <w:vAlign w:val="bottom"/>
            <w:hideMark/>
          </w:tcPr>
          <w:p w14:paraId="2A6293D2"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1.7%</w:t>
            </w:r>
          </w:p>
        </w:tc>
      </w:tr>
      <w:tr w:rsidR="00A23D24" w:rsidRPr="00E16652" w14:paraId="24D5AF16" w14:textId="77777777" w:rsidTr="00A23D24">
        <w:trPr>
          <w:trHeight w:val="288"/>
        </w:trPr>
        <w:tc>
          <w:tcPr>
            <w:tcW w:w="1534" w:type="dxa"/>
            <w:tcBorders>
              <w:top w:val="nil"/>
              <w:left w:val="nil"/>
              <w:bottom w:val="nil"/>
              <w:right w:val="nil"/>
            </w:tcBorders>
            <w:shd w:val="clear" w:color="000000" w:fill="FFFFFF"/>
            <w:noWrap/>
            <w:hideMark/>
          </w:tcPr>
          <w:p w14:paraId="473BB011" w14:textId="77777777" w:rsidR="00E16652" w:rsidRPr="00E16652" w:rsidRDefault="00E16652" w:rsidP="00E16652">
            <w:pPr>
              <w:rPr>
                <w:rFonts w:ascii="Calibri" w:eastAsia="Times New Roman" w:hAnsi="Calibri" w:cs="Calibri"/>
                <w:color w:val="0D0D0D"/>
                <w:sz w:val="20"/>
              </w:rPr>
            </w:pPr>
            <w:r w:rsidRPr="00E16652">
              <w:rPr>
                <w:rFonts w:ascii="Calibri" w:eastAsia="Times New Roman" w:hAnsi="Calibri" w:cs="Calibri"/>
                <w:color w:val="0D0D0D"/>
                <w:sz w:val="20"/>
              </w:rPr>
              <w:t>Canadian</w:t>
            </w:r>
          </w:p>
        </w:tc>
        <w:tc>
          <w:tcPr>
            <w:tcW w:w="814" w:type="dxa"/>
            <w:tcBorders>
              <w:top w:val="nil"/>
              <w:left w:val="nil"/>
              <w:bottom w:val="nil"/>
              <w:right w:val="nil"/>
            </w:tcBorders>
            <w:shd w:val="clear" w:color="000000" w:fill="FFFFFF"/>
            <w:noWrap/>
            <w:hideMark/>
          </w:tcPr>
          <w:p w14:paraId="57DE6693"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18,787</w:t>
            </w:r>
          </w:p>
        </w:tc>
        <w:tc>
          <w:tcPr>
            <w:tcW w:w="761" w:type="dxa"/>
            <w:tcBorders>
              <w:top w:val="nil"/>
              <w:left w:val="nil"/>
              <w:bottom w:val="nil"/>
              <w:right w:val="nil"/>
            </w:tcBorders>
            <w:shd w:val="clear" w:color="000000" w:fill="BFBFBF"/>
            <w:noWrap/>
            <w:vAlign w:val="bottom"/>
            <w:hideMark/>
          </w:tcPr>
          <w:p w14:paraId="0A11EC8C"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-20.3%</w:t>
            </w:r>
          </w:p>
        </w:tc>
        <w:tc>
          <w:tcPr>
            <w:tcW w:w="816" w:type="dxa"/>
            <w:tcBorders>
              <w:top w:val="nil"/>
              <w:left w:val="nil"/>
              <w:bottom w:val="nil"/>
              <w:right w:val="nil"/>
            </w:tcBorders>
            <w:shd w:val="clear" w:color="000000" w:fill="FFFFFF"/>
            <w:noWrap/>
            <w:hideMark/>
          </w:tcPr>
          <w:p w14:paraId="6CAC73D9"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23,578</w:t>
            </w:r>
          </w:p>
        </w:tc>
        <w:tc>
          <w:tcPr>
            <w:tcW w:w="761" w:type="dxa"/>
            <w:tcBorders>
              <w:top w:val="nil"/>
              <w:left w:val="nil"/>
              <w:bottom w:val="nil"/>
              <w:right w:val="nil"/>
            </w:tcBorders>
            <w:shd w:val="clear" w:color="000000" w:fill="BFBFBF"/>
            <w:noWrap/>
            <w:vAlign w:val="bottom"/>
            <w:hideMark/>
          </w:tcPr>
          <w:p w14:paraId="2EE5467E"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2.6%</w:t>
            </w:r>
          </w:p>
        </w:tc>
        <w:tc>
          <w:tcPr>
            <w:tcW w:w="797" w:type="dxa"/>
            <w:tcBorders>
              <w:top w:val="nil"/>
              <w:left w:val="nil"/>
              <w:bottom w:val="nil"/>
              <w:right w:val="nil"/>
            </w:tcBorders>
            <w:shd w:val="clear" w:color="000000" w:fill="FFFFFF"/>
            <w:noWrap/>
            <w:hideMark/>
          </w:tcPr>
          <w:p w14:paraId="2CCE1097"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22,983</w:t>
            </w:r>
          </w:p>
        </w:tc>
        <w:tc>
          <w:tcPr>
            <w:tcW w:w="761" w:type="dxa"/>
            <w:tcBorders>
              <w:top w:val="nil"/>
              <w:left w:val="nil"/>
              <w:bottom w:val="nil"/>
              <w:right w:val="nil"/>
            </w:tcBorders>
            <w:shd w:val="clear" w:color="000000" w:fill="BFBFBF"/>
            <w:noWrap/>
            <w:vAlign w:val="bottom"/>
            <w:hideMark/>
          </w:tcPr>
          <w:p w14:paraId="785F28E6"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2.8%</w:t>
            </w:r>
          </w:p>
        </w:tc>
        <w:tc>
          <w:tcPr>
            <w:tcW w:w="797" w:type="dxa"/>
            <w:tcBorders>
              <w:top w:val="nil"/>
              <w:left w:val="nil"/>
              <w:bottom w:val="nil"/>
              <w:right w:val="nil"/>
            </w:tcBorders>
            <w:shd w:val="clear" w:color="000000" w:fill="FFFFFF"/>
            <w:noWrap/>
            <w:hideMark/>
          </w:tcPr>
          <w:p w14:paraId="75B0FAA9"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22,350</w:t>
            </w:r>
          </w:p>
        </w:tc>
        <w:tc>
          <w:tcPr>
            <w:tcW w:w="761" w:type="dxa"/>
            <w:tcBorders>
              <w:top w:val="nil"/>
              <w:left w:val="nil"/>
              <w:bottom w:val="nil"/>
              <w:right w:val="nil"/>
            </w:tcBorders>
            <w:shd w:val="clear" w:color="000000" w:fill="BFBFBF"/>
            <w:noWrap/>
            <w:vAlign w:val="bottom"/>
            <w:hideMark/>
          </w:tcPr>
          <w:p w14:paraId="218D1005"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4.0%</w:t>
            </w:r>
          </w:p>
        </w:tc>
        <w:tc>
          <w:tcPr>
            <w:tcW w:w="797" w:type="dxa"/>
            <w:tcBorders>
              <w:top w:val="nil"/>
              <w:left w:val="nil"/>
              <w:bottom w:val="nil"/>
              <w:right w:val="nil"/>
            </w:tcBorders>
            <w:shd w:val="clear" w:color="000000" w:fill="FFFFFF"/>
            <w:noWrap/>
            <w:hideMark/>
          </w:tcPr>
          <w:p w14:paraId="3BAC5593"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21,488</w:t>
            </w:r>
          </w:p>
        </w:tc>
        <w:tc>
          <w:tcPr>
            <w:tcW w:w="761" w:type="dxa"/>
            <w:tcBorders>
              <w:top w:val="nil"/>
              <w:left w:val="nil"/>
              <w:bottom w:val="nil"/>
              <w:right w:val="nil"/>
            </w:tcBorders>
            <w:shd w:val="clear" w:color="000000" w:fill="BFBFBF"/>
            <w:noWrap/>
            <w:vAlign w:val="bottom"/>
            <w:hideMark/>
          </w:tcPr>
          <w:p w14:paraId="5D5BC65C"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1.7%</w:t>
            </w:r>
          </w:p>
        </w:tc>
      </w:tr>
      <w:tr w:rsidR="00A23D24" w:rsidRPr="00E16652" w14:paraId="3B00F306" w14:textId="77777777" w:rsidTr="00A23D24">
        <w:trPr>
          <w:trHeight w:val="288"/>
        </w:trPr>
        <w:tc>
          <w:tcPr>
            <w:tcW w:w="1534" w:type="dxa"/>
            <w:tcBorders>
              <w:top w:val="nil"/>
              <w:left w:val="nil"/>
              <w:bottom w:val="nil"/>
              <w:right w:val="nil"/>
            </w:tcBorders>
            <w:shd w:val="clear" w:color="000000" w:fill="FFFFFF"/>
            <w:noWrap/>
            <w:vAlign w:val="bottom"/>
            <w:hideMark/>
          </w:tcPr>
          <w:p w14:paraId="228A5F66" w14:textId="77777777" w:rsidR="00A23D24" w:rsidRDefault="00A23D24" w:rsidP="00E16652">
            <w:pPr>
              <w:rPr>
                <w:rFonts w:ascii="Calibri" w:eastAsia="Times New Roman" w:hAnsi="Calibri" w:cs="Calibri"/>
                <w:b/>
                <w:bCs/>
                <w:color w:val="0D0D0D"/>
                <w:sz w:val="20"/>
              </w:rPr>
            </w:pPr>
            <w:r w:rsidRPr="00E16652">
              <w:rPr>
                <w:rFonts w:ascii="Calibri" w:eastAsia="Times New Roman" w:hAnsi="Calibri" w:cs="Calibri"/>
                <w:b/>
                <w:bCs/>
                <w:color w:val="0D0D0D"/>
                <w:sz w:val="20"/>
              </w:rPr>
              <w:t>Law School:</w:t>
            </w:r>
          </w:p>
          <w:p w14:paraId="0B609BFB" w14:textId="3D9F4798" w:rsidR="00E16652" w:rsidRPr="00E16652" w:rsidRDefault="00E16652" w:rsidP="00E16652">
            <w:pPr>
              <w:rPr>
                <w:rFonts w:ascii="Calibri" w:eastAsia="Times New Roman" w:hAnsi="Calibri" w:cs="Calibri"/>
                <w:color w:val="0D0D0D"/>
                <w:sz w:val="20"/>
              </w:rPr>
            </w:pPr>
            <w:r w:rsidRPr="00E16652">
              <w:rPr>
                <w:rFonts w:ascii="Calibri" w:eastAsia="Times New Roman" w:hAnsi="Calibri" w:cs="Calibri"/>
                <w:color w:val="0D0D0D"/>
                <w:sz w:val="20"/>
              </w:rPr>
              <w:t>In-State</w:t>
            </w:r>
          </w:p>
        </w:tc>
        <w:tc>
          <w:tcPr>
            <w:tcW w:w="814" w:type="dxa"/>
            <w:tcBorders>
              <w:top w:val="nil"/>
              <w:left w:val="nil"/>
              <w:bottom w:val="nil"/>
              <w:right w:val="nil"/>
            </w:tcBorders>
            <w:shd w:val="clear" w:color="000000" w:fill="FFFFFF"/>
            <w:noWrap/>
            <w:vAlign w:val="bottom"/>
            <w:hideMark/>
          </w:tcPr>
          <w:p w14:paraId="144CB491"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$33,310</w:t>
            </w:r>
          </w:p>
        </w:tc>
        <w:tc>
          <w:tcPr>
            <w:tcW w:w="761" w:type="dxa"/>
            <w:tcBorders>
              <w:top w:val="nil"/>
              <w:left w:val="nil"/>
              <w:bottom w:val="nil"/>
              <w:right w:val="nil"/>
            </w:tcBorders>
            <w:shd w:val="clear" w:color="000000" w:fill="BFBFBF"/>
            <w:noWrap/>
            <w:vAlign w:val="bottom"/>
            <w:hideMark/>
          </w:tcPr>
          <w:p w14:paraId="5DB7E3FC"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0.9%</w:t>
            </w:r>
          </w:p>
        </w:tc>
        <w:tc>
          <w:tcPr>
            <w:tcW w:w="816" w:type="dxa"/>
            <w:tcBorders>
              <w:top w:val="nil"/>
              <w:left w:val="nil"/>
              <w:bottom w:val="nil"/>
              <w:right w:val="nil"/>
            </w:tcBorders>
            <w:shd w:val="clear" w:color="000000" w:fill="FFFFFF"/>
            <w:noWrap/>
            <w:vAlign w:val="bottom"/>
            <w:hideMark/>
          </w:tcPr>
          <w:p w14:paraId="72B2150F"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$33,005</w:t>
            </w:r>
          </w:p>
        </w:tc>
        <w:tc>
          <w:tcPr>
            <w:tcW w:w="761" w:type="dxa"/>
            <w:tcBorders>
              <w:top w:val="nil"/>
              <w:left w:val="nil"/>
              <w:bottom w:val="nil"/>
              <w:right w:val="nil"/>
            </w:tcBorders>
            <w:shd w:val="clear" w:color="000000" w:fill="BFBFBF"/>
            <w:noWrap/>
            <w:vAlign w:val="bottom"/>
            <w:hideMark/>
          </w:tcPr>
          <w:p w14:paraId="34DECA79"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0.8%</w:t>
            </w:r>
          </w:p>
        </w:tc>
        <w:tc>
          <w:tcPr>
            <w:tcW w:w="797" w:type="dxa"/>
            <w:tcBorders>
              <w:top w:val="nil"/>
              <w:left w:val="nil"/>
              <w:bottom w:val="nil"/>
              <w:right w:val="nil"/>
            </w:tcBorders>
            <w:shd w:val="clear" w:color="000000" w:fill="FFFFFF"/>
            <w:noWrap/>
            <w:vAlign w:val="bottom"/>
            <w:hideMark/>
          </w:tcPr>
          <w:p w14:paraId="620A5EB2"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$32,740</w:t>
            </w:r>
          </w:p>
        </w:tc>
        <w:tc>
          <w:tcPr>
            <w:tcW w:w="761" w:type="dxa"/>
            <w:tcBorders>
              <w:top w:val="nil"/>
              <w:left w:val="nil"/>
              <w:bottom w:val="nil"/>
              <w:right w:val="nil"/>
            </w:tcBorders>
            <w:shd w:val="clear" w:color="000000" w:fill="BFBFBF"/>
            <w:noWrap/>
            <w:vAlign w:val="bottom"/>
            <w:hideMark/>
          </w:tcPr>
          <w:p w14:paraId="42DFAB3B"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0.9%</w:t>
            </w:r>
          </w:p>
        </w:tc>
        <w:tc>
          <w:tcPr>
            <w:tcW w:w="797" w:type="dxa"/>
            <w:tcBorders>
              <w:top w:val="nil"/>
              <w:left w:val="nil"/>
              <w:bottom w:val="nil"/>
              <w:right w:val="nil"/>
            </w:tcBorders>
            <w:shd w:val="clear" w:color="000000" w:fill="FFFFFF"/>
            <w:noWrap/>
            <w:vAlign w:val="bottom"/>
            <w:hideMark/>
          </w:tcPr>
          <w:p w14:paraId="19B8C4BC"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$32,460</w:t>
            </w:r>
          </w:p>
        </w:tc>
        <w:tc>
          <w:tcPr>
            <w:tcW w:w="761" w:type="dxa"/>
            <w:tcBorders>
              <w:top w:val="nil"/>
              <w:left w:val="nil"/>
              <w:bottom w:val="nil"/>
              <w:right w:val="nil"/>
            </w:tcBorders>
            <w:shd w:val="clear" w:color="000000" w:fill="BFBFBF"/>
            <w:noWrap/>
            <w:vAlign w:val="bottom"/>
            <w:hideMark/>
          </w:tcPr>
          <w:p w14:paraId="60603304"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0.1%</w:t>
            </w:r>
          </w:p>
        </w:tc>
        <w:tc>
          <w:tcPr>
            <w:tcW w:w="797" w:type="dxa"/>
            <w:tcBorders>
              <w:top w:val="nil"/>
              <w:left w:val="nil"/>
              <w:bottom w:val="nil"/>
              <w:right w:val="nil"/>
            </w:tcBorders>
            <w:shd w:val="clear" w:color="000000" w:fill="FFFFFF"/>
            <w:noWrap/>
            <w:vAlign w:val="bottom"/>
            <w:hideMark/>
          </w:tcPr>
          <w:p w14:paraId="65920EAC"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$32,430</w:t>
            </w:r>
          </w:p>
        </w:tc>
        <w:tc>
          <w:tcPr>
            <w:tcW w:w="761" w:type="dxa"/>
            <w:tcBorders>
              <w:top w:val="nil"/>
              <w:left w:val="nil"/>
              <w:bottom w:val="nil"/>
              <w:right w:val="nil"/>
            </w:tcBorders>
            <w:shd w:val="clear" w:color="000000" w:fill="BFBFBF"/>
            <w:noWrap/>
            <w:vAlign w:val="bottom"/>
            <w:hideMark/>
          </w:tcPr>
          <w:p w14:paraId="2F49BDBE"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0.0%</w:t>
            </w:r>
          </w:p>
        </w:tc>
      </w:tr>
      <w:tr w:rsidR="00A23D24" w:rsidRPr="00E16652" w14:paraId="55B96472" w14:textId="77777777" w:rsidTr="00A23D24">
        <w:trPr>
          <w:trHeight w:val="288"/>
        </w:trPr>
        <w:tc>
          <w:tcPr>
            <w:tcW w:w="1534" w:type="dxa"/>
            <w:tcBorders>
              <w:top w:val="nil"/>
              <w:left w:val="nil"/>
              <w:bottom w:val="nil"/>
              <w:right w:val="nil"/>
            </w:tcBorders>
            <w:shd w:val="clear" w:color="000000" w:fill="FFFFFF"/>
            <w:noWrap/>
            <w:vAlign w:val="bottom"/>
            <w:hideMark/>
          </w:tcPr>
          <w:p w14:paraId="2E77EE38" w14:textId="77777777" w:rsidR="00E16652" w:rsidRPr="00E16652" w:rsidRDefault="00E16652" w:rsidP="00E16652">
            <w:pPr>
              <w:rPr>
                <w:rFonts w:ascii="Calibri" w:eastAsia="Times New Roman" w:hAnsi="Calibri" w:cs="Calibri"/>
                <w:color w:val="0D0D0D"/>
                <w:sz w:val="20"/>
              </w:rPr>
            </w:pPr>
            <w:r w:rsidRPr="00E16652">
              <w:rPr>
                <w:rFonts w:ascii="Calibri" w:eastAsia="Times New Roman" w:hAnsi="Calibri" w:cs="Calibri"/>
                <w:color w:val="0D0D0D"/>
                <w:sz w:val="20"/>
              </w:rPr>
              <w:t>Out-of-State</w:t>
            </w:r>
          </w:p>
        </w:tc>
        <w:tc>
          <w:tcPr>
            <w:tcW w:w="814" w:type="dxa"/>
            <w:tcBorders>
              <w:top w:val="nil"/>
              <w:left w:val="nil"/>
              <w:bottom w:val="nil"/>
              <w:right w:val="nil"/>
            </w:tcBorders>
            <w:shd w:val="clear" w:color="000000" w:fill="FFFFFF"/>
            <w:noWrap/>
            <w:vAlign w:val="bottom"/>
            <w:hideMark/>
          </w:tcPr>
          <w:p w14:paraId="49FAA74B"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44,800</w:t>
            </w:r>
          </w:p>
        </w:tc>
        <w:tc>
          <w:tcPr>
            <w:tcW w:w="761" w:type="dxa"/>
            <w:tcBorders>
              <w:top w:val="nil"/>
              <w:left w:val="nil"/>
              <w:bottom w:val="nil"/>
              <w:right w:val="nil"/>
            </w:tcBorders>
            <w:shd w:val="clear" w:color="000000" w:fill="BFBFBF"/>
            <w:noWrap/>
            <w:vAlign w:val="bottom"/>
            <w:hideMark/>
          </w:tcPr>
          <w:p w14:paraId="2FF0D6FE"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0.7%</w:t>
            </w:r>
          </w:p>
        </w:tc>
        <w:tc>
          <w:tcPr>
            <w:tcW w:w="816" w:type="dxa"/>
            <w:tcBorders>
              <w:top w:val="nil"/>
              <w:left w:val="nil"/>
              <w:bottom w:val="nil"/>
              <w:right w:val="nil"/>
            </w:tcBorders>
            <w:shd w:val="clear" w:color="000000" w:fill="FFFFFF"/>
            <w:noWrap/>
            <w:vAlign w:val="bottom"/>
            <w:hideMark/>
          </w:tcPr>
          <w:p w14:paraId="45749395"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44,495</w:t>
            </w:r>
          </w:p>
        </w:tc>
        <w:tc>
          <w:tcPr>
            <w:tcW w:w="761" w:type="dxa"/>
            <w:tcBorders>
              <w:top w:val="nil"/>
              <w:left w:val="nil"/>
              <w:bottom w:val="nil"/>
              <w:right w:val="nil"/>
            </w:tcBorders>
            <w:shd w:val="clear" w:color="000000" w:fill="BFBFBF"/>
            <w:noWrap/>
            <w:vAlign w:val="bottom"/>
            <w:hideMark/>
          </w:tcPr>
          <w:p w14:paraId="244E95A5"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1.6%</w:t>
            </w:r>
          </w:p>
        </w:tc>
        <w:tc>
          <w:tcPr>
            <w:tcW w:w="797" w:type="dxa"/>
            <w:tcBorders>
              <w:top w:val="nil"/>
              <w:left w:val="nil"/>
              <w:bottom w:val="nil"/>
              <w:right w:val="nil"/>
            </w:tcBorders>
            <w:shd w:val="clear" w:color="000000" w:fill="FFFFFF"/>
            <w:noWrap/>
            <w:vAlign w:val="bottom"/>
            <w:hideMark/>
          </w:tcPr>
          <w:p w14:paraId="75CF9E99"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43,810</w:t>
            </w:r>
          </w:p>
        </w:tc>
        <w:tc>
          <w:tcPr>
            <w:tcW w:w="761" w:type="dxa"/>
            <w:tcBorders>
              <w:top w:val="nil"/>
              <w:left w:val="nil"/>
              <w:bottom w:val="nil"/>
              <w:right w:val="nil"/>
            </w:tcBorders>
            <w:shd w:val="clear" w:color="000000" w:fill="BFBFBF"/>
            <w:noWrap/>
            <w:vAlign w:val="bottom"/>
            <w:hideMark/>
          </w:tcPr>
          <w:p w14:paraId="3904549C"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0.6%</w:t>
            </w:r>
          </w:p>
        </w:tc>
        <w:tc>
          <w:tcPr>
            <w:tcW w:w="797" w:type="dxa"/>
            <w:tcBorders>
              <w:top w:val="nil"/>
              <w:left w:val="nil"/>
              <w:bottom w:val="nil"/>
              <w:right w:val="nil"/>
            </w:tcBorders>
            <w:shd w:val="clear" w:color="000000" w:fill="FFFFFF"/>
            <w:noWrap/>
            <w:vAlign w:val="bottom"/>
            <w:hideMark/>
          </w:tcPr>
          <w:p w14:paraId="762EB66A"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43,530</w:t>
            </w:r>
          </w:p>
        </w:tc>
        <w:tc>
          <w:tcPr>
            <w:tcW w:w="761" w:type="dxa"/>
            <w:tcBorders>
              <w:top w:val="nil"/>
              <w:left w:val="nil"/>
              <w:bottom w:val="nil"/>
              <w:right w:val="nil"/>
            </w:tcBorders>
            <w:shd w:val="clear" w:color="000000" w:fill="BFBFBF"/>
            <w:noWrap/>
            <w:vAlign w:val="bottom"/>
            <w:hideMark/>
          </w:tcPr>
          <w:p w14:paraId="7919073A"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0.1%</w:t>
            </w:r>
          </w:p>
        </w:tc>
        <w:tc>
          <w:tcPr>
            <w:tcW w:w="797" w:type="dxa"/>
            <w:tcBorders>
              <w:top w:val="nil"/>
              <w:left w:val="nil"/>
              <w:bottom w:val="nil"/>
              <w:right w:val="nil"/>
            </w:tcBorders>
            <w:shd w:val="clear" w:color="000000" w:fill="FFFFFF"/>
            <w:noWrap/>
            <w:vAlign w:val="bottom"/>
            <w:hideMark/>
          </w:tcPr>
          <w:p w14:paraId="50372CB0"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43,500</w:t>
            </w:r>
          </w:p>
        </w:tc>
        <w:tc>
          <w:tcPr>
            <w:tcW w:w="761" w:type="dxa"/>
            <w:tcBorders>
              <w:top w:val="nil"/>
              <w:left w:val="nil"/>
              <w:bottom w:val="nil"/>
              <w:right w:val="nil"/>
            </w:tcBorders>
            <w:shd w:val="clear" w:color="000000" w:fill="BFBFBF"/>
            <w:noWrap/>
            <w:vAlign w:val="bottom"/>
            <w:hideMark/>
          </w:tcPr>
          <w:p w14:paraId="6FBA3613"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0.0%</w:t>
            </w:r>
          </w:p>
        </w:tc>
      </w:tr>
      <w:tr w:rsidR="00A23D24" w:rsidRPr="00E16652" w14:paraId="791BF1B0" w14:textId="77777777" w:rsidTr="00A23D24">
        <w:trPr>
          <w:trHeight w:val="288"/>
        </w:trPr>
        <w:tc>
          <w:tcPr>
            <w:tcW w:w="1534" w:type="dxa"/>
            <w:tcBorders>
              <w:top w:val="nil"/>
              <w:left w:val="nil"/>
              <w:bottom w:val="nil"/>
              <w:right w:val="nil"/>
            </w:tcBorders>
            <w:shd w:val="clear" w:color="000000" w:fill="FFFFFF"/>
            <w:noWrap/>
            <w:vAlign w:val="bottom"/>
            <w:hideMark/>
          </w:tcPr>
          <w:p w14:paraId="444F58D5" w14:textId="4013E1E7" w:rsidR="00E16652" w:rsidRPr="00E16652" w:rsidRDefault="00E16652" w:rsidP="00E16652">
            <w:pPr>
              <w:rPr>
                <w:rFonts w:ascii="Calibri" w:eastAsia="Times New Roman" w:hAnsi="Calibri" w:cs="Calibri"/>
                <w:color w:val="0D0D0D"/>
                <w:sz w:val="20"/>
              </w:rPr>
            </w:pPr>
            <w:r w:rsidRPr="00E16652">
              <w:rPr>
                <w:rFonts w:ascii="Calibri" w:eastAsia="Times New Roman" w:hAnsi="Calibri" w:cs="Calibri"/>
                <w:color w:val="0D0D0D"/>
                <w:sz w:val="20"/>
              </w:rPr>
              <w:t>NEBHE/Canadian</w:t>
            </w:r>
          </w:p>
        </w:tc>
        <w:tc>
          <w:tcPr>
            <w:tcW w:w="814" w:type="dxa"/>
            <w:tcBorders>
              <w:top w:val="nil"/>
              <w:left w:val="nil"/>
              <w:bottom w:val="nil"/>
              <w:right w:val="nil"/>
            </w:tcBorders>
            <w:shd w:val="clear" w:color="000000" w:fill="FFFFFF"/>
            <w:noWrap/>
            <w:vAlign w:val="bottom"/>
            <w:hideMark/>
          </w:tcPr>
          <w:p w14:paraId="330FC10A"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41,770</w:t>
            </w:r>
          </w:p>
        </w:tc>
        <w:tc>
          <w:tcPr>
            <w:tcW w:w="761" w:type="dxa"/>
            <w:tcBorders>
              <w:top w:val="nil"/>
              <w:left w:val="nil"/>
              <w:bottom w:val="nil"/>
              <w:right w:val="nil"/>
            </w:tcBorders>
            <w:shd w:val="clear" w:color="000000" w:fill="BFBFBF"/>
            <w:noWrap/>
            <w:vAlign w:val="bottom"/>
            <w:hideMark/>
          </w:tcPr>
          <w:p w14:paraId="7E6D786B"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0.7%</w:t>
            </w:r>
          </w:p>
        </w:tc>
        <w:tc>
          <w:tcPr>
            <w:tcW w:w="816" w:type="dxa"/>
            <w:tcBorders>
              <w:top w:val="nil"/>
              <w:left w:val="nil"/>
              <w:bottom w:val="nil"/>
              <w:right w:val="nil"/>
            </w:tcBorders>
            <w:shd w:val="clear" w:color="000000" w:fill="FFFFFF"/>
            <w:noWrap/>
            <w:vAlign w:val="bottom"/>
            <w:hideMark/>
          </w:tcPr>
          <w:p w14:paraId="48B18E44" w14:textId="77777777" w:rsidR="00E16652" w:rsidRPr="00E16652" w:rsidRDefault="00E16652" w:rsidP="00E16652">
            <w:pPr>
              <w:jc w:val="right"/>
              <w:rPr>
                <w:rFonts w:ascii="Calibri" w:eastAsia="Times New Roman" w:hAnsi="Calibri" w:cs="Calibri"/>
                <w:b/>
                <w:bCs/>
                <w:color w:val="0D0D0D"/>
                <w:sz w:val="20"/>
              </w:rPr>
            </w:pPr>
            <w:r w:rsidRPr="00E16652">
              <w:rPr>
                <w:rFonts w:ascii="Calibri" w:eastAsia="Times New Roman" w:hAnsi="Calibri" w:cs="Calibri"/>
                <w:b/>
                <w:bCs/>
                <w:color w:val="0D0D0D"/>
                <w:sz w:val="20"/>
              </w:rPr>
              <w:t>41,465</w:t>
            </w:r>
          </w:p>
        </w:tc>
        <w:tc>
          <w:tcPr>
            <w:tcW w:w="761" w:type="dxa"/>
            <w:tcBorders>
              <w:top w:val="nil"/>
              <w:left w:val="nil"/>
              <w:bottom w:val="nil"/>
              <w:right w:val="nil"/>
            </w:tcBorders>
            <w:shd w:val="clear" w:color="000000" w:fill="BFBFBF"/>
            <w:noWrap/>
            <w:vAlign w:val="bottom"/>
            <w:hideMark/>
          </w:tcPr>
          <w:p w14:paraId="5EABA809"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1.5%</w:t>
            </w:r>
          </w:p>
        </w:tc>
        <w:tc>
          <w:tcPr>
            <w:tcW w:w="797" w:type="dxa"/>
            <w:tcBorders>
              <w:top w:val="nil"/>
              <w:left w:val="nil"/>
              <w:bottom w:val="nil"/>
              <w:right w:val="nil"/>
            </w:tcBorders>
            <w:shd w:val="clear" w:color="000000" w:fill="FFFFFF"/>
            <w:noWrap/>
            <w:vAlign w:val="bottom"/>
            <w:hideMark/>
          </w:tcPr>
          <w:p w14:paraId="7A5A393B"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40,870</w:t>
            </w:r>
          </w:p>
        </w:tc>
        <w:tc>
          <w:tcPr>
            <w:tcW w:w="761" w:type="dxa"/>
            <w:tcBorders>
              <w:top w:val="nil"/>
              <w:left w:val="nil"/>
              <w:bottom w:val="nil"/>
              <w:right w:val="nil"/>
            </w:tcBorders>
            <w:shd w:val="clear" w:color="000000" w:fill="BFBFBF"/>
            <w:noWrap/>
            <w:vAlign w:val="bottom"/>
            <w:hideMark/>
          </w:tcPr>
          <w:p w14:paraId="72529613"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0.7%</w:t>
            </w:r>
          </w:p>
        </w:tc>
        <w:tc>
          <w:tcPr>
            <w:tcW w:w="797" w:type="dxa"/>
            <w:tcBorders>
              <w:top w:val="nil"/>
              <w:left w:val="nil"/>
              <w:bottom w:val="nil"/>
              <w:right w:val="nil"/>
            </w:tcBorders>
            <w:shd w:val="clear" w:color="000000" w:fill="FFFFFF"/>
            <w:noWrap/>
            <w:vAlign w:val="bottom"/>
            <w:hideMark/>
          </w:tcPr>
          <w:p w14:paraId="65544AAA"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40,590</w:t>
            </w:r>
          </w:p>
        </w:tc>
        <w:tc>
          <w:tcPr>
            <w:tcW w:w="761" w:type="dxa"/>
            <w:tcBorders>
              <w:top w:val="nil"/>
              <w:left w:val="nil"/>
              <w:bottom w:val="nil"/>
              <w:right w:val="nil"/>
            </w:tcBorders>
            <w:shd w:val="clear" w:color="000000" w:fill="BFBFBF"/>
            <w:noWrap/>
            <w:vAlign w:val="bottom"/>
            <w:hideMark/>
          </w:tcPr>
          <w:p w14:paraId="6DC14E05"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0.1%</w:t>
            </w:r>
          </w:p>
        </w:tc>
        <w:tc>
          <w:tcPr>
            <w:tcW w:w="797" w:type="dxa"/>
            <w:tcBorders>
              <w:top w:val="nil"/>
              <w:left w:val="nil"/>
              <w:bottom w:val="nil"/>
              <w:right w:val="nil"/>
            </w:tcBorders>
            <w:shd w:val="clear" w:color="000000" w:fill="FFFFFF"/>
            <w:noWrap/>
            <w:vAlign w:val="bottom"/>
            <w:hideMark/>
          </w:tcPr>
          <w:p w14:paraId="2BDB1618"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40,560</w:t>
            </w:r>
          </w:p>
        </w:tc>
        <w:tc>
          <w:tcPr>
            <w:tcW w:w="761" w:type="dxa"/>
            <w:tcBorders>
              <w:top w:val="nil"/>
              <w:left w:val="nil"/>
              <w:bottom w:val="nil"/>
              <w:right w:val="nil"/>
            </w:tcBorders>
            <w:shd w:val="clear" w:color="000000" w:fill="BFBFBF"/>
            <w:noWrap/>
            <w:vAlign w:val="bottom"/>
            <w:hideMark/>
          </w:tcPr>
          <w:p w14:paraId="0EEB6F5D" w14:textId="77777777" w:rsidR="00E16652" w:rsidRPr="00E16652" w:rsidRDefault="00E16652" w:rsidP="00E16652">
            <w:pPr>
              <w:jc w:val="right"/>
              <w:rPr>
                <w:rFonts w:ascii="Calibri" w:eastAsia="Times New Roman" w:hAnsi="Calibri" w:cs="Calibri"/>
                <w:color w:val="0D0D0D"/>
                <w:sz w:val="20"/>
              </w:rPr>
            </w:pPr>
            <w:r w:rsidRPr="00E16652">
              <w:rPr>
                <w:rFonts w:ascii="Calibri" w:eastAsia="Times New Roman" w:hAnsi="Calibri" w:cs="Calibri"/>
                <w:color w:val="0D0D0D"/>
                <w:sz w:val="20"/>
              </w:rPr>
              <w:t>0.0%</w:t>
            </w:r>
          </w:p>
        </w:tc>
      </w:tr>
    </w:tbl>
    <w:p w14:paraId="611A2F57" w14:textId="59F73967" w:rsidR="00E7511E" w:rsidRPr="00790AF8" w:rsidRDefault="00E7511E" w:rsidP="00790AF8">
      <w:pPr>
        <w:spacing w:before="120"/>
        <w:ind w:left="90"/>
        <w:rPr>
          <w:i/>
          <w:color w:val="0D0D0D" w:themeColor="text1" w:themeTint="F2"/>
          <w:sz w:val="18"/>
          <w:szCs w:val="18"/>
        </w:rPr>
      </w:pPr>
      <w:r w:rsidRPr="00790AF8">
        <w:rPr>
          <w:i/>
          <w:color w:val="0D0D0D" w:themeColor="text1" w:themeTint="F2"/>
          <w:sz w:val="18"/>
          <w:szCs w:val="18"/>
        </w:rPr>
        <w:t xml:space="preserve">Note: Some amounts presented in the above Table 2 for 2019 differ from FY2019’s MD&amp;A and are based upon restated amounts included in the System report titled, </w:t>
      </w:r>
      <w:r w:rsidR="00F55971" w:rsidRPr="00790AF8">
        <w:rPr>
          <w:i/>
          <w:color w:val="0D0D0D" w:themeColor="text1" w:themeTint="F2"/>
          <w:sz w:val="18"/>
          <w:szCs w:val="18"/>
        </w:rPr>
        <w:t>‘</w:t>
      </w:r>
      <w:r w:rsidRPr="00790AF8">
        <w:rPr>
          <w:i/>
          <w:color w:val="0D0D0D" w:themeColor="text1" w:themeTint="F2"/>
          <w:sz w:val="18"/>
          <w:szCs w:val="18"/>
        </w:rPr>
        <w:t>Student Charges FY2020</w:t>
      </w:r>
      <w:r w:rsidR="00F55971" w:rsidRPr="00790AF8">
        <w:rPr>
          <w:i/>
          <w:color w:val="0D0D0D" w:themeColor="text1" w:themeTint="F2"/>
          <w:sz w:val="18"/>
          <w:szCs w:val="18"/>
        </w:rPr>
        <w:t>’</w:t>
      </w:r>
      <w:r w:rsidRPr="00790AF8">
        <w:rPr>
          <w:i/>
          <w:color w:val="0D0D0D" w:themeColor="text1" w:themeTint="F2"/>
          <w:sz w:val="18"/>
          <w:szCs w:val="18"/>
        </w:rPr>
        <w:t>.</w:t>
      </w:r>
    </w:p>
    <w:p w14:paraId="013090C4" w14:textId="4AAB2067" w:rsidR="00E16652" w:rsidRDefault="002E776D" w:rsidP="00B3420B">
      <w:pPr>
        <w:tabs>
          <w:tab w:val="left" w:pos="8280"/>
        </w:tabs>
        <w:spacing w:before="160" w:after="160"/>
        <w:jc w:val="center"/>
        <w:rPr>
          <w:rFonts w:eastAsia="Times New Roman" w:cstheme="majorBidi"/>
          <w:b/>
          <w:i/>
          <w:iCs/>
          <w:smallCaps/>
          <w:noProof/>
          <w:color w:val="000000" w:themeColor="text1"/>
          <w:sz w:val="32"/>
          <w:szCs w:val="28"/>
          <w:u w:color="5B9BD5"/>
        </w:rPr>
      </w:pPr>
      <w:r>
        <w:rPr>
          <w:noProof/>
        </w:rPr>
        <w:lastRenderedPageBreak/>
        <w:drawing>
          <wp:inline distT="0" distB="0" distL="0" distR="0" wp14:anchorId="293AC5AD" wp14:editId="12A7E77B">
            <wp:extent cx="5097780" cy="3421378"/>
            <wp:effectExtent l="0" t="0" r="7620" b="8255"/>
            <wp:docPr id="64" name="Chart 64">
              <a:extLst xmlns:a="http://schemas.openxmlformats.org/drawingml/2006/main">
                <a:ext uri="{FF2B5EF4-FFF2-40B4-BE49-F238E27FC236}">
                  <a16:creationId xmlns:a16="http://schemas.microsoft.com/office/drawing/2014/main" id="{00000000-0008-0000-04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D21BFA" w14:textId="51DC0820" w:rsidR="00E7511E" w:rsidRDefault="00E7511E" w:rsidP="00430CEB">
      <w:pPr>
        <w:pStyle w:val="AFR2"/>
        <w:spacing w:before="480"/>
        <w:rPr>
          <w:rFonts w:eastAsia="Times New Roman"/>
        </w:rPr>
      </w:pPr>
      <w:r>
        <w:rPr>
          <w:rFonts w:eastAsia="Times New Roman"/>
        </w:rPr>
        <w:t>Overview of the Financial Statements</w:t>
      </w:r>
    </w:p>
    <w:p w14:paraId="4288183E" w14:textId="7F0F908F" w:rsidR="00E7511E" w:rsidRDefault="00B45E2D">
      <w:pPr>
        <w:spacing w:after="120"/>
        <w:rPr>
          <w:rFonts w:ascii="Calibri" w:eastAsia="Times New Roman" w:hAnsi="Calibri" w:cs="Tahoma"/>
          <w:sz w:val="24"/>
        </w:rPr>
      </w:pPr>
      <w:r>
        <w:rPr>
          <w:rFonts w:ascii="Calibri" w:eastAsia="Times New Roman" w:hAnsi="Calibri" w:cs="Tahoma"/>
          <w:sz w:val="24"/>
        </w:rPr>
        <w:t xml:space="preserve">This discussion and analysis </w:t>
      </w:r>
      <w:proofErr w:type="gramStart"/>
      <w:r>
        <w:rPr>
          <w:rFonts w:ascii="Calibri" w:eastAsia="Times New Roman" w:hAnsi="Calibri" w:cs="Tahoma"/>
          <w:sz w:val="24"/>
        </w:rPr>
        <w:t>is</w:t>
      </w:r>
      <w:proofErr w:type="gramEnd"/>
      <w:r>
        <w:rPr>
          <w:rFonts w:ascii="Calibri" w:eastAsia="Times New Roman" w:hAnsi="Calibri" w:cs="Tahoma"/>
          <w:sz w:val="24"/>
        </w:rPr>
        <w:t xml:space="preserve"> an introduction to t</w:t>
      </w:r>
      <w:r w:rsidR="00E7511E">
        <w:rPr>
          <w:rFonts w:ascii="Calibri" w:eastAsia="Times New Roman" w:hAnsi="Calibri" w:cs="Tahoma"/>
          <w:sz w:val="24"/>
        </w:rPr>
        <w:t xml:space="preserve">he System’s financial statements </w:t>
      </w:r>
      <w:r>
        <w:rPr>
          <w:rFonts w:ascii="Calibri" w:eastAsia="Times New Roman" w:hAnsi="Calibri" w:cs="Tahoma"/>
          <w:sz w:val="24"/>
        </w:rPr>
        <w:t xml:space="preserve">which </w:t>
      </w:r>
      <w:r w:rsidR="00E7511E">
        <w:rPr>
          <w:rFonts w:ascii="Calibri" w:eastAsia="Times New Roman" w:hAnsi="Calibri" w:cs="Tahoma"/>
          <w:sz w:val="24"/>
        </w:rPr>
        <w:t xml:space="preserve">are prepared in accordance with U.S. generally accepted accounting principles and </w:t>
      </w:r>
      <w:r>
        <w:rPr>
          <w:rFonts w:ascii="Calibri" w:eastAsia="Times New Roman" w:hAnsi="Calibri" w:cs="Tahoma"/>
          <w:sz w:val="24"/>
        </w:rPr>
        <w:t xml:space="preserve">are comprised of </w:t>
      </w:r>
      <w:r w:rsidR="002928CE">
        <w:rPr>
          <w:rFonts w:ascii="Calibri" w:eastAsia="Times New Roman" w:hAnsi="Calibri" w:cs="Tahoma"/>
          <w:sz w:val="24"/>
        </w:rPr>
        <w:t xml:space="preserve">four </w:t>
      </w:r>
      <w:r>
        <w:rPr>
          <w:rFonts w:ascii="Calibri" w:eastAsia="Times New Roman" w:hAnsi="Calibri" w:cs="Tahoma"/>
          <w:sz w:val="24"/>
        </w:rPr>
        <w:t xml:space="preserve">components: 1) </w:t>
      </w:r>
      <w:r w:rsidR="001824A5">
        <w:rPr>
          <w:rFonts w:ascii="Calibri" w:eastAsia="Times New Roman" w:hAnsi="Calibri" w:cs="Tahoma"/>
          <w:sz w:val="24"/>
        </w:rPr>
        <w:t xml:space="preserve">system-wide </w:t>
      </w:r>
      <w:r>
        <w:rPr>
          <w:rFonts w:ascii="Calibri" w:eastAsia="Times New Roman" w:hAnsi="Calibri" w:cs="Tahoma"/>
          <w:sz w:val="24"/>
        </w:rPr>
        <w:t xml:space="preserve">financial statements, 2) </w:t>
      </w:r>
      <w:r w:rsidR="002928CE">
        <w:rPr>
          <w:rFonts w:ascii="Calibri" w:eastAsia="Times New Roman" w:hAnsi="Calibri" w:cs="Tahoma"/>
          <w:sz w:val="24"/>
        </w:rPr>
        <w:t xml:space="preserve">component unit financial statements, 3) </w:t>
      </w:r>
      <w:r w:rsidR="001824A5">
        <w:rPr>
          <w:rFonts w:ascii="Calibri" w:eastAsia="Times New Roman" w:hAnsi="Calibri" w:cs="Tahoma"/>
          <w:sz w:val="24"/>
        </w:rPr>
        <w:t xml:space="preserve">fiduciary funds </w:t>
      </w:r>
      <w:r>
        <w:rPr>
          <w:rFonts w:ascii="Calibri" w:eastAsia="Times New Roman" w:hAnsi="Calibri" w:cs="Tahoma"/>
          <w:sz w:val="24"/>
        </w:rPr>
        <w:t xml:space="preserve">financial statements, and </w:t>
      </w:r>
      <w:r w:rsidR="002928CE">
        <w:rPr>
          <w:rFonts w:ascii="Calibri" w:eastAsia="Times New Roman" w:hAnsi="Calibri" w:cs="Tahoma"/>
          <w:sz w:val="24"/>
        </w:rPr>
        <w:t>4</w:t>
      </w:r>
      <w:r>
        <w:rPr>
          <w:rFonts w:ascii="Calibri" w:eastAsia="Times New Roman" w:hAnsi="Calibri" w:cs="Tahoma"/>
          <w:sz w:val="24"/>
        </w:rPr>
        <w:t xml:space="preserve">) notes to the financial statements. This report also contains other supplementary information </w:t>
      </w:r>
      <w:r w:rsidR="001824A5">
        <w:rPr>
          <w:rFonts w:ascii="Calibri" w:eastAsia="Times New Roman" w:hAnsi="Calibri" w:cs="Tahoma"/>
          <w:sz w:val="24"/>
        </w:rPr>
        <w:t>in addition to the basic financial statements.</w:t>
      </w:r>
    </w:p>
    <w:p w14:paraId="37805482" w14:textId="1329AF2B" w:rsidR="00E7511E" w:rsidRPr="0043381C" w:rsidRDefault="00E7511E" w:rsidP="00790AF8">
      <w:pPr>
        <w:spacing w:before="240"/>
        <w:rPr>
          <w:rFonts w:ascii="Calibri" w:eastAsia="Times New Roman" w:hAnsi="Calibri" w:cs="Tahoma"/>
          <w:sz w:val="24"/>
        </w:rPr>
      </w:pPr>
      <w:r>
        <w:rPr>
          <w:rFonts w:ascii="Calibri" w:eastAsia="Times New Roman" w:hAnsi="Calibri" w:cs="Tahoma"/>
          <w:sz w:val="24"/>
        </w:rPr>
        <w:t>The University of Maine Foundation is a legally separate tax-exempt component unit of the System. This entity’s financial position and activities are discretely presented in the System’s financial statements as required by Governmental Accounting Standards Board (GASB) statements</w:t>
      </w:r>
      <w:r>
        <w:rPr>
          <w:rFonts w:ascii="Calibri" w:eastAsia="Times New Roman" w:hAnsi="Calibri" w:cs="Tahoma"/>
          <w:i/>
          <w:sz w:val="24"/>
        </w:rPr>
        <w:t xml:space="preserve">. </w:t>
      </w:r>
      <w:r w:rsidR="005752CD">
        <w:rPr>
          <w:rFonts w:ascii="Calibri" w:eastAsia="Times New Roman" w:hAnsi="Calibri" w:cs="Tahoma"/>
          <w:sz w:val="24"/>
        </w:rPr>
        <w:t xml:space="preserve">This </w:t>
      </w:r>
      <w:r>
        <w:rPr>
          <w:rFonts w:ascii="Calibri" w:eastAsia="Times New Roman" w:hAnsi="Calibri" w:cs="Tahoma"/>
          <w:sz w:val="24"/>
        </w:rPr>
        <w:t xml:space="preserve">MD&amp;A includes information only for the System, not </w:t>
      </w:r>
      <w:r w:rsidRPr="0043381C">
        <w:rPr>
          <w:rFonts w:ascii="Calibri" w:eastAsia="Times New Roman" w:hAnsi="Calibri" w:cs="Tahoma"/>
          <w:sz w:val="24"/>
        </w:rPr>
        <w:t>its component unit.</w:t>
      </w:r>
    </w:p>
    <w:p w14:paraId="4BA0089F" w14:textId="3F57D78C" w:rsidR="001824A5" w:rsidRPr="00B67972" w:rsidRDefault="001824A5" w:rsidP="007531FB">
      <w:pPr>
        <w:spacing w:before="240" w:after="120"/>
        <w:rPr>
          <w:rFonts w:ascii="Calibri" w:eastAsia="Times New Roman" w:hAnsi="Calibri" w:cs="Tahoma"/>
          <w:b/>
          <w:sz w:val="24"/>
          <w:u w:val="single"/>
        </w:rPr>
      </w:pPr>
      <w:r w:rsidRPr="00B67972">
        <w:rPr>
          <w:b/>
          <w:i/>
          <w:sz w:val="26"/>
          <w:u w:val="single" w:color="000000" w:themeColor="text1"/>
        </w:rPr>
        <w:t>System-wide Financial Statements</w:t>
      </w:r>
    </w:p>
    <w:p w14:paraId="31031ED7" w14:textId="39C2A67E" w:rsidR="001824A5" w:rsidRPr="00B67972" w:rsidRDefault="001824A5" w:rsidP="00E7511E">
      <w:pPr>
        <w:rPr>
          <w:rFonts w:ascii="Calibri" w:eastAsia="Times New Roman" w:hAnsi="Calibri" w:cs="Tahoma"/>
          <w:sz w:val="24"/>
        </w:rPr>
      </w:pPr>
      <w:r w:rsidRPr="00B67972">
        <w:rPr>
          <w:rFonts w:ascii="Calibri" w:eastAsia="Times New Roman" w:hAnsi="Calibri" w:cs="Tahoma"/>
          <w:sz w:val="24"/>
        </w:rPr>
        <w:t>The</w:t>
      </w:r>
      <w:r w:rsidR="00E41019" w:rsidRPr="00B67972">
        <w:rPr>
          <w:rFonts w:ascii="Calibri" w:eastAsia="Times New Roman" w:hAnsi="Calibri" w:cs="Tahoma"/>
          <w:sz w:val="24"/>
        </w:rPr>
        <w:t xml:space="preserve">se </w:t>
      </w:r>
      <w:r w:rsidRPr="00B67972">
        <w:rPr>
          <w:rFonts w:ascii="Calibri" w:eastAsia="Times New Roman" w:hAnsi="Calibri" w:cs="Tahoma"/>
          <w:sz w:val="24"/>
        </w:rPr>
        <w:t xml:space="preserve">financial statements </w:t>
      </w:r>
      <w:r w:rsidR="00E41019" w:rsidRPr="00B67972">
        <w:rPr>
          <w:rFonts w:ascii="Calibri" w:eastAsia="Times New Roman" w:hAnsi="Calibri" w:cs="Tahoma"/>
          <w:sz w:val="24"/>
        </w:rPr>
        <w:t>report information about the System’s assets, liabilities, deferred inflows and outflows, net position, revenues, and expenses and are comprised of the following:</w:t>
      </w:r>
    </w:p>
    <w:p w14:paraId="4DBF5BB1" w14:textId="448D9723" w:rsidR="001824A5" w:rsidRDefault="001824A5" w:rsidP="00E7511E">
      <w:pPr>
        <w:rPr>
          <w:rFonts w:ascii="Calibri" w:eastAsia="Times New Roman" w:hAnsi="Calibri" w:cs="Tahoma"/>
          <w:color w:val="FF0000"/>
          <w:sz w:val="24"/>
        </w:rPr>
      </w:pPr>
    </w:p>
    <w:p w14:paraId="27341819" w14:textId="77777777" w:rsidR="001824A5" w:rsidRDefault="001824A5" w:rsidP="001824A5">
      <w:pPr>
        <w:numPr>
          <w:ilvl w:val="0"/>
          <w:numId w:val="28"/>
        </w:numPr>
        <w:spacing w:after="120"/>
        <w:ind w:left="720"/>
        <w:rPr>
          <w:rFonts w:ascii="Calibri" w:eastAsia="Times New Roman" w:hAnsi="Calibri" w:cs="Tahoma"/>
          <w:sz w:val="24"/>
        </w:rPr>
      </w:pPr>
      <w:r>
        <w:rPr>
          <w:rFonts w:ascii="Calibri" w:eastAsia="Times New Roman" w:hAnsi="Calibri" w:cs="Tahoma"/>
          <w:sz w:val="24"/>
        </w:rPr>
        <w:t>Statements of Net Position</w:t>
      </w:r>
    </w:p>
    <w:p w14:paraId="148D3114" w14:textId="77777777" w:rsidR="001824A5" w:rsidRDefault="001824A5">
      <w:pPr>
        <w:numPr>
          <w:ilvl w:val="0"/>
          <w:numId w:val="28"/>
        </w:numPr>
        <w:tabs>
          <w:tab w:val="num" w:pos="1080"/>
        </w:tabs>
        <w:spacing w:after="120"/>
        <w:ind w:left="720"/>
        <w:rPr>
          <w:rFonts w:ascii="Calibri" w:eastAsia="Times New Roman" w:hAnsi="Calibri" w:cs="Tahoma"/>
          <w:sz w:val="24"/>
        </w:rPr>
      </w:pPr>
      <w:r>
        <w:rPr>
          <w:rFonts w:ascii="Calibri" w:eastAsia="Times New Roman" w:hAnsi="Calibri" w:cs="Tahoma"/>
          <w:sz w:val="24"/>
        </w:rPr>
        <w:t>Statements of Revenues, Expenses, and Changes in Net Position</w:t>
      </w:r>
    </w:p>
    <w:p w14:paraId="07A09660" w14:textId="77777777" w:rsidR="001824A5" w:rsidRDefault="001824A5" w:rsidP="001824A5">
      <w:pPr>
        <w:numPr>
          <w:ilvl w:val="0"/>
          <w:numId w:val="28"/>
        </w:numPr>
        <w:tabs>
          <w:tab w:val="num" w:pos="1080"/>
        </w:tabs>
        <w:ind w:left="720"/>
        <w:rPr>
          <w:rFonts w:ascii="Calibri" w:eastAsia="Times New Roman" w:hAnsi="Calibri" w:cs="Tahoma"/>
          <w:sz w:val="24"/>
        </w:rPr>
      </w:pPr>
      <w:r>
        <w:rPr>
          <w:rFonts w:ascii="Calibri" w:eastAsia="Times New Roman" w:hAnsi="Calibri" w:cs="Tahoma"/>
          <w:sz w:val="24"/>
        </w:rPr>
        <w:t>Statements of Cash Flows</w:t>
      </w:r>
    </w:p>
    <w:p w14:paraId="099144C4" w14:textId="59AD3DB6" w:rsidR="001824A5" w:rsidRPr="00A316AD" w:rsidRDefault="00E41019" w:rsidP="007531FB">
      <w:pPr>
        <w:spacing w:before="240" w:after="120"/>
        <w:rPr>
          <w:rFonts w:ascii="Calibri" w:eastAsia="Times New Roman" w:hAnsi="Calibri" w:cs="Tahoma"/>
          <w:b/>
          <w:sz w:val="24"/>
          <w:u w:val="single"/>
        </w:rPr>
      </w:pPr>
      <w:r w:rsidRPr="00A316AD">
        <w:rPr>
          <w:b/>
          <w:i/>
          <w:sz w:val="26"/>
          <w:u w:val="single" w:color="000000" w:themeColor="text1"/>
        </w:rPr>
        <w:lastRenderedPageBreak/>
        <w:t>Fiduciary Funds Financial Statements</w:t>
      </w:r>
    </w:p>
    <w:p w14:paraId="3DFC001B" w14:textId="4131C9C8" w:rsidR="007867F1" w:rsidRPr="007867F1" w:rsidRDefault="00E41019" w:rsidP="00E7511E">
      <w:pPr>
        <w:rPr>
          <w:rFonts w:ascii="Calibri" w:eastAsia="Times New Roman" w:hAnsi="Calibri" w:cs="Tahoma"/>
          <w:sz w:val="24"/>
        </w:rPr>
      </w:pPr>
      <w:r w:rsidRPr="007867F1">
        <w:rPr>
          <w:rFonts w:ascii="Calibri" w:eastAsia="Times New Roman" w:hAnsi="Calibri" w:cs="Tahoma"/>
          <w:sz w:val="24"/>
        </w:rPr>
        <w:t>The</w:t>
      </w:r>
      <w:r w:rsidR="00B67972" w:rsidRPr="007867F1">
        <w:rPr>
          <w:rFonts w:ascii="Calibri" w:eastAsia="Times New Roman" w:hAnsi="Calibri" w:cs="Tahoma"/>
          <w:sz w:val="24"/>
        </w:rPr>
        <w:t>se financial statements include information about assets held by the</w:t>
      </w:r>
      <w:r w:rsidRPr="007867F1">
        <w:rPr>
          <w:rFonts w:ascii="Calibri" w:eastAsia="Times New Roman" w:hAnsi="Calibri" w:cs="Tahoma"/>
          <w:sz w:val="24"/>
        </w:rPr>
        <w:t xml:space="preserve"> System </w:t>
      </w:r>
      <w:r w:rsidR="007867F1">
        <w:rPr>
          <w:rFonts w:ascii="Calibri" w:eastAsia="Times New Roman" w:hAnsi="Calibri" w:cs="Tahoma"/>
          <w:sz w:val="24"/>
        </w:rPr>
        <w:t xml:space="preserve">on behalf of other entities </w:t>
      </w:r>
      <w:r w:rsidR="00B67972" w:rsidRPr="007867F1">
        <w:rPr>
          <w:rFonts w:ascii="Calibri" w:eastAsia="Times New Roman" w:hAnsi="Calibri" w:cs="Tahoma"/>
          <w:sz w:val="24"/>
        </w:rPr>
        <w:t>a</w:t>
      </w:r>
      <w:r w:rsidRPr="007867F1">
        <w:rPr>
          <w:rFonts w:ascii="Calibri" w:eastAsia="Times New Roman" w:hAnsi="Calibri" w:cs="Tahoma"/>
          <w:sz w:val="24"/>
        </w:rPr>
        <w:t xml:space="preserve">s </w:t>
      </w:r>
      <w:r w:rsidR="00B67972" w:rsidRPr="007867F1">
        <w:rPr>
          <w:rFonts w:ascii="Calibri" w:eastAsia="Times New Roman" w:hAnsi="Calibri" w:cs="Tahoma"/>
          <w:sz w:val="24"/>
        </w:rPr>
        <w:t>a</w:t>
      </w:r>
      <w:r w:rsidR="007867F1">
        <w:rPr>
          <w:rFonts w:ascii="Calibri" w:eastAsia="Times New Roman" w:hAnsi="Calibri" w:cs="Tahoma"/>
          <w:sz w:val="24"/>
        </w:rPr>
        <w:t xml:space="preserve"> trustee or fiduciary</w:t>
      </w:r>
      <w:r w:rsidR="00B67972" w:rsidRPr="007867F1">
        <w:rPr>
          <w:rFonts w:ascii="Calibri" w:eastAsia="Times New Roman" w:hAnsi="Calibri" w:cs="Tahoma"/>
          <w:sz w:val="24"/>
        </w:rPr>
        <w:t xml:space="preserve">. </w:t>
      </w:r>
      <w:r w:rsidRPr="007867F1">
        <w:rPr>
          <w:rFonts w:ascii="Calibri" w:eastAsia="Times New Roman" w:hAnsi="Calibri" w:cs="Tahoma"/>
          <w:sz w:val="24"/>
        </w:rPr>
        <w:t xml:space="preserve">The System is responsible for ensuring </w:t>
      </w:r>
      <w:r w:rsidR="007867F1">
        <w:rPr>
          <w:rFonts w:ascii="Calibri" w:eastAsia="Times New Roman" w:hAnsi="Calibri" w:cs="Tahoma"/>
          <w:sz w:val="24"/>
        </w:rPr>
        <w:t>such</w:t>
      </w:r>
      <w:r w:rsidRPr="007867F1">
        <w:rPr>
          <w:rFonts w:ascii="Calibri" w:eastAsia="Times New Roman" w:hAnsi="Calibri" w:cs="Tahoma"/>
          <w:sz w:val="24"/>
        </w:rPr>
        <w:t xml:space="preserve"> assets are used only for their intended purposes and by those to whom the assets belong. </w:t>
      </w:r>
      <w:r w:rsidR="007867F1" w:rsidRPr="007867F1">
        <w:rPr>
          <w:rFonts w:ascii="Calibri" w:eastAsia="Times New Roman" w:hAnsi="Calibri" w:cs="Tahoma"/>
          <w:sz w:val="24"/>
        </w:rPr>
        <w:t xml:space="preserve">Included in these fiduciary financial statements are </w:t>
      </w:r>
      <w:r w:rsidR="007867F1">
        <w:rPr>
          <w:rFonts w:ascii="Calibri" w:eastAsia="Times New Roman" w:hAnsi="Calibri" w:cs="Tahoma"/>
          <w:sz w:val="24"/>
        </w:rPr>
        <w:t>investments</w:t>
      </w:r>
      <w:r w:rsidR="007867F1" w:rsidRPr="007867F1">
        <w:rPr>
          <w:rFonts w:ascii="Calibri" w:eastAsia="Times New Roman" w:hAnsi="Calibri" w:cs="Tahoma"/>
          <w:sz w:val="24"/>
        </w:rPr>
        <w:t xml:space="preserve"> held on behalf of t</w:t>
      </w:r>
      <w:r w:rsidR="00B67972" w:rsidRPr="007867F1">
        <w:rPr>
          <w:rFonts w:ascii="Calibri" w:eastAsia="Times New Roman" w:hAnsi="Calibri" w:cs="Tahoma"/>
          <w:sz w:val="24"/>
        </w:rPr>
        <w:t xml:space="preserve">he System’s pension </w:t>
      </w:r>
      <w:r w:rsidRPr="007867F1">
        <w:rPr>
          <w:rFonts w:ascii="Calibri" w:eastAsia="Times New Roman" w:hAnsi="Calibri" w:cs="Tahoma"/>
          <w:sz w:val="24"/>
        </w:rPr>
        <w:t xml:space="preserve">and other postemployment benefit trusts, </w:t>
      </w:r>
      <w:r w:rsidR="007867F1">
        <w:rPr>
          <w:rFonts w:ascii="Calibri" w:eastAsia="Times New Roman" w:hAnsi="Calibri" w:cs="Tahoma"/>
          <w:sz w:val="24"/>
        </w:rPr>
        <w:t>monies</w:t>
      </w:r>
      <w:r w:rsidR="007867F1" w:rsidRPr="007867F1">
        <w:rPr>
          <w:rFonts w:ascii="Calibri" w:eastAsia="Times New Roman" w:hAnsi="Calibri" w:cs="Tahoma"/>
          <w:sz w:val="24"/>
        </w:rPr>
        <w:t xml:space="preserve"> invested by external parties in the System’s managed investment and endowment pools, and cash held on behalf of various student government groups. </w:t>
      </w:r>
    </w:p>
    <w:p w14:paraId="372D9113" w14:textId="77777777" w:rsidR="007867F1" w:rsidRPr="007867F1" w:rsidRDefault="007867F1" w:rsidP="00E7511E">
      <w:pPr>
        <w:rPr>
          <w:rFonts w:ascii="Calibri" w:eastAsia="Times New Roman" w:hAnsi="Calibri" w:cs="Tahoma"/>
          <w:sz w:val="24"/>
        </w:rPr>
      </w:pPr>
    </w:p>
    <w:p w14:paraId="78FC00C2" w14:textId="6B1F9F42" w:rsidR="00E41019" w:rsidRPr="007867F1" w:rsidRDefault="00E41019" w:rsidP="00790AF8">
      <w:pPr>
        <w:spacing w:after="120"/>
        <w:rPr>
          <w:rFonts w:ascii="Calibri" w:eastAsia="Times New Roman" w:hAnsi="Calibri" w:cs="Tahoma"/>
          <w:sz w:val="24"/>
        </w:rPr>
      </w:pPr>
      <w:r w:rsidRPr="007867F1">
        <w:rPr>
          <w:rFonts w:ascii="Calibri" w:eastAsia="Times New Roman" w:hAnsi="Calibri" w:cs="Tahoma"/>
          <w:sz w:val="24"/>
        </w:rPr>
        <w:t>The fiduciary funds financial statements are comprised of the following:</w:t>
      </w:r>
    </w:p>
    <w:p w14:paraId="749B3305" w14:textId="77130D17" w:rsidR="00E41019" w:rsidRPr="007867F1" w:rsidRDefault="00E41019" w:rsidP="00790AF8">
      <w:pPr>
        <w:pStyle w:val="ListParagraph"/>
        <w:numPr>
          <w:ilvl w:val="0"/>
          <w:numId w:val="43"/>
        </w:numPr>
        <w:spacing w:after="120"/>
        <w:contextualSpacing w:val="0"/>
        <w:rPr>
          <w:rFonts w:ascii="Calibri" w:hAnsi="Calibri" w:cs="Tahoma"/>
        </w:rPr>
      </w:pPr>
      <w:r w:rsidRPr="007867F1">
        <w:rPr>
          <w:rFonts w:ascii="Calibri" w:hAnsi="Calibri" w:cs="Tahoma"/>
        </w:rPr>
        <w:t>Statements of Fiduciary Net Position</w:t>
      </w:r>
    </w:p>
    <w:p w14:paraId="30EA2B7C" w14:textId="4A1EC327" w:rsidR="00E41019" w:rsidRPr="007867F1" w:rsidRDefault="00E41019" w:rsidP="00A316AD">
      <w:pPr>
        <w:pStyle w:val="ListParagraph"/>
        <w:numPr>
          <w:ilvl w:val="0"/>
          <w:numId w:val="43"/>
        </w:numPr>
        <w:contextualSpacing w:val="0"/>
        <w:rPr>
          <w:rFonts w:ascii="Calibri" w:hAnsi="Calibri" w:cs="Tahoma"/>
        </w:rPr>
      </w:pPr>
      <w:r w:rsidRPr="007867F1">
        <w:rPr>
          <w:rFonts w:ascii="Calibri" w:hAnsi="Calibri" w:cs="Tahoma"/>
        </w:rPr>
        <w:t>Statements of Changes in Fiduciary Net Position</w:t>
      </w:r>
    </w:p>
    <w:p w14:paraId="7F6C47BE" w14:textId="2B5FEA52" w:rsidR="00E76B96" w:rsidRPr="00A316AD" w:rsidRDefault="00E76B96" w:rsidP="007531FB">
      <w:pPr>
        <w:spacing w:before="240" w:after="120"/>
        <w:rPr>
          <w:rFonts w:ascii="Calibri" w:hAnsi="Calibri" w:cs="Tahoma"/>
          <w:b/>
          <w:u w:val="single"/>
        </w:rPr>
      </w:pPr>
      <w:r w:rsidRPr="00A316AD">
        <w:rPr>
          <w:b/>
          <w:i/>
          <w:sz w:val="26"/>
          <w:u w:val="single" w:color="000000" w:themeColor="text1"/>
        </w:rPr>
        <w:t>Notes to the Financial Statements</w:t>
      </w:r>
    </w:p>
    <w:p w14:paraId="20724A10" w14:textId="146C3364" w:rsidR="00E76B96" w:rsidRPr="00790AF8" w:rsidRDefault="00E76B96" w:rsidP="00E41019">
      <w:pPr>
        <w:rPr>
          <w:rFonts w:ascii="Calibri" w:hAnsi="Calibri" w:cs="Tahoma"/>
          <w:sz w:val="24"/>
          <w:szCs w:val="24"/>
        </w:rPr>
      </w:pPr>
      <w:r w:rsidRPr="00790AF8">
        <w:rPr>
          <w:rFonts w:ascii="Calibri" w:hAnsi="Calibri" w:cs="Tahoma"/>
          <w:sz w:val="24"/>
          <w:szCs w:val="24"/>
        </w:rPr>
        <w:t>The notes to the financial statements provide additional information that is essential to a full understanding of the data provided in both the system-wide and fiduciary funds financial statements.</w:t>
      </w:r>
    </w:p>
    <w:p w14:paraId="7B12D074" w14:textId="19DB85B0" w:rsidR="00057E19" w:rsidRPr="00A316AD" w:rsidRDefault="007867F1" w:rsidP="007531FB">
      <w:pPr>
        <w:spacing w:before="240" w:after="120"/>
        <w:rPr>
          <w:rFonts w:ascii="Calibri" w:hAnsi="Calibri" w:cs="Tahoma"/>
          <w:b/>
          <w:u w:val="single"/>
        </w:rPr>
      </w:pPr>
      <w:r>
        <w:rPr>
          <w:b/>
          <w:i/>
          <w:sz w:val="26"/>
          <w:u w:val="single" w:color="000000" w:themeColor="text1"/>
        </w:rPr>
        <w:t>Other</w:t>
      </w:r>
      <w:r w:rsidR="00057E19" w:rsidRPr="00A316AD">
        <w:rPr>
          <w:b/>
          <w:i/>
          <w:sz w:val="26"/>
          <w:u w:val="single" w:color="000000" w:themeColor="text1"/>
        </w:rPr>
        <w:t xml:space="preserve"> Information</w:t>
      </w:r>
    </w:p>
    <w:p w14:paraId="0A9FD0C2" w14:textId="2E16CA3C" w:rsidR="00057E19" w:rsidRPr="00790AF8" w:rsidRDefault="007867F1" w:rsidP="00E41019">
      <w:pPr>
        <w:rPr>
          <w:rFonts w:ascii="Calibri" w:hAnsi="Calibri" w:cs="Tahoma"/>
          <w:sz w:val="24"/>
          <w:szCs w:val="24"/>
        </w:rPr>
      </w:pPr>
      <w:r w:rsidRPr="00790AF8">
        <w:rPr>
          <w:rFonts w:ascii="Calibri" w:hAnsi="Calibri" w:cs="Tahoma"/>
          <w:sz w:val="24"/>
          <w:szCs w:val="24"/>
        </w:rPr>
        <w:t xml:space="preserve">This report also provides certain required </w:t>
      </w:r>
      <w:r w:rsidR="00057E19" w:rsidRPr="00790AF8">
        <w:rPr>
          <w:rFonts w:ascii="Calibri" w:hAnsi="Calibri" w:cs="Tahoma"/>
          <w:sz w:val="24"/>
          <w:szCs w:val="24"/>
        </w:rPr>
        <w:t xml:space="preserve">supplementary information </w:t>
      </w:r>
      <w:r w:rsidR="00602956" w:rsidRPr="00790AF8">
        <w:rPr>
          <w:rFonts w:ascii="Calibri" w:hAnsi="Calibri" w:cs="Tahoma"/>
          <w:sz w:val="24"/>
          <w:szCs w:val="24"/>
        </w:rPr>
        <w:t>related to the System’s retirement and other postemployment benefit plans and a Schedule of Activities required by the State of Maine.</w:t>
      </w:r>
    </w:p>
    <w:p w14:paraId="5136C0DD" w14:textId="77777777" w:rsidR="00E7511E" w:rsidRDefault="00E7511E" w:rsidP="00E7511E">
      <w:pPr>
        <w:pStyle w:val="AFR2"/>
        <w:rPr>
          <w:rFonts w:eastAsia="Times New Roman"/>
        </w:rPr>
      </w:pPr>
      <w:r>
        <w:rPr>
          <w:rFonts w:eastAsia="Times New Roman"/>
        </w:rPr>
        <w:t>Statements of Net Position</w:t>
      </w:r>
    </w:p>
    <w:p w14:paraId="6A404AA7" w14:textId="3B592BB3" w:rsidR="009013B6" w:rsidRDefault="00E7511E" w:rsidP="00E7511E">
      <w:pPr>
        <w:rPr>
          <w:rFonts w:ascii="Calibri" w:hAnsi="Calibri" w:cs="Tahoma"/>
          <w:sz w:val="24"/>
        </w:rPr>
      </w:pPr>
      <w:r>
        <w:rPr>
          <w:rFonts w:ascii="Calibri" w:hAnsi="Calibri" w:cs="Tahoma"/>
          <w:sz w:val="24"/>
        </w:rPr>
        <w:t xml:space="preserve">The Statements of Net Position present the financial position of the System at one point in time – June 30 – and include all assets, deferred outflows of resources, liabilities, deferred inflows of resources, and net position of the System. These statements are the primary statements used to report financial condition. Net position represents the residual interest in the System’s assets and deferred outflows of resources after liabilities and deferred inflows of resources are deducted. The change in net position is an indicator of whether the overall financial condition has improved or deteriorated during the year. Table 3 on page </w:t>
      </w:r>
      <w:r w:rsidR="002E776D" w:rsidRPr="006E44D1">
        <w:rPr>
          <w:rFonts w:ascii="Calibri" w:hAnsi="Calibri" w:cs="Tahoma"/>
          <w:color w:val="0D0D0D" w:themeColor="text1" w:themeTint="F2"/>
          <w:sz w:val="24"/>
        </w:rPr>
        <w:t>19</w:t>
      </w:r>
      <w:r w:rsidR="002E776D">
        <w:rPr>
          <w:rFonts w:ascii="Calibri" w:hAnsi="Calibri" w:cs="Tahoma"/>
          <w:sz w:val="24"/>
        </w:rPr>
        <w:t xml:space="preserve"> </w:t>
      </w:r>
      <w:r>
        <w:rPr>
          <w:rFonts w:ascii="Calibri" w:hAnsi="Calibri" w:cs="Tahoma"/>
          <w:sz w:val="24"/>
        </w:rPr>
        <w:t>shows Condensed Statements of Net Position for the past five years.</w:t>
      </w:r>
    </w:p>
    <w:p w14:paraId="19847BFD" w14:textId="77777777" w:rsidR="00057E19" w:rsidRDefault="00057E19" w:rsidP="00E7511E">
      <w:pPr>
        <w:pStyle w:val="AFR3"/>
      </w:pPr>
      <w:r>
        <w:t>Restatement of Prior Year</w:t>
      </w:r>
    </w:p>
    <w:p w14:paraId="0AC68957" w14:textId="549D543D" w:rsidR="00B906EE" w:rsidRDefault="008640D5" w:rsidP="00790AF8">
      <w:pPr>
        <w:pStyle w:val="AFR3"/>
        <w:spacing w:before="0"/>
        <w:rPr>
          <w:rFonts w:ascii="Calibri" w:hAnsi="Calibri" w:cs="Tahoma"/>
          <w:b w:val="0"/>
          <w:i w:val="0"/>
          <w:sz w:val="24"/>
          <w:u w:val="none"/>
        </w:rPr>
      </w:pPr>
      <w:r>
        <w:rPr>
          <w:rFonts w:ascii="Calibri" w:hAnsi="Calibri" w:cs="Tahoma"/>
          <w:b w:val="0"/>
          <w:i w:val="0"/>
          <w:sz w:val="24"/>
          <w:u w:val="none"/>
        </w:rPr>
        <w:t xml:space="preserve">The FY20 financial statements have been restated to reflect adoption of GASB Statement No. 84, </w:t>
      </w:r>
      <w:r w:rsidR="00B906EE" w:rsidRPr="00A316AD">
        <w:rPr>
          <w:rFonts w:ascii="Calibri" w:hAnsi="Calibri" w:cs="Tahoma"/>
          <w:b w:val="0"/>
          <w:sz w:val="24"/>
          <w:u w:val="none"/>
        </w:rPr>
        <w:t>Fiduciary Activities</w:t>
      </w:r>
      <w:r w:rsidR="00B906EE">
        <w:rPr>
          <w:rFonts w:ascii="Calibri" w:hAnsi="Calibri" w:cs="Tahoma"/>
          <w:b w:val="0"/>
          <w:i w:val="0"/>
          <w:sz w:val="24"/>
          <w:u w:val="none"/>
        </w:rPr>
        <w:t xml:space="preserve">. The overall impact on the </w:t>
      </w:r>
      <w:r w:rsidR="0089113A">
        <w:rPr>
          <w:rFonts w:ascii="Calibri" w:hAnsi="Calibri" w:cs="Tahoma"/>
          <w:b w:val="0"/>
          <w:i w:val="0"/>
          <w:sz w:val="24"/>
          <w:u w:val="none"/>
        </w:rPr>
        <w:t xml:space="preserve">FY20 data in the </w:t>
      </w:r>
      <w:r w:rsidR="00B906EE">
        <w:rPr>
          <w:rFonts w:ascii="Calibri" w:hAnsi="Calibri" w:cs="Tahoma"/>
          <w:b w:val="0"/>
          <w:i w:val="0"/>
          <w:sz w:val="24"/>
          <w:u w:val="none"/>
        </w:rPr>
        <w:t>Condensed Statements of Net Position is that:</w:t>
      </w:r>
    </w:p>
    <w:p w14:paraId="3C1DB842" w14:textId="69A27634" w:rsidR="00B906EE" w:rsidRDefault="00B906EE" w:rsidP="00A316AD">
      <w:pPr>
        <w:pStyle w:val="AFR3"/>
        <w:numPr>
          <w:ilvl w:val="0"/>
          <w:numId w:val="45"/>
        </w:numPr>
        <w:rPr>
          <w:rFonts w:ascii="Calibri" w:hAnsi="Calibri" w:cs="Tahoma"/>
          <w:b w:val="0"/>
          <w:i w:val="0"/>
          <w:sz w:val="24"/>
          <w:u w:val="none"/>
        </w:rPr>
      </w:pPr>
      <w:r>
        <w:rPr>
          <w:rFonts w:ascii="Calibri" w:hAnsi="Calibri" w:cs="Tahoma"/>
          <w:b w:val="0"/>
          <w:i w:val="0"/>
          <w:sz w:val="24"/>
          <w:u w:val="none"/>
        </w:rPr>
        <w:t>Cash, a component of current assets, decreased by $</w:t>
      </w:r>
      <w:r w:rsidR="00724A20">
        <w:rPr>
          <w:rFonts w:ascii="Calibri" w:hAnsi="Calibri" w:cs="Tahoma"/>
          <w:b w:val="0"/>
          <w:i w:val="0"/>
          <w:sz w:val="24"/>
          <w:u w:val="none"/>
        </w:rPr>
        <w:t xml:space="preserve">2.4 million </w:t>
      </w:r>
      <w:r>
        <w:rPr>
          <w:rFonts w:ascii="Calibri" w:hAnsi="Calibri" w:cs="Tahoma"/>
          <w:b w:val="0"/>
          <w:i w:val="0"/>
          <w:sz w:val="24"/>
          <w:u w:val="none"/>
        </w:rPr>
        <w:t xml:space="preserve">as cash held on behalf of </w:t>
      </w:r>
      <w:r w:rsidR="00724A20">
        <w:rPr>
          <w:rFonts w:ascii="Calibri" w:hAnsi="Calibri" w:cs="Tahoma"/>
          <w:b w:val="0"/>
          <w:i w:val="0"/>
          <w:sz w:val="24"/>
          <w:u w:val="none"/>
        </w:rPr>
        <w:t xml:space="preserve">student and other groups </w:t>
      </w:r>
      <w:r>
        <w:rPr>
          <w:rFonts w:ascii="Calibri" w:hAnsi="Calibri" w:cs="Tahoma"/>
          <w:b w:val="0"/>
          <w:i w:val="0"/>
          <w:sz w:val="24"/>
          <w:u w:val="none"/>
        </w:rPr>
        <w:t>was moved to the Statements of Fiduciary Net Position.</w:t>
      </w:r>
    </w:p>
    <w:p w14:paraId="387DBD15" w14:textId="10067DC7" w:rsidR="00724A20" w:rsidRDefault="00724A20" w:rsidP="00790AF8">
      <w:pPr>
        <w:pStyle w:val="AFR3"/>
        <w:numPr>
          <w:ilvl w:val="0"/>
          <w:numId w:val="45"/>
        </w:numPr>
        <w:spacing w:before="0"/>
        <w:rPr>
          <w:rFonts w:ascii="Calibri" w:hAnsi="Calibri" w:cs="Tahoma"/>
          <w:b w:val="0"/>
          <w:i w:val="0"/>
          <w:sz w:val="24"/>
          <w:u w:val="none"/>
        </w:rPr>
      </w:pPr>
      <w:r>
        <w:rPr>
          <w:rFonts w:ascii="Calibri" w:hAnsi="Calibri" w:cs="Tahoma"/>
          <w:b w:val="0"/>
          <w:i w:val="0"/>
          <w:sz w:val="24"/>
          <w:u w:val="none"/>
        </w:rPr>
        <w:lastRenderedPageBreak/>
        <w:t>Unearned revenue and deposi</w:t>
      </w:r>
      <w:r w:rsidR="002A1B7F">
        <w:rPr>
          <w:rFonts w:ascii="Calibri" w:hAnsi="Calibri" w:cs="Tahoma"/>
          <w:b w:val="0"/>
          <w:i w:val="0"/>
          <w:sz w:val="24"/>
          <w:u w:val="none"/>
        </w:rPr>
        <w:t xml:space="preserve">ts and funds held for others – current portion, both </w:t>
      </w:r>
      <w:r w:rsidR="006645B2">
        <w:rPr>
          <w:rFonts w:ascii="Calibri" w:hAnsi="Calibri" w:cs="Tahoma"/>
          <w:b w:val="0"/>
          <w:i w:val="0"/>
          <w:sz w:val="24"/>
          <w:u w:val="none"/>
        </w:rPr>
        <w:t xml:space="preserve">of which are </w:t>
      </w:r>
      <w:r w:rsidR="002A1B7F">
        <w:rPr>
          <w:rFonts w:ascii="Calibri" w:hAnsi="Calibri" w:cs="Tahoma"/>
          <w:b w:val="0"/>
          <w:i w:val="0"/>
          <w:sz w:val="24"/>
          <w:u w:val="none"/>
        </w:rPr>
        <w:t xml:space="preserve">components of current liabilities, decreased by a total of $2.4 million to coincide with the </w:t>
      </w:r>
      <w:r w:rsidR="000438AF">
        <w:rPr>
          <w:rFonts w:ascii="Calibri" w:hAnsi="Calibri" w:cs="Tahoma"/>
          <w:b w:val="0"/>
          <w:i w:val="0"/>
          <w:sz w:val="24"/>
          <w:u w:val="none"/>
        </w:rPr>
        <w:t>above-mentioned</w:t>
      </w:r>
      <w:r w:rsidR="002A1B7F">
        <w:rPr>
          <w:rFonts w:ascii="Calibri" w:hAnsi="Calibri" w:cs="Tahoma"/>
          <w:b w:val="0"/>
          <w:i w:val="0"/>
          <w:sz w:val="24"/>
          <w:u w:val="none"/>
        </w:rPr>
        <w:t xml:space="preserve"> cash that was moved to the Statements of Fiduciary Net Position. </w:t>
      </w:r>
    </w:p>
    <w:p w14:paraId="2D3F7139" w14:textId="1C0A8316" w:rsidR="00AA74FC" w:rsidRDefault="00B906EE" w:rsidP="00AA74FC">
      <w:pPr>
        <w:pStyle w:val="AFR3"/>
        <w:numPr>
          <w:ilvl w:val="0"/>
          <w:numId w:val="45"/>
        </w:numPr>
        <w:spacing w:before="120"/>
        <w:rPr>
          <w:rFonts w:ascii="Calibri" w:hAnsi="Calibri" w:cs="Tahoma"/>
          <w:b w:val="0"/>
          <w:i w:val="0"/>
          <w:sz w:val="24"/>
          <w:u w:val="none"/>
        </w:rPr>
      </w:pPr>
      <w:r>
        <w:rPr>
          <w:rFonts w:ascii="Calibri" w:hAnsi="Calibri" w:cs="Tahoma"/>
          <w:b w:val="0"/>
          <w:i w:val="0"/>
          <w:sz w:val="24"/>
          <w:u w:val="none"/>
        </w:rPr>
        <w:t xml:space="preserve">Endowment investments </w:t>
      </w:r>
      <w:r w:rsidR="002A1B7F">
        <w:rPr>
          <w:rFonts w:ascii="Calibri" w:hAnsi="Calibri" w:cs="Tahoma"/>
          <w:b w:val="0"/>
          <w:i w:val="0"/>
          <w:sz w:val="24"/>
          <w:u w:val="none"/>
        </w:rPr>
        <w:t xml:space="preserve">and </w:t>
      </w:r>
      <w:r w:rsidR="00A91102">
        <w:rPr>
          <w:rFonts w:ascii="Calibri" w:hAnsi="Calibri" w:cs="Tahoma"/>
          <w:b w:val="0"/>
          <w:i w:val="0"/>
          <w:sz w:val="24"/>
          <w:u w:val="none"/>
        </w:rPr>
        <w:t xml:space="preserve">the offsetting </w:t>
      </w:r>
      <w:r w:rsidR="002A1B7F">
        <w:rPr>
          <w:rFonts w:ascii="Calibri" w:hAnsi="Calibri" w:cs="Tahoma"/>
          <w:b w:val="0"/>
          <w:i w:val="0"/>
          <w:sz w:val="24"/>
          <w:u w:val="none"/>
        </w:rPr>
        <w:t xml:space="preserve">funds held for others, a component of noncurrent liabilities, each </w:t>
      </w:r>
      <w:r>
        <w:rPr>
          <w:rFonts w:ascii="Calibri" w:hAnsi="Calibri" w:cs="Tahoma"/>
          <w:b w:val="0"/>
          <w:i w:val="0"/>
          <w:sz w:val="24"/>
          <w:u w:val="none"/>
        </w:rPr>
        <w:t>decreased by $</w:t>
      </w:r>
      <w:r w:rsidR="002A1B7F">
        <w:rPr>
          <w:rFonts w:ascii="Calibri" w:hAnsi="Calibri" w:cs="Tahoma"/>
          <w:b w:val="0"/>
          <w:i w:val="0"/>
          <w:sz w:val="24"/>
          <w:u w:val="none"/>
        </w:rPr>
        <w:t xml:space="preserve">25.9 million </w:t>
      </w:r>
      <w:r>
        <w:rPr>
          <w:rFonts w:ascii="Calibri" w:hAnsi="Calibri" w:cs="Tahoma"/>
          <w:b w:val="0"/>
          <w:i w:val="0"/>
          <w:sz w:val="24"/>
          <w:u w:val="none"/>
        </w:rPr>
        <w:t xml:space="preserve">as endowment monies </w:t>
      </w:r>
      <w:r w:rsidR="006645B2">
        <w:rPr>
          <w:rFonts w:ascii="Calibri" w:hAnsi="Calibri" w:cs="Tahoma"/>
          <w:b w:val="0"/>
          <w:i w:val="0"/>
          <w:sz w:val="24"/>
          <w:u w:val="none"/>
        </w:rPr>
        <w:t xml:space="preserve">belonging to </w:t>
      </w:r>
      <w:r>
        <w:rPr>
          <w:rFonts w:ascii="Calibri" w:hAnsi="Calibri" w:cs="Tahoma"/>
          <w:b w:val="0"/>
          <w:i w:val="0"/>
          <w:sz w:val="24"/>
          <w:u w:val="none"/>
        </w:rPr>
        <w:t xml:space="preserve">external parties </w:t>
      </w:r>
      <w:r w:rsidR="006645B2">
        <w:rPr>
          <w:rFonts w:ascii="Calibri" w:hAnsi="Calibri" w:cs="Tahoma"/>
          <w:b w:val="0"/>
          <w:i w:val="0"/>
          <w:sz w:val="24"/>
          <w:u w:val="none"/>
        </w:rPr>
        <w:t xml:space="preserve">and pooled </w:t>
      </w:r>
      <w:r>
        <w:rPr>
          <w:rFonts w:ascii="Calibri" w:hAnsi="Calibri" w:cs="Tahoma"/>
          <w:b w:val="0"/>
          <w:i w:val="0"/>
          <w:sz w:val="24"/>
          <w:u w:val="none"/>
        </w:rPr>
        <w:t xml:space="preserve">with </w:t>
      </w:r>
      <w:r w:rsidR="006645B2">
        <w:rPr>
          <w:rFonts w:ascii="Calibri" w:hAnsi="Calibri" w:cs="Tahoma"/>
          <w:b w:val="0"/>
          <w:i w:val="0"/>
          <w:sz w:val="24"/>
          <w:u w:val="none"/>
        </w:rPr>
        <w:t xml:space="preserve">System </w:t>
      </w:r>
      <w:r>
        <w:rPr>
          <w:rFonts w:ascii="Calibri" w:hAnsi="Calibri" w:cs="Tahoma"/>
          <w:b w:val="0"/>
          <w:i w:val="0"/>
          <w:sz w:val="24"/>
          <w:u w:val="none"/>
        </w:rPr>
        <w:t>endowment monies were moved to the Statements of Fiduciary Net Position.</w:t>
      </w:r>
    </w:p>
    <w:p w14:paraId="606A4BFB" w14:textId="052DB4E7" w:rsidR="00AA74FC" w:rsidRPr="00AA74FC" w:rsidRDefault="00AA74FC" w:rsidP="00AA74FC">
      <w:pPr>
        <w:pStyle w:val="AFR3"/>
        <w:spacing w:before="120"/>
        <w:ind w:left="410"/>
        <w:rPr>
          <w:rFonts w:ascii="Calibri" w:hAnsi="Calibri" w:cs="Tahoma"/>
          <w:b w:val="0"/>
          <w:i w:val="0"/>
          <w:sz w:val="24"/>
          <w:u w:val="none"/>
        </w:rPr>
      </w:pPr>
      <w:r>
        <w:rPr>
          <w:rFonts w:ascii="Calibri" w:hAnsi="Calibri" w:cs="Tahoma"/>
          <w:b w:val="0"/>
          <w:i w:val="0"/>
          <w:sz w:val="24"/>
          <w:u w:val="none"/>
        </w:rPr>
        <w:t xml:space="preserve">For comparison purposes we also restated the FY19 data presented in the Condensed Statements of Net Position shown in Table 3 on page </w:t>
      </w:r>
      <w:r w:rsidR="006E44D1" w:rsidRPr="00831AE2">
        <w:rPr>
          <w:rFonts w:ascii="Calibri" w:hAnsi="Calibri" w:cs="Tahoma"/>
          <w:b w:val="0"/>
          <w:i w:val="0"/>
          <w:sz w:val="24"/>
          <w:u w:val="none"/>
        </w:rPr>
        <w:t>19</w:t>
      </w:r>
      <w:r w:rsidRPr="00831AE2">
        <w:rPr>
          <w:rFonts w:ascii="Calibri" w:hAnsi="Calibri" w:cs="Tahoma"/>
          <w:b w:val="0"/>
          <w:i w:val="0"/>
          <w:sz w:val="24"/>
          <w:u w:val="none"/>
        </w:rPr>
        <w:t>.</w:t>
      </w:r>
    </w:p>
    <w:p w14:paraId="00D6DE00" w14:textId="2A698EDB" w:rsidR="00436E37" w:rsidRDefault="00436E37" w:rsidP="00E7511E">
      <w:pPr>
        <w:pStyle w:val="AFR3"/>
      </w:pPr>
      <w:r>
        <w:t>Impact of Change in Postemployment Health Plan</w:t>
      </w:r>
    </w:p>
    <w:p w14:paraId="6CE54433" w14:textId="641C81CB" w:rsidR="00B241E7" w:rsidRDefault="00E75FB3">
      <w:pPr>
        <w:pStyle w:val="AFR3"/>
        <w:rPr>
          <w:rFonts w:ascii="Calibri" w:hAnsi="Calibri" w:cs="Tahoma"/>
          <w:b w:val="0"/>
          <w:i w:val="0"/>
          <w:sz w:val="24"/>
          <w:u w:val="none"/>
        </w:rPr>
      </w:pPr>
      <w:r>
        <w:rPr>
          <w:rFonts w:ascii="Calibri" w:hAnsi="Calibri" w:cs="Tahoma"/>
          <w:b w:val="0"/>
          <w:i w:val="0"/>
          <w:sz w:val="24"/>
          <w:u w:val="none"/>
        </w:rPr>
        <w:t xml:space="preserve">The System’s </w:t>
      </w:r>
      <w:r w:rsidR="00E376B5">
        <w:rPr>
          <w:rFonts w:ascii="Calibri" w:hAnsi="Calibri" w:cs="Tahoma"/>
          <w:b w:val="0"/>
          <w:i w:val="0"/>
          <w:sz w:val="24"/>
          <w:u w:val="none"/>
        </w:rPr>
        <w:t>Other P</w:t>
      </w:r>
      <w:r w:rsidR="00062873">
        <w:rPr>
          <w:rFonts w:ascii="Calibri" w:hAnsi="Calibri" w:cs="Tahoma"/>
          <w:b w:val="0"/>
          <w:i w:val="0"/>
          <w:sz w:val="24"/>
          <w:u w:val="none"/>
        </w:rPr>
        <w:t xml:space="preserve">ostemployment </w:t>
      </w:r>
      <w:r w:rsidR="00E376B5">
        <w:rPr>
          <w:rFonts w:ascii="Calibri" w:hAnsi="Calibri" w:cs="Tahoma"/>
          <w:b w:val="0"/>
          <w:i w:val="0"/>
          <w:sz w:val="24"/>
          <w:u w:val="none"/>
        </w:rPr>
        <w:t>Benefits</w:t>
      </w:r>
      <w:r w:rsidR="00062873">
        <w:rPr>
          <w:rFonts w:ascii="Calibri" w:hAnsi="Calibri" w:cs="Tahoma"/>
          <w:b w:val="0"/>
          <w:i w:val="0"/>
          <w:sz w:val="24"/>
          <w:u w:val="none"/>
        </w:rPr>
        <w:t xml:space="preserve"> (OPEB)</w:t>
      </w:r>
      <w:r w:rsidR="00E376B5">
        <w:rPr>
          <w:rFonts w:ascii="Calibri" w:hAnsi="Calibri" w:cs="Tahoma"/>
          <w:b w:val="0"/>
          <w:i w:val="0"/>
          <w:sz w:val="24"/>
          <w:u w:val="none"/>
        </w:rPr>
        <w:t xml:space="preserve"> plan</w:t>
      </w:r>
      <w:r w:rsidR="00062873">
        <w:rPr>
          <w:rFonts w:ascii="Calibri" w:hAnsi="Calibri" w:cs="Tahoma"/>
          <w:b w:val="0"/>
          <w:i w:val="0"/>
          <w:sz w:val="24"/>
          <w:u w:val="none"/>
        </w:rPr>
        <w:t xml:space="preserve"> </w:t>
      </w:r>
      <w:r>
        <w:rPr>
          <w:rFonts w:ascii="Calibri" w:hAnsi="Calibri" w:cs="Tahoma"/>
          <w:b w:val="0"/>
          <w:i w:val="0"/>
          <w:sz w:val="24"/>
          <w:u w:val="none"/>
        </w:rPr>
        <w:t xml:space="preserve">had a significant impact on the FY21 Statement of Net Position, primarily due to two factors: 1) </w:t>
      </w:r>
      <w:r w:rsidR="00E376B5">
        <w:rPr>
          <w:rFonts w:ascii="Calibri" w:hAnsi="Calibri" w:cs="Tahoma"/>
          <w:b w:val="0"/>
          <w:i w:val="0"/>
          <w:sz w:val="24"/>
          <w:u w:val="none"/>
        </w:rPr>
        <w:t xml:space="preserve">adding </w:t>
      </w:r>
      <w:r w:rsidR="007B4B46">
        <w:rPr>
          <w:rFonts w:ascii="Calibri" w:hAnsi="Calibri" w:cs="Tahoma"/>
          <w:b w:val="0"/>
          <w:i w:val="0"/>
          <w:sz w:val="24"/>
          <w:u w:val="none"/>
        </w:rPr>
        <w:t xml:space="preserve">a </w:t>
      </w:r>
      <w:r w:rsidR="00E376B5">
        <w:rPr>
          <w:rFonts w:ascii="Calibri" w:hAnsi="Calibri" w:cs="Tahoma"/>
          <w:b w:val="0"/>
          <w:i w:val="0"/>
          <w:sz w:val="24"/>
          <w:u w:val="none"/>
        </w:rPr>
        <w:t xml:space="preserve">Medicare Exchange </w:t>
      </w:r>
      <w:r w:rsidR="007B4B46">
        <w:rPr>
          <w:rFonts w:ascii="Calibri" w:hAnsi="Calibri" w:cs="Tahoma"/>
          <w:b w:val="0"/>
          <w:i w:val="0"/>
          <w:sz w:val="24"/>
          <w:u w:val="none"/>
        </w:rPr>
        <w:t>option for retirees in addition to the</w:t>
      </w:r>
      <w:r w:rsidR="00E376B5">
        <w:rPr>
          <w:rFonts w:ascii="Calibri" w:hAnsi="Calibri" w:cs="Tahoma"/>
          <w:b w:val="0"/>
          <w:i w:val="0"/>
          <w:sz w:val="24"/>
          <w:u w:val="none"/>
        </w:rPr>
        <w:t xml:space="preserve"> group plan option</w:t>
      </w:r>
      <w:r>
        <w:rPr>
          <w:rFonts w:ascii="Calibri" w:hAnsi="Calibri" w:cs="Tahoma"/>
          <w:b w:val="0"/>
          <w:i w:val="0"/>
          <w:sz w:val="24"/>
          <w:u w:val="none"/>
        </w:rPr>
        <w:t xml:space="preserve"> and 2) investment returns. The total OPEB liability decreased from </w:t>
      </w:r>
      <w:r w:rsidRPr="00790AF8">
        <w:rPr>
          <w:rFonts w:ascii="Calibri" w:hAnsi="Calibri" w:cs="Tahoma"/>
          <w:b w:val="0"/>
          <w:i w:val="0"/>
          <w:sz w:val="24"/>
          <w:u w:val="none"/>
        </w:rPr>
        <w:t xml:space="preserve">$213 million </w:t>
      </w:r>
      <w:r w:rsidR="000A0EA8">
        <w:rPr>
          <w:rFonts w:ascii="Calibri" w:hAnsi="Calibri" w:cs="Tahoma"/>
          <w:b w:val="0"/>
          <w:i w:val="0"/>
          <w:sz w:val="24"/>
          <w:u w:val="none"/>
        </w:rPr>
        <w:t xml:space="preserve">at June 30, 2020 </w:t>
      </w:r>
      <w:r w:rsidRPr="00790AF8">
        <w:rPr>
          <w:rFonts w:ascii="Calibri" w:hAnsi="Calibri" w:cs="Tahoma"/>
          <w:b w:val="0"/>
          <w:i w:val="0"/>
          <w:sz w:val="24"/>
          <w:u w:val="none"/>
        </w:rPr>
        <w:t xml:space="preserve">to $162 million </w:t>
      </w:r>
      <w:r w:rsidR="000A0EA8">
        <w:rPr>
          <w:rFonts w:ascii="Calibri" w:hAnsi="Calibri" w:cs="Tahoma"/>
          <w:b w:val="0"/>
          <w:i w:val="0"/>
          <w:sz w:val="24"/>
          <w:u w:val="none"/>
        </w:rPr>
        <w:t>at June 30, 2021, primarily due to</w:t>
      </w:r>
      <w:r w:rsidR="00965713">
        <w:rPr>
          <w:rFonts w:ascii="Calibri" w:hAnsi="Calibri" w:cs="Tahoma"/>
          <w:b w:val="0"/>
          <w:i w:val="0"/>
          <w:sz w:val="24"/>
          <w:u w:val="none"/>
        </w:rPr>
        <w:t xml:space="preserve"> these two factors</w:t>
      </w:r>
      <w:r>
        <w:rPr>
          <w:rFonts w:ascii="Calibri" w:hAnsi="Calibri" w:cs="Tahoma"/>
          <w:b w:val="0"/>
          <w:i w:val="0"/>
          <w:sz w:val="24"/>
          <w:u w:val="none"/>
        </w:rPr>
        <w:t>.</w:t>
      </w:r>
      <w:r w:rsidR="00797128">
        <w:rPr>
          <w:rFonts w:ascii="Calibri" w:hAnsi="Calibri" w:cs="Tahoma"/>
          <w:b w:val="0"/>
          <w:i w:val="0"/>
          <w:sz w:val="24"/>
          <w:u w:val="none"/>
        </w:rPr>
        <w:t xml:space="preserve"> Assets in the UMS OPEB Trust</w:t>
      </w:r>
      <w:r>
        <w:rPr>
          <w:rFonts w:ascii="Calibri" w:hAnsi="Calibri" w:cs="Tahoma"/>
          <w:b w:val="0"/>
          <w:i w:val="0"/>
          <w:sz w:val="24"/>
          <w:u w:val="none"/>
        </w:rPr>
        <w:t xml:space="preserve"> </w:t>
      </w:r>
      <w:r w:rsidR="007B4B46">
        <w:rPr>
          <w:rFonts w:ascii="Calibri" w:hAnsi="Calibri" w:cs="Tahoma"/>
          <w:b w:val="0"/>
          <w:i w:val="0"/>
          <w:sz w:val="24"/>
          <w:u w:val="none"/>
        </w:rPr>
        <w:t xml:space="preserve">also </w:t>
      </w:r>
      <w:r w:rsidR="00797128">
        <w:rPr>
          <w:rFonts w:ascii="Calibri" w:hAnsi="Calibri" w:cs="Tahoma"/>
          <w:b w:val="0"/>
          <w:i w:val="0"/>
          <w:sz w:val="24"/>
          <w:u w:val="none"/>
        </w:rPr>
        <w:t xml:space="preserve">increased from $137 million at June 30, 2020 to $180 million at June 30, 2021 </w:t>
      </w:r>
      <w:r w:rsidR="007B4B46">
        <w:rPr>
          <w:rFonts w:ascii="Calibri" w:hAnsi="Calibri" w:cs="Tahoma"/>
          <w:b w:val="0"/>
          <w:i w:val="0"/>
          <w:sz w:val="24"/>
          <w:u w:val="none"/>
        </w:rPr>
        <w:t xml:space="preserve">including </w:t>
      </w:r>
      <w:r w:rsidR="00797128">
        <w:rPr>
          <w:rFonts w:ascii="Calibri" w:hAnsi="Calibri" w:cs="Tahoma"/>
          <w:b w:val="0"/>
          <w:i w:val="0"/>
          <w:sz w:val="24"/>
          <w:u w:val="none"/>
        </w:rPr>
        <w:t>$37 million in investment returns.</w:t>
      </w:r>
    </w:p>
    <w:p w14:paraId="5A6E132F" w14:textId="5D56A016" w:rsidR="00B241E7" w:rsidRDefault="00797128">
      <w:pPr>
        <w:pStyle w:val="AFR3"/>
        <w:rPr>
          <w:rFonts w:ascii="Calibri" w:hAnsi="Calibri" w:cs="Tahoma"/>
          <w:b w:val="0"/>
          <w:i w:val="0"/>
          <w:sz w:val="24"/>
          <w:u w:val="none"/>
        </w:rPr>
      </w:pPr>
      <w:r>
        <w:rPr>
          <w:rFonts w:ascii="Calibri" w:hAnsi="Calibri" w:cs="Tahoma"/>
          <w:b w:val="0"/>
          <w:i w:val="0"/>
          <w:sz w:val="24"/>
          <w:u w:val="none"/>
        </w:rPr>
        <w:t xml:space="preserve">For reporting in the System’s </w:t>
      </w:r>
      <w:r w:rsidR="007B4B46">
        <w:rPr>
          <w:rFonts w:ascii="Calibri" w:hAnsi="Calibri" w:cs="Tahoma"/>
          <w:b w:val="0"/>
          <w:i w:val="0"/>
          <w:sz w:val="24"/>
          <w:u w:val="none"/>
        </w:rPr>
        <w:t xml:space="preserve">Condensed </w:t>
      </w:r>
      <w:r>
        <w:rPr>
          <w:rFonts w:ascii="Calibri" w:hAnsi="Calibri" w:cs="Tahoma"/>
          <w:b w:val="0"/>
          <w:i w:val="0"/>
          <w:sz w:val="24"/>
          <w:u w:val="none"/>
        </w:rPr>
        <w:t xml:space="preserve">Statements of Net Position, the total OPEB liability is netted with the value of the UMS OPEB Trust assets. </w:t>
      </w:r>
      <w:r w:rsidR="00B241E7">
        <w:rPr>
          <w:rFonts w:ascii="Calibri" w:hAnsi="Calibri" w:cs="Tahoma"/>
          <w:b w:val="0"/>
          <w:i w:val="0"/>
          <w:sz w:val="24"/>
          <w:u w:val="none"/>
        </w:rPr>
        <w:t>At</w:t>
      </w:r>
      <w:r>
        <w:rPr>
          <w:rFonts w:ascii="Calibri" w:hAnsi="Calibri" w:cs="Tahoma"/>
          <w:b w:val="0"/>
          <w:i w:val="0"/>
          <w:sz w:val="24"/>
          <w:u w:val="none"/>
        </w:rPr>
        <w:t xml:space="preserve"> June 30, 2021, the System had a net OPEB asset of $18 million </w:t>
      </w:r>
      <w:r w:rsidR="00B241E7">
        <w:rPr>
          <w:rFonts w:ascii="Calibri" w:hAnsi="Calibri" w:cs="Tahoma"/>
          <w:b w:val="0"/>
          <w:i w:val="0"/>
          <w:sz w:val="24"/>
          <w:u w:val="none"/>
        </w:rPr>
        <w:t xml:space="preserve">compared with a net OPEB liability of $76 million (a component of </w:t>
      </w:r>
      <w:r w:rsidR="007B4B46">
        <w:rPr>
          <w:rFonts w:ascii="Calibri" w:hAnsi="Calibri" w:cs="Tahoma"/>
          <w:b w:val="0"/>
          <w:i w:val="0"/>
          <w:sz w:val="24"/>
          <w:u w:val="none"/>
        </w:rPr>
        <w:t xml:space="preserve">other </w:t>
      </w:r>
      <w:r w:rsidR="00B241E7">
        <w:rPr>
          <w:rFonts w:ascii="Calibri" w:hAnsi="Calibri" w:cs="Tahoma"/>
          <w:b w:val="0"/>
          <w:i w:val="0"/>
          <w:sz w:val="24"/>
          <w:u w:val="none"/>
        </w:rPr>
        <w:t>noncurrent liabilities) at June 30, 2020.</w:t>
      </w:r>
    </w:p>
    <w:p w14:paraId="543C10A2" w14:textId="76A56044" w:rsidR="00B241E7" w:rsidRDefault="00B241E7">
      <w:pPr>
        <w:pStyle w:val="AFR3"/>
        <w:rPr>
          <w:rFonts w:ascii="Calibri" w:hAnsi="Calibri" w:cs="Tahoma"/>
          <w:b w:val="0"/>
          <w:i w:val="0"/>
          <w:sz w:val="24"/>
          <w:u w:val="none"/>
        </w:rPr>
      </w:pPr>
      <w:r>
        <w:rPr>
          <w:rFonts w:ascii="Calibri" w:hAnsi="Calibri" w:cs="Tahoma"/>
          <w:b w:val="0"/>
          <w:i w:val="0"/>
          <w:sz w:val="24"/>
          <w:u w:val="none"/>
        </w:rPr>
        <w:t xml:space="preserve">Other lines of the </w:t>
      </w:r>
      <w:r w:rsidR="007B4B46">
        <w:rPr>
          <w:rFonts w:ascii="Calibri" w:hAnsi="Calibri" w:cs="Tahoma"/>
          <w:b w:val="0"/>
          <w:i w:val="0"/>
          <w:sz w:val="24"/>
          <w:u w:val="none"/>
        </w:rPr>
        <w:t xml:space="preserve">Condensed </w:t>
      </w:r>
      <w:r>
        <w:rPr>
          <w:rFonts w:ascii="Calibri" w:hAnsi="Calibri" w:cs="Tahoma"/>
          <w:b w:val="0"/>
          <w:i w:val="0"/>
          <w:sz w:val="24"/>
          <w:u w:val="none"/>
        </w:rPr>
        <w:t xml:space="preserve">Statements of Net Position that were significantly </w:t>
      </w:r>
      <w:r w:rsidR="006645B2">
        <w:rPr>
          <w:rFonts w:ascii="Calibri" w:hAnsi="Calibri" w:cs="Tahoma"/>
          <w:b w:val="0"/>
          <w:i w:val="0"/>
          <w:sz w:val="24"/>
          <w:u w:val="none"/>
        </w:rPr>
        <w:t>adjusted by</w:t>
      </w:r>
      <w:r>
        <w:rPr>
          <w:rFonts w:ascii="Calibri" w:hAnsi="Calibri" w:cs="Tahoma"/>
          <w:b w:val="0"/>
          <w:i w:val="0"/>
          <w:sz w:val="24"/>
          <w:u w:val="none"/>
        </w:rPr>
        <w:t xml:space="preserve"> the FY21 actuarial results include the following:</w:t>
      </w:r>
    </w:p>
    <w:p w14:paraId="55346EA4" w14:textId="100F86D2" w:rsidR="00B241E7" w:rsidRDefault="00B241E7" w:rsidP="00790AF8">
      <w:pPr>
        <w:pStyle w:val="AFR3"/>
        <w:numPr>
          <w:ilvl w:val="0"/>
          <w:numId w:val="53"/>
        </w:numPr>
        <w:spacing w:before="120"/>
        <w:rPr>
          <w:rFonts w:ascii="Calibri" w:hAnsi="Calibri" w:cs="Tahoma"/>
          <w:b w:val="0"/>
          <w:i w:val="0"/>
          <w:sz w:val="24"/>
          <w:u w:val="none"/>
        </w:rPr>
      </w:pPr>
      <w:r>
        <w:rPr>
          <w:rFonts w:ascii="Calibri" w:hAnsi="Calibri" w:cs="Tahoma"/>
          <w:b w:val="0"/>
          <w:i w:val="0"/>
          <w:sz w:val="24"/>
          <w:u w:val="none"/>
        </w:rPr>
        <w:t>Deferred outflows of resources associated with the OPEB plan decreased $13 million.</w:t>
      </w:r>
    </w:p>
    <w:p w14:paraId="3EB3D113" w14:textId="736A14CE" w:rsidR="00B241E7" w:rsidRDefault="00B241E7" w:rsidP="00790AF8">
      <w:pPr>
        <w:pStyle w:val="AFR3"/>
        <w:numPr>
          <w:ilvl w:val="0"/>
          <w:numId w:val="53"/>
        </w:numPr>
        <w:spacing w:before="120"/>
        <w:rPr>
          <w:rFonts w:ascii="Calibri" w:hAnsi="Calibri" w:cs="Tahoma"/>
          <w:b w:val="0"/>
          <w:i w:val="0"/>
          <w:sz w:val="24"/>
          <w:u w:val="none"/>
        </w:rPr>
      </w:pPr>
      <w:r>
        <w:rPr>
          <w:rFonts w:ascii="Calibri" w:hAnsi="Calibri" w:cs="Tahoma"/>
          <w:b w:val="0"/>
          <w:i w:val="0"/>
          <w:sz w:val="24"/>
          <w:u w:val="none"/>
        </w:rPr>
        <w:t>Deferred inflows of resources associated with the OPEB plan increased $22 million</w:t>
      </w:r>
      <w:r w:rsidR="006645B2">
        <w:rPr>
          <w:rFonts w:ascii="Calibri" w:hAnsi="Calibri" w:cs="Tahoma"/>
          <w:b w:val="0"/>
          <w:i w:val="0"/>
          <w:sz w:val="24"/>
          <w:u w:val="none"/>
        </w:rPr>
        <w:t>.</w:t>
      </w:r>
    </w:p>
    <w:p w14:paraId="2552D931" w14:textId="0FE49287" w:rsidR="00062873" w:rsidRDefault="00D37FCF" w:rsidP="00E7511E">
      <w:pPr>
        <w:pStyle w:val="AFR3"/>
        <w:rPr>
          <w:rFonts w:ascii="Calibri" w:hAnsi="Calibri" w:cs="Tahoma"/>
          <w:b w:val="0"/>
          <w:i w:val="0"/>
          <w:sz w:val="24"/>
          <w:u w:val="none"/>
        </w:rPr>
      </w:pPr>
      <w:r>
        <w:rPr>
          <w:rFonts w:ascii="Calibri" w:hAnsi="Calibri" w:cs="Tahoma"/>
          <w:b w:val="0"/>
          <w:i w:val="0"/>
          <w:sz w:val="24"/>
          <w:u w:val="none"/>
        </w:rPr>
        <w:t xml:space="preserve">The plan benefit change, of </w:t>
      </w:r>
      <w:r w:rsidR="002742A5">
        <w:rPr>
          <w:rFonts w:ascii="Calibri" w:hAnsi="Calibri" w:cs="Tahoma"/>
          <w:b w:val="0"/>
          <w:i w:val="0"/>
          <w:sz w:val="24"/>
          <w:u w:val="none"/>
        </w:rPr>
        <w:t>offering the Medicare Exchange</w:t>
      </w:r>
      <w:r>
        <w:rPr>
          <w:rFonts w:ascii="Calibri" w:hAnsi="Calibri" w:cs="Tahoma"/>
          <w:b w:val="0"/>
          <w:i w:val="0"/>
          <w:sz w:val="24"/>
          <w:u w:val="none"/>
        </w:rPr>
        <w:t xml:space="preserve"> option, resulted in a $49 million positive impact to the System’s unrestricted net position, restoring a portion</w:t>
      </w:r>
      <w:r w:rsidR="002742A5">
        <w:rPr>
          <w:rFonts w:ascii="Calibri" w:hAnsi="Calibri" w:cs="Tahoma"/>
          <w:b w:val="0"/>
          <w:i w:val="0"/>
          <w:sz w:val="24"/>
          <w:u w:val="none"/>
        </w:rPr>
        <w:t xml:space="preserve"> of the $102 million of unrestricted net position that was lost when the full value of the liability associated with the UMS OPEB Plan was brought into the Statements of Net Position in FY17 as </w:t>
      </w:r>
      <w:r w:rsidR="00650DD2">
        <w:rPr>
          <w:rFonts w:ascii="Calibri" w:hAnsi="Calibri" w:cs="Tahoma"/>
          <w:b w:val="0"/>
          <w:i w:val="0"/>
          <w:sz w:val="24"/>
          <w:u w:val="none"/>
        </w:rPr>
        <w:t xml:space="preserve">the System adopted </w:t>
      </w:r>
      <w:r w:rsidR="002742A5">
        <w:rPr>
          <w:rFonts w:ascii="Calibri" w:hAnsi="Calibri" w:cs="Tahoma"/>
          <w:b w:val="0"/>
          <w:i w:val="0"/>
          <w:sz w:val="24"/>
          <w:u w:val="none"/>
        </w:rPr>
        <w:t xml:space="preserve">GASB No. 75, </w:t>
      </w:r>
      <w:r w:rsidR="00650DD2" w:rsidRPr="00790AF8">
        <w:rPr>
          <w:rFonts w:ascii="Calibri" w:hAnsi="Calibri" w:cs="Tahoma"/>
          <w:b w:val="0"/>
          <w:sz w:val="24"/>
          <w:u w:val="none"/>
        </w:rPr>
        <w:t>Accounting and Financial Reporting for Postemployment Benefits Other than Pensions</w:t>
      </w:r>
      <w:r w:rsidR="00650DD2">
        <w:rPr>
          <w:rFonts w:ascii="Calibri" w:hAnsi="Calibri" w:cs="Tahoma"/>
          <w:b w:val="0"/>
          <w:i w:val="0"/>
          <w:sz w:val="24"/>
          <w:u w:val="none"/>
        </w:rPr>
        <w:t>.</w:t>
      </w:r>
    </w:p>
    <w:p w14:paraId="6BCE53B5" w14:textId="77777777" w:rsidR="006140D5" w:rsidRDefault="006140D5">
      <w:pPr>
        <w:spacing w:after="160" w:line="259" w:lineRule="auto"/>
        <w:rPr>
          <w:b/>
          <w:i/>
          <w:sz w:val="26"/>
          <w:u w:val="single" w:color="000000" w:themeColor="text1"/>
        </w:rPr>
      </w:pPr>
      <w:r>
        <w:br w:type="page"/>
      </w:r>
    </w:p>
    <w:p w14:paraId="69370C54" w14:textId="2C4EF308" w:rsidR="00E7511E" w:rsidRDefault="00E7511E" w:rsidP="00E7511E">
      <w:pPr>
        <w:pStyle w:val="AFR3"/>
      </w:pPr>
      <w:r>
        <w:lastRenderedPageBreak/>
        <w:t>Overview of Condensed Statements of Net Position</w:t>
      </w:r>
    </w:p>
    <w:p w14:paraId="7FE0DF02" w14:textId="777216D2" w:rsidR="00E7511E" w:rsidRPr="005205E4" w:rsidRDefault="00E7511E" w:rsidP="00E7511E">
      <w:pPr>
        <w:rPr>
          <w:rFonts w:ascii="Calibri" w:hAnsi="Calibri" w:cs="Tahoma"/>
          <w:sz w:val="24"/>
        </w:rPr>
      </w:pPr>
      <w:r>
        <w:rPr>
          <w:rFonts w:ascii="Calibri" w:hAnsi="Calibri" w:cs="Tahoma"/>
          <w:sz w:val="24"/>
        </w:rPr>
        <w:t xml:space="preserve">As shown in Table 3, assets and liabilities are classified as current or noncurrent.  Current assets are available to satisfy current liabilities, which in turn are those amounts expected to be payable within the next year. Total assets and deferred outflows of resources </w:t>
      </w:r>
      <w:r w:rsidRPr="005205E4">
        <w:rPr>
          <w:rFonts w:ascii="Calibri" w:hAnsi="Calibri" w:cs="Tahoma"/>
          <w:sz w:val="24"/>
        </w:rPr>
        <w:t xml:space="preserve">of </w:t>
      </w:r>
      <w:r w:rsidRPr="00A316AD">
        <w:rPr>
          <w:rFonts w:ascii="Calibri" w:hAnsi="Calibri" w:cs="Tahoma"/>
          <w:sz w:val="24"/>
        </w:rPr>
        <w:t>$1.</w:t>
      </w:r>
      <w:r w:rsidR="005205E4" w:rsidRPr="00A316AD">
        <w:rPr>
          <w:rFonts w:ascii="Calibri" w:hAnsi="Calibri" w:cs="Tahoma"/>
          <w:sz w:val="24"/>
        </w:rPr>
        <w:t>3</w:t>
      </w:r>
      <w:r w:rsidR="00B059A2">
        <w:rPr>
          <w:rFonts w:ascii="Calibri" w:hAnsi="Calibri" w:cs="Tahoma"/>
          <w:sz w:val="24"/>
        </w:rPr>
        <w:t>2</w:t>
      </w:r>
      <w:r w:rsidR="002E46E5">
        <w:rPr>
          <w:rFonts w:ascii="Calibri" w:hAnsi="Calibri" w:cs="Tahoma"/>
          <w:sz w:val="24"/>
        </w:rPr>
        <w:t>7</w:t>
      </w:r>
      <w:r w:rsidRPr="005205E4">
        <w:rPr>
          <w:rFonts w:ascii="Calibri" w:hAnsi="Calibri" w:cs="Tahoma"/>
          <w:sz w:val="24"/>
        </w:rPr>
        <w:t xml:space="preserve"> billion </w:t>
      </w:r>
      <w:r>
        <w:rPr>
          <w:rFonts w:ascii="Calibri" w:hAnsi="Calibri" w:cs="Tahoma"/>
          <w:sz w:val="24"/>
        </w:rPr>
        <w:t xml:space="preserve">at June 30, </w:t>
      </w:r>
      <w:r w:rsidRPr="005205E4">
        <w:rPr>
          <w:rFonts w:ascii="Calibri" w:hAnsi="Calibri" w:cs="Tahoma"/>
          <w:sz w:val="24"/>
        </w:rPr>
        <w:t>202</w:t>
      </w:r>
      <w:r w:rsidR="00D81932" w:rsidRPr="005205E4">
        <w:rPr>
          <w:rFonts w:ascii="Calibri" w:hAnsi="Calibri" w:cs="Tahoma"/>
          <w:sz w:val="24"/>
        </w:rPr>
        <w:t>1</w:t>
      </w:r>
      <w:r w:rsidRPr="005205E4">
        <w:rPr>
          <w:rFonts w:ascii="Calibri" w:hAnsi="Calibri" w:cs="Tahoma"/>
          <w:sz w:val="24"/>
        </w:rPr>
        <w:t xml:space="preserve">, </w:t>
      </w:r>
      <w:r w:rsidRPr="00A316AD">
        <w:rPr>
          <w:rFonts w:ascii="Calibri" w:hAnsi="Calibri" w:cs="Tahoma"/>
          <w:sz w:val="24"/>
        </w:rPr>
        <w:t>increased</w:t>
      </w:r>
      <w:r w:rsidRPr="005205E4">
        <w:rPr>
          <w:rFonts w:ascii="Calibri" w:hAnsi="Calibri" w:cs="Tahoma"/>
          <w:sz w:val="24"/>
        </w:rPr>
        <w:t xml:space="preserve"> </w:t>
      </w:r>
      <w:r w:rsidRPr="00A316AD">
        <w:rPr>
          <w:rFonts w:ascii="Calibri" w:hAnsi="Calibri" w:cs="Tahoma"/>
          <w:sz w:val="24"/>
        </w:rPr>
        <w:t>$</w:t>
      </w:r>
      <w:r w:rsidR="002E46E5">
        <w:rPr>
          <w:rFonts w:ascii="Calibri" w:hAnsi="Calibri" w:cs="Tahoma"/>
          <w:sz w:val="24"/>
        </w:rPr>
        <w:t>105</w:t>
      </w:r>
      <w:r w:rsidRPr="005205E4">
        <w:rPr>
          <w:rFonts w:ascii="Calibri" w:hAnsi="Calibri" w:cs="Tahoma"/>
          <w:sz w:val="24"/>
        </w:rPr>
        <w:t xml:space="preserve"> million, or </w:t>
      </w:r>
      <w:r w:rsidR="002E46E5">
        <w:rPr>
          <w:rFonts w:ascii="Calibri" w:hAnsi="Calibri" w:cs="Tahoma"/>
          <w:sz w:val="24"/>
        </w:rPr>
        <w:t>9</w:t>
      </w:r>
      <w:r w:rsidRPr="00A316AD">
        <w:rPr>
          <w:rFonts w:ascii="Calibri" w:hAnsi="Calibri" w:cs="Tahoma"/>
          <w:sz w:val="24"/>
        </w:rPr>
        <w:t>%</w:t>
      </w:r>
      <w:r w:rsidRPr="005205E4">
        <w:rPr>
          <w:rFonts w:ascii="Calibri" w:hAnsi="Calibri" w:cs="Tahoma"/>
          <w:sz w:val="24"/>
        </w:rPr>
        <w:t xml:space="preserve"> over the prior year.</w:t>
      </w:r>
    </w:p>
    <w:p w14:paraId="70D85087" w14:textId="77777777" w:rsidR="00E7511E" w:rsidRPr="00DE50BF" w:rsidRDefault="00E7511E" w:rsidP="00E7511E">
      <w:pPr>
        <w:rPr>
          <w:rFonts w:cstheme="minorHAnsi"/>
          <w:sz w:val="20"/>
          <w:szCs w:val="20"/>
        </w:rPr>
      </w:pPr>
    </w:p>
    <w:p w14:paraId="35962E2D" w14:textId="4159F4CC" w:rsidR="00E7511E" w:rsidRDefault="00E7511E" w:rsidP="00E7511E">
      <w:pPr>
        <w:rPr>
          <w:rFonts w:ascii="Calibri" w:eastAsia="Times New Roman" w:hAnsi="Calibri" w:cs="Tahoma"/>
          <w:sz w:val="24"/>
        </w:rPr>
      </w:pPr>
      <w:r>
        <w:rPr>
          <w:rFonts w:ascii="Calibri" w:hAnsi="Calibri" w:cs="Tahoma"/>
          <w:sz w:val="24"/>
        </w:rPr>
        <w:t xml:space="preserve">The major component of current assets is operating investments, which </w:t>
      </w:r>
      <w:r w:rsidRPr="005205E4">
        <w:rPr>
          <w:rFonts w:ascii="Calibri" w:hAnsi="Calibri" w:cs="Tahoma"/>
          <w:sz w:val="24"/>
        </w:rPr>
        <w:t xml:space="preserve">totaled </w:t>
      </w:r>
      <w:r w:rsidRPr="00E239E3">
        <w:rPr>
          <w:rFonts w:ascii="Calibri" w:hAnsi="Calibri" w:cs="Tahoma"/>
          <w:sz w:val="24"/>
        </w:rPr>
        <w:t>$2</w:t>
      </w:r>
      <w:r w:rsidR="005205E4" w:rsidRPr="00E239E3">
        <w:rPr>
          <w:rFonts w:ascii="Calibri" w:hAnsi="Calibri" w:cs="Tahoma"/>
          <w:sz w:val="24"/>
        </w:rPr>
        <w:t>86</w:t>
      </w:r>
      <w:r w:rsidRPr="005205E4">
        <w:rPr>
          <w:rFonts w:ascii="Calibri" w:hAnsi="Calibri" w:cs="Tahoma"/>
          <w:sz w:val="24"/>
        </w:rPr>
        <w:t xml:space="preserve"> million </w:t>
      </w:r>
      <w:r>
        <w:rPr>
          <w:rFonts w:ascii="Calibri" w:hAnsi="Calibri" w:cs="Tahoma"/>
          <w:sz w:val="24"/>
        </w:rPr>
        <w:t>at June 30, 202</w:t>
      </w:r>
      <w:r w:rsidR="00D81932">
        <w:rPr>
          <w:rFonts w:ascii="Calibri" w:hAnsi="Calibri" w:cs="Tahoma"/>
          <w:sz w:val="24"/>
        </w:rPr>
        <w:t>1</w:t>
      </w:r>
      <w:r>
        <w:rPr>
          <w:rFonts w:ascii="Calibri" w:hAnsi="Calibri" w:cs="Tahoma"/>
          <w:sz w:val="24"/>
        </w:rPr>
        <w:t xml:space="preserve"> and $</w:t>
      </w:r>
      <w:r w:rsidR="00D81932">
        <w:rPr>
          <w:rFonts w:ascii="Calibri" w:hAnsi="Calibri" w:cs="Tahoma"/>
          <w:sz w:val="24"/>
        </w:rPr>
        <w:t>264</w:t>
      </w:r>
      <w:r>
        <w:rPr>
          <w:rFonts w:ascii="Calibri" w:hAnsi="Calibri" w:cs="Tahoma"/>
          <w:sz w:val="24"/>
        </w:rPr>
        <w:t xml:space="preserve"> million at June 30, 20</w:t>
      </w:r>
      <w:r w:rsidR="00D81932">
        <w:rPr>
          <w:rFonts w:ascii="Calibri" w:hAnsi="Calibri" w:cs="Tahoma"/>
          <w:sz w:val="24"/>
        </w:rPr>
        <w:t>20</w:t>
      </w:r>
      <w:r>
        <w:rPr>
          <w:rFonts w:ascii="Calibri" w:hAnsi="Calibri" w:cs="Tahoma"/>
          <w:sz w:val="24"/>
        </w:rPr>
        <w:t xml:space="preserve">. </w:t>
      </w:r>
      <w:r>
        <w:rPr>
          <w:rFonts w:ascii="Calibri" w:eastAsia="Times New Roman" w:hAnsi="Calibri" w:cs="Tahoma"/>
          <w:sz w:val="24"/>
        </w:rPr>
        <w:t xml:space="preserve">Noncurrent assets consist mainly of endowment investments and capital assets, net of depreciation. Endowment investments totaled </w:t>
      </w:r>
      <w:r w:rsidRPr="00E239E3">
        <w:rPr>
          <w:rFonts w:ascii="Calibri" w:eastAsia="Times New Roman" w:hAnsi="Calibri" w:cs="Tahoma"/>
          <w:sz w:val="24"/>
        </w:rPr>
        <w:t>$</w:t>
      </w:r>
      <w:r w:rsidR="005205E4" w:rsidRPr="00E239E3">
        <w:rPr>
          <w:rFonts w:ascii="Calibri" w:eastAsia="Times New Roman" w:hAnsi="Calibri" w:cs="Tahoma"/>
          <w:sz w:val="24"/>
        </w:rPr>
        <w:t>166</w:t>
      </w:r>
      <w:r w:rsidRPr="00E239E3">
        <w:rPr>
          <w:rFonts w:ascii="Calibri" w:eastAsia="Times New Roman" w:hAnsi="Calibri" w:cs="Tahoma"/>
          <w:sz w:val="24"/>
        </w:rPr>
        <w:t xml:space="preserve"> million at June 30, 202</w:t>
      </w:r>
      <w:r w:rsidR="00D81932" w:rsidRPr="00E239E3">
        <w:rPr>
          <w:rFonts w:ascii="Calibri" w:eastAsia="Times New Roman" w:hAnsi="Calibri" w:cs="Tahoma"/>
          <w:sz w:val="24"/>
        </w:rPr>
        <w:t>1</w:t>
      </w:r>
      <w:r w:rsidRPr="00E239E3">
        <w:rPr>
          <w:rFonts w:ascii="Calibri" w:eastAsia="Times New Roman" w:hAnsi="Calibri" w:cs="Tahoma"/>
          <w:sz w:val="24"/>
        </w:rPr>
        <w:t>, a</w:t>
      </w:r>
      <w:r w:rsidR="005205E4" w:rsidRPr="00E239E3">
        <w:rPr>
          <w:rFonts w:ascii="Calibri" w:eastAsia="Times New Roman" w:hAnsi="Calibri" w:cs="Tahoma"/>
          <w:sz w:val="24"/>
        </w:rPr>
        <w:t>n</w:t>
      </w:r>
      <w:r w:rsidRPr="00E239E3">
        <w:rPr>
          <w:rFonts w:ascii="Calibri" w:eastAsia="Times New Roman" w:hAnsi="Calibri" w:cs="Tahoma"/>
          <w:sz w:val="24"/>
        </w:rPr>
        <w:t xml:space="preserve"> </w:t>
      </w:r>
      <w:r w:rsidR="005205E4" w:rsidRPr="00E239E3">
        <w:rPr>
          <w:rFonts w:ascii="Calibri" w:eastAsia="Times New Roman" w:hAnsi="Calibri" w:cs="Tahoma"/>
          <w:sz w:val="24"/>
        </w:rPr>
        <w:t>increase</w:t>
      </w:r>
      <w:r w:rsidRPr="00E239E3">
        <w:rPr>
          <w:rFonts w:ascii="Calibri" w:eastAsia="Times New Roman" w:hAnsi="Calibri" w:cs="Tahoma"/>
          <w:sz w:val="24"/>
        </w:rPr>
        <w:t xml:space="preserve"> of $</w:t>
      </w:r>
      <w:r w:rsidR="00D37859" w:rsidRPr="00E239E3">
        <w:rPr>
          <w:rFonts w:ascii="Calibri" w:eastAsia="Times New Roman" w:hAnsi="Calibri" w:cs="Tahoma"/>
          <w:sz w:val="24"/>
        </w:rPr>
        <w:t>31</w:t>
      </w:r>
      <w:r w:rsidRPr="00E239E3">
        <w:rPr>
          <w:rFonts w:ascii="Calibri" w:eastAsia="Times New Roman" w:hAnsi="Calibri" w:cs="Tahoma"/>
          <w:sz w:val="24"/>
        </w:rPr>
        <w:t xml:space="preserve"> million, or </w:t>
      </w:r>
      <w:r w:rsidR="00D37859" w:rsidRPr="00E239E3">
        <w:rPr>
          <w:rFonts w:ascii="Calibri" w:eastAsia="Times New Roman" w:hAnsi="Calibri" w:cs="Tahoma"/>
          <w:sz w:val="24"/>
        </w:rPr>
        <w:t>23</w:t>
      </w:r>
      <w:r w:rsidRPr="00E239E3">
        <w:rPr>
          <w:rFonts w:ascii="Calibri" w:eastAsia="Times New Roman" w:hAnsi="Calibri" w:cs="Tahoma"/>
          <w:sz w:val="24"/>
        </w:rPr>
        <w:t xml:space="preserve">%, from </w:t>
      </w:r>
      <w:r>
        <w:rPr>
          <w:rFonts w:ascii="Calibri" w:eastAsia="Times New Roman" w:hAnsi="Calibri" w:cs="Tahoma"/>
          <w:sz w:val="24"/>
        </w:rPr>
        <w:t>the FY</w:t>
      </w:r>
      <w:r w:rsidR="00D81932">
        <w:rPr>
          <w:rFonts w:ascii="Calibri" w:eastAsia="Times New Roman" w:hAnsi="Calibri" w:cs="Tahoma"/>
          <w:sz w:val="24"/>
        </w:rPr>
        <w:t>20</w:t>
      </w:r>
      <w:r>
        <w:rPr>
          <w:rFonts w:ascii="Calibri" w:eastAsia="Times New Roman" w:hAnsi="Calibri" w:cs="Tahoma"/>
          <w:sz w:val="24"/>
        </w:rPr>
        <w:t xml:space="preserve"> year-end balance of </w:t>
      </w:r>
      <w:r w:rsidRPr="00E239E3">
        <w:rPr>
          <w:rFonts w:ascii="Calibri" w:eastAsia="Times New Roman" w:hAnsi="Calibri" w:cs="Tahoma"/>
          <w:sz w:val="24"/>
        </w:rPr>
        <w:t>$</w:t>
      </w:r>
      <w:r w:rsidR="00D37859">
        <w:rPr>
          <w:rFonts w:ascii="Calibri" w:eastAsia="Times New Roman" w:hAnsi="Calibri" w:cs="Tahoma"/>
          <w:sz w:val="24"/>
        </w:rPr>
        <w:t>135</w:t>
      </w:r>
      <w:r w:rsidRPr="00CA1110">
        <w:rPr>
          <w:rFonts w:ascii="Calibri" w:eastAsia="Times New Roman" w:hAnsi="Calibri" w:cs="Tahoma"/>
          <w:sz w:val="24"/>
        </w:rPr>
        <w:t xml:space="preserve"> </w:t>
      </w:r>
      <w:r>
        <w:rPr>
          <w:rFonts w:ascii="Calibri" w:eastAsia="Times New Roman" w:hAnsi="Calibri" w:cs="Tahoma"/>
          <w:sz w:val="24"/>
        </w:rPr>
        <w:t>million</w:t>
      </w:r>
      <w:r w:rsidR="00EF2168">
        <w:rPr>
          <w:rFonts w:ascii="Calibri" w:eastAsia="Times New Roman" w:hAnsi="Calibri" w:cs="Tahoma"/>
          <w:sz w:val="24"/>
        </w:rPr>
        <w:t>, and a $28 million, or 20%, increase from FY19</w:t>
      </w:r>
      <w:r w:rsidR="007F32C5">
        <w:rPr>
          <w:rFonts w:ascii="Calibri" w:eastAsia="Times New Roman" w:hAnsi="Calibri" w:cs="Tahoma"/>
          <w:sz w:val="24"/>
        </w:rPr>
        <w:t>.</w:t>
      </w:r>
      <w:r>
        <w:rPr>
          <w:rFonts w:ascii="Calibri" w:eastAsia="Times New Roman" w:hAnsi="Calibri" w:cs="Tahoma"/>
          <w:sz w:val="24"/>
        </w:rPr>
        <w:t xml:space="preserve"> Capital assets net of accumulated depreciation totaled </w:t>
      </w:r>
      <w:r w:rsidRPr="00E239E3">
        <w:rPr>
          <w:rFonts w:ascii="Calibri" w:eastAsia="Times New Roman" w:hAnsi="Calibri" w:cs="Tahoma"/>
          <w:sz w:val="24"/>
        </w:rPr>
        <w:t>$</w:t>
      </w:r>
      <w:r w:rsidR="00D37859" w:rsidRPr="00E239E3">
        <w:rPr>
          <w:rFonts w:ascii="Calibri" w:eastAsia="Times New Roman" w:hAnsi="Calibri" w:cs="Tahoma"/>
          <w:sz w:val="24"/>
        </w:rPr>
        <w:t>689</w:t>
      </w:r>
      <w:r w:rsidRPr="00D37859">
        <w:rPr>
          <w:rFonts w:ascii="Calibri" w:eastAsia="Times New Roman" w:hAnsi="Calibri" w:cs="Tahoma"/>
          <w:sz w:val="24"/>
        </w:rPr>
        <w:t xml:space="preserve"> </w:t>
      </w:r>
      <w:r>
        <w:rPr>
          <w:rFonts w:ascii="Calibri" w:eastAsia="Times New Roman" w:hAnsi="Calibri" w:cs="Tahoma"/>
          <w:sz w:val="24"/>
        </w:rPr>
        <w:t xml:space="preserve">million and </w:t>
      </w:r>
      <w:r w:rsidRPr="00B946D7">
        <w:rPr>
          <w:rFonts w:ascii="Calibri" w:eastAsia="Times New Roman" w:hAnsi="Calibri" w:cs="Tahoma"/>
          <w:sz w:val="24"/>
        </w:rPr>
        <w:t>$68</w:t>
      </w:r>
      <w:r w:rsidR="00D81932" w:rsidRPr="00162FC5">
        <w:rPr>
          <w:rFonts w:ascii="Calibri" w:eastAsia="Times New Roman" w:hAnsi="Calibri" w:cs="Tahoma"/>
          <w:sz w:val="24"/>
        </w:rPr>
        <w:t>3</w:t>
      </w:r>
      <w:r w:rsidRPr="00B946D7">
        <w:rPr>
          <w:rFonts w:ascii="Calibri" w:eastAsia="Times New Roman" w:hAnsi="Calibri" w:cs="Tahoma"/>
          <w:sz w:val="24"/>
        </w:rPr>
        <w:t xml:space="preserve"> </w:t>
      </w:r>
      <w:r>
        <w:rPr>
          <w:rFonts w:ascii="Calibri" w:eastAsia="Times New Roman" w:hAnsi="Calibri" w:cs="Tahoma"/>
          <w:sz w:val="24"/>
        </w:rPr>
        <w:t>million at June 30, 202</w:t>
      </w:r>
      <w:r w:rsidR="00D81932">
        <w:rPr>
          <w:rFonts w:ascii="Calibri" w:eastAsia="Times New Roman" w:hAnsi="Calibri" w:cs="Tahoma"/>
          <w:sz w:val="24"/>
        </w:rPr>
        <w:t>1</w:t>
      </w:r>
      <w:r>
        <w:rPr>
          <w:rFonts w:ascii="Calibri" w:eastAsia="Times New Roman" w:hAnsi="Calibri" w:cs="Tahoma"/>
          <w:sz w:val="24"/>
        </w:rPr>
        <w:t xml:space="preserve"> and 20</w:t>
      </w:r>
      <w:r w:rsidR="00D81932">
        <w:rPr>
          <w:rFonts w:ascii="Calibri" w:eastAsia="Times New Roman" w:hAnsi="Calibri" w:cs="Tahoma"/>
          <w:sz w:val="24"/>
        </w:rPr>
        <w:t>20</w:t>
      </w:r>
      <w:r>
        <w:rPr>
          <w:rFonts w:ascii="Calibri" w:eastAsia="Times New Roman" w:hAnsi="Calibri" w:cs="Tahoma"/>
          <w:sz w:val="24"/>
        </w:rPr>
        <w:t>, respectively.</w:t>
      </w:r>
    </w:p>
    <w:p w14:paraId="5D7633CF" w14:textId="77777777" w:rsidR="00E7511E" w:rsidRPr="00DE50BF" w:rsidRDefault="00E7511E" w:rsidP="00E7511E">
      <w:pPr>
        <w:ind w:left="360"/>
        <w:rPr>
          <w:rFonts w:cstheme="minorHAnsi"/>
          <w:sz w:val="20"/>
          <w:szCs w:val="20"/>
        </w:rPr>
      </w:pPr>
    </w:p>
    <w:p w14:paraId="1AAE86A2" w14:textId="2987AB67" w:rsidR="00E7511E" w:rsidRDefault="00E7511E" w:rsidP="00E7511E">
      <w:pPr>
        <w:rPr>
          <w:rFonts w:ascii="Calibri" w:hAnsi="Calibri" w:cs="Tahoma"/>
          <w:sz w:val="24"/>
        </w:rPr>
      </w:pPr>
      <w:r>
        <w:rPr>
          <w:rFonts w:ascii="Calibri" w:hAnsi="Calibri" w:cs="Tahoma"/>
          <w:sz w:val="24"/>
        </w:rPr>
        <w:t xml:space="preserve">Current liabilities of </w:t>
      </w:r>
      <w:r w:rsidR="00D37859">
        <w:rPr>
          <w:rFonts w:ascii="Calibri" w:hAnsi="Calibri" w:cs="Tahoma"/>
          <w:sz w:val="24"/>
        </w:rPr>
        <w:t>$97</w:t>
      </w:r>
      <w:r>
        <w:rPr>
          <w:rFonts w:ascii="Calibri" w:hAnsi="Calibri" w:cs="Tahoma"/>
          <w:sz w:val="24"/>
        </w:rPr>
        <w:t xml:space="preserve"> million and </w:t>
      </w:r>
      <w:r w:rsidR="00D37859">
        <w:rPr>
          <w:rFonts w:ascii="Calibri" w:hAnsi="Calibri" w:cs="Tahoma"/>
          <w:sz w:val="24"/>
        </w:rPr>
        <w:t>$73</w:t>
      </w:r>
      <w:r>
        <w:rPr>
          <w:rFonts w:ascii="Calibri" w:hAnsi="Calibri" w:cs="Tahoma"/>
          <w:sz w:val="24"/>
        </w:rPr>
        <w:t xml:space="preserve"> million at June 30, 202</w:t>
      </w:r>
      <w:r w:rsidR="00D81932">
        <w:rPr>
          <w:rFonts w:ascii="Calibri" w:hAnsi="Calibri" w:cs="Tahoma"/>
          <w:sz w:val="24"/>
        </w:rPr>
        <w:t>1</w:t>
      </w:r>
      <w:r>
        <w:rPr>
          <w:rFonts w:ascii="Calibri" w:hAnsi="Calibri" w:cs="Tahoma"/>
          <w:sz w:val="24"/>
        </w:rPr>
        <w:t xml:space="preserve"> and 20</w:t>
      </w:r>
      <w:r w:rsidR="00D81932">
        <w:rPr>
          <w:rFonts w:ascii="Calibri" w:hAnsi="Calibri" w:cs="Tahoma"/>
          <w:sz w:val="24"/>
        </w:rPr>
        <w:t>20</w:t>
      </w:r>
      <w:r>
        <w:rPr>
          <w:rFonts w:ascii="Calibri" w:hAnsi="Calibri" w:cs="Tahoma"/>
          <w:sz w:val="24"/>
        </w:rPr>
        <w:t>, respectively, consist primarily of accounts payable and various accrued liabilities including those for the System’s health</w:t>
      </w:r>
      <w:r w:rsidR="00EF2168">
        <w:rPr>
          <w:rFonts w:ascii="Calibri" w:hAnsi="Calibri" w:cs="Tahoma"/>
          <w:sz w:val="24"/>
        </w:rPr>
        <w:t>care claims</w:t>
      </w:r>
      <w:r>
        <w:rPr>
          <w:rFonts w:ascii="Calibri" w:hAnsi="Calibri" w:cs="Tahoma"/>
          <w:sz w:val="24"/>
        </w:rPr>
        <w:t xml:space="preserve">, </w:t>
      </w:r>
      <w:r w:rsidR="00EF2168">
        <w:rPr>
          <w:rFonts w:ascii="Calibri" w:hAnsi="Calibri" w:cs="Tahoma"/>
          <w:sz w:val="24"/>
        </w:rPr>
        <w:t xml:space="preserve">defined contribution </w:t>
      </w:r>
      <w:r>
        <w:rPr>
          <w:rFonts w:ascii="Calibri" w:hAnsi="Calibri" w:cs="Tahoma"/>
          <w:sz w:val="24"/>
        </w:rPr>
        <w:t>retirement plan</w:t>
      </w:r>
      <w:r w:rsidR="00EF2168">
        <w:rPr>
          <w:rFonts w:ascii="Calibri" w:hAnsi="Calibri" w:cs="Tahoma"/>
          <w:sz w:val="24"/>
        </w:rPr>
        <w:t xml:space="preserve"> and payroll taxes</w:t>
      </w:r>
      <w:r>
        <w:rPr>
          <w:rFonts w:ascii="Calibri" w:hAnsi="Calibri" w:cs="Tahoma"/>
          <w:sz w:val="24"/>
        </w:rPr>
        <w:t>. Impacts to accounts payable and accrued liabilities include the timing of the last check cycle for the fiscal year, the level of construction activity in progress, and budget constraints.</w:t>
      </w:r>
    </w:p>
    <w:p w14:paraId="346FC70D" w14:textId="77777777" w:rsidR="00E7511E" w:rsidRPr="00DE50BF" w:rsidRDefault="00E7511E" w:rsidP="00E7511E">
      <w:pPr>
        <w:ind w:left="360"/>
        <w:rPr>
          <w:rFonts w:cstheme="minorHAnsi"/>
          <w:sz w:val="20"/>
          <w:szCs w:val="20"/>
        </w:rPr>
      </w:pPr>
    </w:p>
    <w:p w14:paraId="3F33FB2A" w14:textId="2C39A847" w:rsidR="00E7511E" w:rsidRDefault="00E7511E" w:rsidP="00E7511E">
      <w:pPr>
        <w:rPr>
          <w:rFonts w:ascii="Calibri" w:eastAsia="Times New Roman" w:hAnsi="Calibri" w:cs="Tahoma"/>
          <w:bCs/>
          <w:sz w:val="24"/>
          <w:szCs w:val="20"/>
        </w:rPr>
      </w:pPr>
      <w:r>
        <w:rPr>
          <w:rFonts w:ascii="Calibri" w:eastAsia="Times New Roman" w:hAnsi="Calibri" w:cs="Tahoma"/>
          <w:sz w:val="24"/>
        </w:rPr>
        <w:t xml:space="preserve">At </w:t>
      </w:r>
      <w:r w:rsidR="00D37859">
        <w:rPr>
          <w:rFonts w:ascii="Calibri" w:eastAsia="Times New Roman" w:hAnsi="Calibri" w:cs="Tahoma"/>
          <w:sz w:val="24"/>
        </w:rPr>
        <w:t>$</w:t>
      </w:r>
      <w:r w:rsidR="00826561">
        <w:rPr>
          <w:rFonts w:ascii="Calibri" w:eastAsia="Times New Roman" w:hAnsi="Calibri" w:cs="Tahoma"/>
          <w:sz w:val="24"/>
        </w:rPr>
        <w:t>227</w:t>
      </w:r>
      <w:r>
        <w:rPr>
          <w:rFonts w:ascii="Calibri" w:eastAsia="Times New Roman" w:hAnsi="Calibri" w:cs="Tahoma"/>
          <w:sz w:val="24"/>
        </w:rPr>
        <w:t xml:space="preserve"> million, total noncurrent liabilities</w:t>
      </w:r>
      <w:r w:rsidRPr="00162FC5">
        <w:rPr>
          <w:rFonts w:ascii="Calibri" w:eastAsia="Times New Roman" w:hAnsi="Calibri" w:cs="Tahoma"/>
          <w:color w:val="FF0000"/>
          <w:sz w:val="24"/>
        </w:rPr>
        <w:t xml:space="preserve"> </w:t>
      </w:r>
      <w:r w:rsidR="00826561" w:rsidRPr="00A316AD">
        <w:rPr>
          <w:rFonts w:ascii="Calibri" w:eastAsia="Times New Roman" w:hAnsi="Calibri" w:cs="Tahoma"/>
          <w:sz w:val="24"/>
        </w:rPr>
        <w:t>de</w:t>
      </w:r>
      <w:r w:rsidRPr="00E239E3">
        <w:rPr>
          <w:rFonts w:ascii="Calibri" w:eastAsia="Times New Roman" w:hAnsi="Calibri" w:cs="Tahoma"/>
          <w:sz w:val="24"/>
        </w:rPr>
        <w:t xml:space="preserve">creased </w:t>
      </w:r>
      <w:r w:rsidR="00D37859" w:rsidRPr="00E239E3">
        <w:rPr>
          <w:rFonts w:ascii="Calibri" w:eastAsia="Times New Roman" w:hAnsi="Calibri" w:cs="Tahoma"/>
          <w:sz w:val="24"/>
        </w:rPr>
        <w:t>$</w:t>
      </w:r>
      <w:r w:rsidR="00826561">
        <w:rPr>
          <w:rFonts w:ascii="Calibri" w:eastAsia="Times New Roman" w:hAnsi="Calibri" w:cs="Tahoma"/>
          <w:sz w:val="24"/>
        </w:rPr>
        <w:t>53</w:t>
      </w:r>
      <w:r w:rsidRPr="00D37859">
        <w:rPr>
          <w:rFonts w:ascii="Calibri" w:eastAsia="Times New Roman" w:hAnsi="Calibri" w:cs="Tahoma"/>
          <w:sz w:val="24"/>
        </w:rPr>
        <w:t xml:space="preserve"> </w:t>
      </w:r>
      <w:r>
        <w:rPr>
          <w:rFonts w:ascii="Calibri" w:eastAsia="Times New Roman" w:hAnsi="Calibri" w:cs="Tahoma"/>
          <w:sz w:val="24"/>
        </w:rPr>
        <w:t xml:space="preserve">million, or </w:t>
      </w:r>
      <w:r w:rsidR="00826561">
        <w:rPr>
          <w:rFonts w:ascii="Calibri" w:eastAsia="Times New Roman" w:hAnsi="Calibri" w:cs="Tahoma"/>
          <w:sz w:val="24"/>
        </w:rPr>
        <w:t>19</w:t>
      </w:r>
      <w:r w:rsidRPr="00E239E3">
        <w:rPr>
          <w:rFonts w:ascii="Calibri" w:eastAsia="Times New Roman" w:hAnsi="Calibri" w:cs="Tahoma"/>
          <w:sz w:val="24"/>
        </w:rPr>
        <w:t>%</w:t>
      </w:r>
      <w:r>
        <w:rPr>
          <w:rFonts w:ascii="Calibri" w:eastAsia="Times New Roman" w:hAnsi="Calibri" w:cs="Tahoma"/>
          <w:sz w:val="24"/>
        </w:rPr>
        <w:t>, from June 30, 20</w:t>
      </w:r>
      <w:r w:rsidR="00D81932">
        <w:rPr>
          <w:rFonts w:ascii="Calibri" w:eastAsia="Times New Roman" w:hAnsi="Calibri" w:cs="Tahoma"/>
          <w:sz w:val="24"/>
        </w:rPr>
        <w:t>20</w:t>
      </w:r>
      <w:r>
        <w:rPr>
          <w:rFonts w:ascii="Calibri" w:eastAsia="Times New Roman" w:hAnsi="Calibri" w:cs="Tahoma"/>
          <w:sz w:val="24"/>
        </w:rPr>
        <w:t xml:space="preserve"> to 202</w:t>
      </w:r>
      <w:r w:rsidR="00D81932">
        <w:rPr>
          <w:rFonts w:ascii="Calibri" w:eastAsia="Times New Roman" w:hAnsi="Calibri" w:cs="Tahoma"/>
          <w:sz w:val="24"/>
        </w:rPr>
        <w:t>1</w:t>
      </w:r>
      <w:r>
        <w:rPr>
          <w:rFonts w:ascii="Calibri" w:eastAsia="Times New Roman" w:hAnsi="Calibri" w:cs="Tahoma"/>
          <w:sz w:val="24"/>
        </w:rPr>
        <w:t xml:space="preserve">. This </w:t>
      </w:r>
      <w:r w:rsidR="00CB59C3">
        <w:rPr>
          <w:rFonts w:ascii="Calibri" w:eastAsia="Times New Roman" w:hAnsi="Calibri" w:cs="Tahoma"/>
          <w:sz w:val="24"/>
        </w:rPr>
        <w:t>de</w:t>
      </w:r>
      <w:r w:rsidR="00CB59C3" w:rsidRPr="00D37859">
        <w:rPr>
          <w:rFonts w:ascii="Calibri" w:eastAsia="Times New Roman" w:hAnsi="Calibri" w:cs="Tahoma"/>
          <w:sz w:val="24"/>
        </w:rPr>
        <w:t xml:space="preserve">crease </w:t>
      </w:r>
      <w:r w:rsidRPr="00D37859">
        <w:rPr>
          <w:rFonts w:ascii="Calibri" w:eastAsia="Times New Roman" w:hAnsi="Calibri" w:cs="Tahoma"/>
          <w:sz w:val="24"/>
        </w:rPr>
        <w:t>i</w:t>
      </w:r>
      <w:r>
        <w:rPr>
          <w:rFonts w:ascii="Calibri" w:eastAsia="Times New Roman" w:hAnsi="Calibri" w:cs="Tahoma"/>
          <w:sz w:val="24"/>
        </w:rPr>
        <w:t xml:space="preserve">s primarily the result of </w:t>
      </w:r>
      <w:r w:rsidR="00D60D4A">
        <w:rPr>
          <w:rFonts w:ascii="Calibri" w:eastAsia="Times New Roman" w:hAnsi="Calibri" w:cs="Tahoma"/>
          <w:sz w:val="24"/>
        </w:rPr>
        <w:t xml:space="preserve">an </w:t>
      </w:r>
      <w:r w:rsidR="00D37859">
        <w:rPr>
          <w:rFonts w:ascii="Calibri" w:eastAsia="Times New Roman" w:hAnsi="Calibri" w:cs="Tahoma"/>
          <w:sz w:val="24"/>
        </w:rPr>
        <w:t>$</w:t>
      </w:r>
      <w:r w:rsidR="00D60D4A">
        <w:rPr>
          <w:rFonts w:ascii="Calibri" w:eastAsia="Times New Roman" w:hAnsi="Calibri" w:cs="Tahoma"/>
          <w:sz w:val="24"/>
        </w:rPr>
        <w:t xml:space="preserve">82 </w:t>
      </w:r>
      <w:r>
        <w:rPr>
          <w:rFonts w:ascii="Calibri" w:eastAsia="Times New Roman" w:hAnsi="Calibri" w:cs="Tahoma"/>
          <w:sz w:val="24"/>
        </w:rPr>
        <w:t xml:space="preserve">million </w:t>
      </w:r>
      <w:r w:rsidR="00D37859">
        <w:rPr>
          <w:rFonts w:ascii="Calibri" w:eastAsia="Times New Roman" w:hAnsi="Calibri" w:cs="Tahoma"/>
          <w:sz w:val="24"/>
        </w:rPr>
        <w:t>decrease</w:t>
      </w:r>
      <w:r>
        <w:rPr>
          <w:rFonts w:ascii="Calibri" w:eastAsia="Times New Roman" w:hAnsi="Calibri" w:cs="Tahoma"/>
          <w:sz w:val="24"/>
        </w:rPr>
        <w:t xml:space="preserve"> in other </w:t>
      </w:r>
      <w:r w:rsidR="00EC339C">
        <w:rPr>
          <w:rFonts w:ascii="Calibri" w:eastAsia="Times New Roman" w:hAnsi="Calibri" w:cs="Tahoma"/>
          <w:sz w:val="24"/>
        </w:rPr>
        <w:t xml:space="preserve">noncurrent </w:t>
      </w:r>
      <w:r>
        <w:rPr>
          <w:rFonts w:ascii="Calibri" w:eastAsia="Times New Roman" w:hAnsi="Calibri" w:cs="Tahoma"/>
          <w:sz w:val="24"/>
        </w:rPr>
        <w:t>liabilities and a</w:t>
      </w:r>
      <w:r w:rsidR="00D37859">
        <w:rPr>
          <w:rFonts w:ascii="Calibri" w:eastAsia="Times New Roman" w:hAnsi="Calibri" w:cs="Tahoma"/>
          <w:sz w:val="24"/>
        </w:rPr>
        <w:t xml:space="preserve"> $29</w:t>
      </w:r>
      <w:r>
        <w:rPr>
          <w:rFonts w:ascii="Calibri" w:eastAsia="Times New Roman" w:hAnsi="Calibri" w:cs="Tahoma"/>
          <w:sz w:val="24"/>
        </w:rPr>
        <w:t xml:space="preserve"> million </w:t>
      </w:r>
      <w:r w:rsidR="00D37859">
        <w:rPr>
          <w:rFonts w:ascii="Calibri" w:eastAsia="Times New Roman" w:hAnsi="Calibri" w:cs="Tahoma"/>
          <w:sz w:val="24"/>
        </w:rPr>
        <w:t>increase</w:t>
      </w:r>
      <w:r>
        <w:rPr>
          <w:rFonts w:ascii="Calibri" w:eastAsia="Times New Roman" w:hAnsi="Calibri" w:cs="Tahoma"/>
          <w:sz w:val="24"/>
        </w:rPr>
        <w:t xml:space="preserve"> in </w:t>
      </w:r>
      <w:r w:rsidR="007F10D7">
        <w:rPr>
          <w:rFonts w:ascii="Calibri" w:eastAsia="Times New Roman" w:hAnsi="Calibri" w:cs="Tahoma"/>
          <w:sz w:val="24"/>
        </w:rPr>
        <w:t>long-term debt</w:t>
      </w:r>
      <w:r>
        <w:rPr>
          <w:rFonts w:ascii="Calibri" w:eastAsia="Times New Roman" w:hAnsi="Calibri" w:cs="Tahoma"/>
          <w:sz w:val="24"/>
        </w:rPr>
        <w:t>. For FY</w:t>
      </w:r>
      <w:r w:rsidR="00D81932">
        <w:rPr>
          <w:rFonts w:ascii="Calibri" w:eastAsia="Times New Roman" w:hAnsi="Calibri" w:cs="Tahoma"/>
          <w:sz w:val="24"/>
        </w:rPr>
        <w:t>20</w:t>
      </w:r>
      <w:r w:rsidR="00EF2168">
        <w:rPr>
          <w:rFonts w:ascii="Calibri" w:eastAsia="Times New Roman" w:hAnsi="Calibri" w:cs="Tahoma"/>
          <w:sz w:val="24"/>
        </w:rPr>
        <w:t xml:space="preserve"> and FY19</w:t>
      </w:r>
      <w:r>
        <w:rPr>
          <w:rFonts w:ascii="Calibri" w:eastAsia="Times New Roman" w:hAnsi="Calibri" w:cs="Tahoma"/>
          <w:sz w:val="24"/>
        </w:rPr>
        <w:t>, the System had t</w:t>
      </w:r>
      <w:r>
        <w:rPr>
          <w:rFonts w:ascii="Calibri" w:eastAsia="Times New Roman" w:hAnsi="Calibri" w:cs="Tahoma"/>
          <w:bCs/>
          <w:sz w:val="24"/>
          <w:szCs w:val="20"/>
        </w:rPr>
        <w:t xml:space="preserve">otal noncurrent liabilities of </w:t>
      </w:r>
      <w:r w:rsidR="00D37859">
        <w:rPr>
          <w:rFonts w:ascii="Calibri" w:eastAsia="Times New Roman" w:hAnsi="Calibri" w:cs="Tahoma"/>
          <w:bCs/>
          <w:sz w:val="24"/>
          <w:szCs w:val="20"/>
        </w:rPr>
        <w:t>$280</w:t>
      </w:r>
      <w:r>
        <w:rPr>
          <w:rFonts w:ascii="Calibri" w:eastAsia="Times New Roman" w:hAnsi="Calibri" w:cs="Tahoma"/>
          <w:bCs/>
          <w:sz w:val="24"/>
          <w:szCs w:val="20"/>
        </w:rPr>
        <w:t xml:space="preserve"> millio</w:t>
      </w:r>
      <w:r w:rsidR="00EF2168">
        <w:rPr>
          <w:rFonts w:ascii="Calibri" w:eastAsia="Times New Roman" w:hAnsi="Calibri" w:cs="Tahoma"/>
          <w:bCs/>
          <w:sz w:val="24"/>
          <w:szCs w:val="20"/>
        </w:rPr>
        <w:t>n</w:t>
      </w:r>
      <w:r>
        <w:rPr>
          <w:rFonts w:ascii="Calibri" w:eastAsia="Times New Roman" w:hAnsi="Calibri" w:cs="Tahoma"/>
          <w:bCs/>
          <w:sz w:val="24"/>
          <w:szCs w:val="20"/>
        </w:rPr>
        <w:t xml:space="preserve">, </w:t>
      </w:r>
      <w:r w:rsidR="00515EE6">
        <w:rPr>
          <w:rFonts w:ascii="Calibri" w:eastAsia="Times New Roman" w:hAnsi="Calibri" w:cs="Tahoma"/>
          <w:bCs/>
          <w:sz w:val="24"/>
          <w:szCs w:val="20"/>
        </w:rPr>
        <w:t xml:space="preserve">with the change being a </w:t>
      </w:r>
      <w:r>
        <w:rPr>
          <w:rFonts w:ascii="Calibri" w:eastAsia="Times New Roman" w:hAnsi="Calibri" w:cs="Tahoma"/>
          <w:bCs/>
          <w:sz w:val="24"/>
          <w:szCs w:val="20"/>
        </w:rPr>
        <w:t>$</w:t>
      </w:r>
      <w:r w:rsidR="00EF2168">
        <w:rPr>
          <w:rFonts w:ascii="Calibri" w:eastAsia="Times New Roman" w:hAnsi="Calibri" w:cs="Tahoma"/>
          <w:bCs/>
          <w:sz w:val="24"/>
          <w:szCs w:val="20"/>
        </w:rPr>
        <w:t>11</w:t>
      </w:r>
      <w:r>
        <w:rPr>
          <w:rFonts w:ascii="Calibri" w:eastAsia="Times New Roman" w:hAnsi="Calibri" w:cs="Tahoma"/>
          <w:bCs/>
          <w:sz w:val="24"/>
          <w:szCs w:val="20"/>
        </w:rPr>
        <w:t xml:space="preserve"> million </w:t>
      </w:r>
      <w:r w:rsidR="00EF2168">
        <w:rPr>
          <w:rFonts w:ascii="Calibri" w:eastAsia="Times New Roman" w:hAnsi="Calibri" w:cs="Tahoma"/>
          <w:bCs/>
          <w:sz w:val="24"/>
          <w:szCs w:val="20"/>
        </w:rPr>
        <w:t>in</w:t>
      </w:r>
      <w:r w:rsidR="00D37859">
        <w:rPr>
          <w:rFonts w:ascii="Calibri" w:eastAsia="Times New Roman" w:hAnsi="Calibri" w:cs="Tahoma"/>
          <w:bCs/>
          <w:sz w:val="24"/>
          <w:szCs w:val="20"/>
        </w:rPr>
        <w:t>crease</w:t>
      </w:r>
      <w:r>
        <w:rPr>
          <w:rFonts w:ascii="Calibri" w:eastAsia="Times New Roman" w:hAnsi="Calibri" w:cs="Tahoma"/>
          <w:bCs/>
          <w:sz w:val="24"/>
          <w:szCs w:val="20"/>
        </w:rPr>
        <w:t xml:space="preserve"> in </w:t>
      </w:r>
      <w:r w:rsidR="00D81932">
        <w:rPr>
          <w:rFonts w:ascii="Calibri" w:eastAsia="Times New Roman" w:hAnsi="Calibri" w:cs="Tahoma"/>
          <w:bCs/>
          <w:sz w:val="24"/>
          <w:szCs w:val="20"/>
        </w:rPr>
        <w:t>noncurrent liabilities</w:t>
      </w:r>
      <w:r>
        <w:rPr>
          <w:rFonts w:ascii="Calibri" w:eastAsia="Times New Roman" w:hAnsi="Calibri" w:cs="Tahoma"/>
          <w:bCs/>
          <w:sz w:val="24"/>
          <w:szCs w:val="20"/>
        </w:rPr>
        <w:t xml:space="preserve"> and a</w:t>
      </w:r>
      <w:r w:rsidR="00C00A16">
        <w:rPr>
          <w:rFonts w:ascii="Calibri" w:eastAsia="Times New Roman" w:hAnsi="Calibri" w:cs="Tahoma"/>
          <w:bCs/>
          <w:sz w:val="24"/>
          <w:szCs w:val="20"/>
        </w:rPr>
        <w:t>n</w:t>
      </w:r>
      <w:r>
        <w:rPr>
          <w:rFonts w:ascii="Calibri" w:eastAsia="Times New Roman" w:hAnsi="Calibri" w:cs="Tahoma"/>
          <w:bCs/>
          <w:sz w:val="24"/>
          <w:szCs w:val="20"/>
        </w:rPr>
        <w:t xml:space="preserve"> $</w:t>
      </w:r>
      <w:r w:rsidR="003F3448">
        <w:rPr>
          <w:rFonts w:ascii="Calibri" w:eastAsia="Times New Roman" w:hAnsi="Calibri" w:cs="Tahoma"/>
          <w:bCs/>
          <w:sz w:val="24"/>
          <w:szCs w:val="20"/>
        </w:rPr>
        <w:t>11</w:t>
      </w:r>
      <w:r>
        <w:rPr>
          <w:rFonts w:ascii="Calibri" w:eastAsia="Times New Roman" w:hAnsi="Calibri" w:cs="Tahoma"/>
          <w:bCs/>
          <w:sz w:val="24"/>
          <w:szCs w:val="20"/>
        </w:rPr>
        <w:t xml:space="preserve"> million decrease in </w:t>
      </w:r>
      <w:r w:rsidR="00D81932">
        <w:rPr>
          <w:rFonts w:ascii="Calibri" w:eastAsia="Times New Roman" w:hAnsi="Calibri" w:cs="Tahoma"/>
          <w:bCs/>
          <w:sz w:val="24"/>
          <w:szCs w:val="20"/>
        </w:rPr>
        <w:t>long-term debt</w:t>
      </w:r>
      <w:r>
        <w:rPr>
          <w:rFonts w:ascii="Calibri" w:eastAsia="Times New Roman" w:hAnsi="Calibri" w:cs="Tahoma"/>
          <w:bCs/>
          <w:sz w:val="24"/>
          <w:szCs w:val="20"/>
        </w:rPr>
        <w:t>.</w:t>
      </w:r>
    </w:p>
    <w:p w14:paraId="1A193532" w14:textId="77777777" w:rsidR="007F32C5" w:rsidRPr="00790AF8" w:rsidRDefault="007F32C5" w:rsidP="00E7511E">
      <w:pPr>
        <w:rPr>
          <w:rFonts w:ascii="Calibri" w:hAnsi="Calibri" w:cs="Tahoma"/>
          <w:sz w:val="20"/>
          <w:szCs w:val="20"/>
        </w:rPr>
      </w:pPr>
    </w:p>
    <w:p w14:paraId="02725F70" w14:textId="4581BC83" w:rsidR="00FC4A79" w:rsidRPr="00AE77BF" w:rsidRDefault="00E7511E" w:rsidP="00AE77BF">
      <w:r>
        <w:rPr>
          <w:rFonts w:ascii="Calibri" w:hAnsi="Calibri" w:cs="Tahoma"/>
          <w:sz w:val="24"/>
        </w:rPr>
        <w:t>Total net position at June 30, 202</w:t>
      </w:r>
      <w:r w:rsidR="00D81932">
        <w:rPr>
          <w:rFonts w:ascii="Calibri" w:hAnsi="Calibri" w:cs="Tahoma"/>
          <w:sz w:val="24"/>
        </w:rPr>
        <w:t>1</w:t>
      </w:r>
      <w:r>
        <w:rPr>
          <w:rFonts w:ascii="Calibri" w:hAnsi="Calibri" w:cs="Tahoma"/>
          <w:sz w:val="24"/>
        </w:rPr>
        <w:t xml:space="preserve"> of </w:t>
      </w:r>
      <w:r w:rsidR="00D37859">
        <w:rPr>
          <w:rFonts w:ascii="Calibri" w:hAnsi="Calibri" w:cs="Tahoma"/>
          <w:sz w:val="24"/>
        </w:rPr>
        <w:t>$</w:t>
      </w:r>
      <w:r w:rsidR="00D60D4A">
        <w:rPr>
          <w:rFonts w:ascii="Calibri" w:hAnsi="Calibri" w:cs="Tahoma"/>
          <w:sz w:val="24"/>
        </w:rPr>
        <w:t>945</w:t>
      </w:r>
      <w:r>
        <w:rPr>
          <w:rFonts w:ascii="Calibri" w:hAnsi="Calibri" w:cs="Tahoma"/>
          <w:sz w:val="24"/>
        </w:rPr>
        <w:t xml:space="preserve"> </w:t>
      </w:r>
      <w:r w:rsidRPr="00AA1A8F">
        <w:rPr>
          <w:rFonts w:ascii="Calibri" w:hAnsi="Calibri" w:cs="Tahoma"/>
          <w:sz w:val="24"/>
        </w:rPr>
        <w:t xml:space="preserve">million </w:t>
      </w:r>
      <w:r w:rsidRPr="00E239E3">
        <w:rPr>
          <w:rFonts w:ascii="Calibri" w:hAnsi="Calibri" w:cs="Tahoma"/>
          <w:sz w:val="24"/>
        </w:rPr>
        <w:t>increased</w:t>
      </w:r>
      <w:r w:rsidRPr="00AA1A8F">
        <w:rPr>
          <w:rFonts w:ascii="Calibri" w:hAnsi="Calibri" w:cs="Tahoma"/>
          <w:sz w:val="24"/>
        </w:rPr>
        <w:t xml:space="preserve"> </w:t>
      </w:r>
      <w:r w:rsidR="00AA1A8F">
        <w:rPr>
          <w:rFonts w:ascii="Calibri" w:hAnsi="Calibri" w:cs="Tahoma"/>
          <w:sz w:val="24"/>
        </w:rPr>
        <w:t>$</w:t>
      </w:r>
      <w:r w:rsidR="00D60D4A">
        <w:rPr>
          <w:rFonts w:ascii="Calibri" w:hAnsi="Calibri" w:cs="Tahoma"/>
          <w:sz w:val="24"/>
        </w:rPr>
        <w:t>113</w:t>
      </w:r>
      <w:r>
        <w:rPr>
          <w:rFonts w:ascii="Calibri" w:hAnsi="Calibri" w:cs="Tahoma"/>
          <w:sz w:val="24"/>
        </w:rPr>
        <w:t xml:space="preserve"> million, or </w:t>
      </w:r>
      <w:r w:rsidR="00D60D4A">
        <w:rPr>
          <w:rFonts w:ascii="Calibri" w:hAnsi="Calibri" w:cs="Tahoma"/>
          <w:sz w:val="24"/>
        </w:rPr>
        <w:t>14</w:t>
      </w:r>
      <w:r w:rsidRPr="00AA1A8F">
        <w:rPr>
          <w:rFonts w:ascii="Calibri" w:hAnsi="Calibri" w:cs="Tahoma"/>
          <w:sz w:val="24"/>
        </w:rPr>
        <w:t>%</w:t>
      </w:r>
      <w:r w:rsidRPr="00A316AD">
        <w:rPr>
          <w:rFonts w:ascii="Calibri" w:hAnsi="Calibri" w:cs="Tahoma"/>
          <w:sz w:val="24"/>
        </w:rPr>
        <w:t>,</w:t>
      </w:r>
      <w:r>
        <w:rPr>
          <w:rFonts w:ascii="Calibri" w:hAnsi="Calibri" w:cs="Tahoma"/>
          <w:sz w:val="24"/>
        </w:rPr>
        <w:t xml:space="preserve"> from the June 30, 20</w:t>
      </w:r>
      <w:r w:rsidR="00D81932">
        <w:rPr>
          <w:rFonts w:ascii="Calibri" w:hAnsi="Calibri" w:cs="Tahoma"/>
          <w:sz w:val="24"/>
        </w:rPr>
        <w:t>20</w:t>
      </w:r>
      <w:r>
        <w:rPr>
          <w:rFonts w:ascii="Calibri" w:hAnsi="Calibri" w:cs="Tahoma"/>
          <w:sz w:val="24"/>
        </w:rPr>
        <w:t xml:space="preserve"> balance</w:t>
      </w:r>
      <w:r w:rsidR="00D60D4A">
        <w:rPr>
          <w:rFonts w:ascii="Calibri" w:hAnsi="Calibri" w:cs="Tahoma"/>
          <w:sz w:val="24"/>
        </w:rPr>
        <w:t>,</w:t>
      </w:r>
      <w:r>
        <w:rPr>
          <w:rFonts w:ascii="Calibri" w:hAnsi="Calibri" w:cs="Tahoma"/>
          <w:sz w:val="24"/>
        </w:rPr>
        <w:t xml:space="preserve"> which</w:t>
      </w:r>
      <w:r w:rsidRPr="00AA1A8F">
        <w:rPr>
          <w:rFonts w:ascii="Calibri" w:hAnsi="Calibri" w:cs="Tahoma"/>
          <w:sz w:val="24"/>
        </w:rPr>
        <w:t xml:space="preserve"> </w:t>
      </w:r>
      <w:r w:rsidRPr="00E239E3">
        <w:rPr>
          <w:rFonts w:ascii="Calibri" w:hAnsi="Calibri" w:cs="Tahoma"/>
          <w:sz w:val="24"/>
        </w:rPr>
        <w:t xml:space="preserve">increased </w:t>
      </w:r>
      <w:r w:rsidRPr="00B946D7">
        <w:rPr>
          <w:rFonts w:ascii="Calibri" w:hAnsi="Calibri" w:cs="Tahoma"/>
          <w:sz w:val="24"/>
        </w:rPr>
        <w:t>$</w:t>
      </w:r>
      <w:r w:rsidR="00825A8C" w:rsidRPr="00162FC5">
        <w:rPr>
          <w:rFonts w:ascii="Calibri" w:hAnsi="Calibri" w:cs="Tahoma"/>
          <w:sz w:val="24"/>
        </w:rPr>
        <w:t>1</w:t>
      </w:r>
      <w:r w:rsidRPr="00B946D7">
        <w:rPr>
          <w:rFonts w:ascii="Calibri" w:hAnsi="Calibri" w:cs="Tahoma"/>
          <w:sz w:val="24"/>
        </w:rPr>
        <w:t>4</w:t>
      </w:r>
      <w:r>
        <w:rPr>
          <w:rFonts w:ascii="Calibri" w:hAnsi="Calibri" w:cs="Tahoma"/>
          <w:sz w:val="24"/>
        </w:rPr>
        <w:t xml:space="preserve"> million, or </w:t>
      </w:r>
      <w:r w:rsidR="00825A8C">
        <w:rPr>
          <w:rFonts w:ascii="Calibri" w:hAnsi="Calibri" w:cs="Tahoma"/>
          <w:sz w:val="24"/>
        </w:rPr>
        <w:t>2</w:t>
      </w:r>
      <w:r>
        <w:rPr>
          <w:rFonts w:ascii="Calibri" w:hAnsi="Calibri" w:cs="Tahoma"/>
          <w:sz w:val="24"/>
        </w:rPr>
        <w:t>%, from the June 30, 20</w:t>
      </w:r>
      <w:r w:rsidR="00825A8C">
        <w:rPr>
          <w:rFonts w:ascii="Calibri" w:hAnsi="Calibri" w:cs="Tahoma"/>
          <w:sz w:val="24"/>
        </w:rPr>
        <w:t>19</w:t>
      </w:r>
      <w:r>
        <w:rPr>
          <w:rFonts w:ascii="Calibri" w:hAnsi="Calibri" w:cs="Tahoma"/>
          <w:sz w:val="24"/>
        </w:rPr>
        <w:t xml:space="preserve"> balance.  Additional information about net position is presented on page </w:t>
      </w:r>
      <w:r w:rsidR="006E44D1" w:rsidRPr="00954D00">
        <w:rPr>
          <w:rFonts w:ascii="Calibri" w:hAnsi="Calibri" w:cs="Tahoma"/>
          <w:color w:val="0D0D0D" w:themeColor="text1" w:themeTint="F2"/>
          <w:sz w:val="24"/>
        </w:rPr>
        <w:t>25</w:t>
      </w:r>
      <w:r w:rsidRPr="00790AF8">
        <w:rPr>
          <w:rFonts w:ascii="Calibri" w:hAnsi="Calibri" w:cs="Tahoma"/>
          <w:color w:val="0D0D0D" w:themeColor="text1" w:themeTint="F2"/>
          <w:sz w:val="24"/>
        </w:rPr>
        <w:t>.</w:t>
      </w:r>
      <w:r w:rsidR="00FC4A79">
        <w:br w:type="page"/>
      </w:r>
      <w:r w:rsidR="00F4599B" w:rsidRPr="00F4599B">
        <w:rPr>
          <w:noProof/>
        </w:rPr>
        <w:lastRenderedPageBreak/>
        <w:drawing>
          <wp:inline distT="0" distB="0" distL="0" distR="0" wp14:anchorId="58E755E2" wp14:editId="58B0292B">
            <wp:extent cx="5943600" cy="4713359"/>
            <wp:effectExtent l="0" t="0" r="0" b="0"/>
            <wp:docPr id="4" name="Picture 4" descr="Table 3: Condensed Statements of Net Position as of June 30&#10;(In millions)  2021 % Change Restated 2020 % Change Restated 2019 2018 2017&#10;Current Assets&#10;Operating Investments  $286  8%  $264  6%  $248   $252   $243 &#10;Other  83  28%  65  -13%  75   55   61 &#10;Noncurrent Assets &#10;Endowment investments  166  23%  135  -2%  138   154   147 &#10;Capital assets, net  689  1%  683  0%  685   700   700 &#10;Other  85  93%  44  -8%  48   57   67 &#10;Total Assets  1,309  10%  1,191  0%  1,194   1,218   1,218 &#10;Deferred Outflows of Resources  18  -42%  31  41%  22   12   14 &#10;Total Assets and Deferred Outflows  $1,327  9%  $1,222  0%  $1,216   $1,230   $1,232 &#10;Current Liabilities  &#10;Long-term debt - current portion  $14  0%  $14  -7%  $15   $14   $15 &#10;Other  83  41%  59  0%  59   54   54 &#10;Noncurrent Liabilities &#10;Long-term debt  153  23%  124  -8%  135   148   161 &#10;Other  74  -53%  156  8%  145   180   179 &#10;Total Liabilities  324  -8%  353  0%  354   396   409 &#10;Deferred Inflows of Resources  58  57%  37  -16%  44   20   25 &#10;Total Liabilities and Deferred Inflows  382  -2%  390  -2%  398   416   434 &#10;Net investment in capital assets  550  1%  547  1%  542   551   544 &#10;Restricted  &#10;Nonexpendable  69  3%  67  2%  66   59   59 &#10;Expendable  144 25% 115  -1%  116  115  114 &#10;Unrestricted  182 77% 103  10%  94  89  81 &#10;Total Net Position  945 14%  832  2% 818  814   798 &#10;Total Liabilities, Deferred Inflows and Net Position $1,327  9% $1,222 0% $1,216   $1,230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713359"/>
                    </a:xfrm>
                    <a:prstGeom prst="rect">
                      <a:avLst/>
                    </a:prstGeom>
                    <a:noFill/>
                    <a:ln>
                      <a:noFill/>
                    </a:ln>
                  </pic:spPr>
                </pic:pic>
              </a:graphicData>
            </a:graphic>
          </wp:inline>
        </w:drawing>
      </w:r>
    </w:p>
    <w:p w14:paraId="7D68D103" w14:textId="77777777" w:rsidR="006140D5" w:rsidRDefault="006140D5">
      <w:pPr>
        <w:spacing w:after="160" w:line="259" w:lineRule="auto"/>
        <w:rPr>
          <w:b/>
          <w:i/>
          <w:sz w:val="26"/>
          <w:u w:val="single" w:color="000000" w:themeColor="text1"/>
        </w:rPr>
      </w:pPr>
      <w:r>
        <w:br w:type="page"/>
      </w:r>
    </w:p>
    <w:p w14:paraId="1937A26A" w14:textId="16CACEB6" w:rsidR="00E7511E" w:rsidRPr="008D4582" w:rsidRDefault="00E7511E" w:rsidP="007531FB">
      <w:pPr>
        <w:pStyle w:val="AFR3"/>
      </w:pPr>
      <w:r w:rsidRPr="00452591">
        <w:lastRenderedPageBreak/>
        <w:t>Managed Investment Pool (MIP)</w:t>
      </w:r>
    </w:p>
    <w:p w14:paraId="065E77C8" w14:textId="050BB49C" w:rsidR="00E7511E" w:rsidRDefault="00E7511E" w:rsidP="00E7511E">
      <w:pPr>
        <w:tabs>
          <w:tab w:val="left" w:pos="4860"/>
        </w:tabs>
        <w:rPr>
          <w:rFonts w:ascii="Calibri" w:eastAsia="Times New Roman" w:hAnsi="Calibri" w:cs="Tahoma"/>
          <w:sz w:val="24"/>
        </w:rPr>
      </w:pPr>
      <w:r>
        <w:rPr>
          <w:rFonts w:ascii="Calibri" w:eastAsia="Times New Roman" w:hAnsi="Calibri" w:cs="Tahoma"/>
          <w:sz w:val="24"/>
        </w:rPr>
        <w:t>The System pools certain funds for investment purposes including the System’s endowment pool monies</w:t>
      </w:r>
      <w:r w:rsidR="00676D79">
        <w:rPr>
          <w:rFonts w:ascii="Calibri" w:eastAsia="Times New Roman" w:hAnsi="Calibri" w:cs="Tahoma"/>
          <w:sz w:val="24"/>
        </w:rPr>
        <w:t xml:space="preserve">, endowment monies belonging to the System’s </w:t>
      </w:r>
      <w:r>
        <w:rPr>
          <w:rFonts w:ascii="Calibri" w:eastAsia="Times New Roman" w:hAnsi="Calibri" w:cs="Tahoma"/>
          <w:sz w:val="24"/>
        </w:rPr>
        <w:t>affiliated organizations</w:t>
      </w:r>
      <w:r w:rsidR="00676D79">
        <w:rPr>
          <w:rFonts w:ascii="Calibri" w:eastAsia="Times New Roman" w:hAnsi="Calibri" w:cs="Tahoma"/>
          <w:sz w:val="24"/>
        </w:rPr>
        <w:t xml:space="preserve">, </w:t>
      </w:r>
      <w:r>
        <w:rPr>
          <w:rFonts w:ascii="Calibri" w:eastAsia="Times New Roman" w:hAnsi="Calibri" w:cs="Tahoma"/>
          <w:sz w:val="24"/>
        </w:rPr>
        <w:t>and monies on behalf of the following entities: the UMS OPEB Trust, Maine Maritime Academy (MMA), and the University of Maine School of Law Foundation.</w:t>
      </w:r>
    </w:p>
    <w:p w14:paraId="7125DAC4" w14:textId="77777777" w:rsidR="00E7511E" w:rsidRPr="00DE50BF" w:rsidRDefault="00E7511E" w:rsidP="00E7511E">
      <w:pPr>
        <w:tabs>
          <w:tab w:val="left" w:pos="4860"/>
        </w:tabs>
        <w:rPr>
          <w:rFonts w:ascii="Calibri" w:eastAsia="Times New Roman" w:hAnsi="Calibri" w:cs="Tahoma"/>
          <w:sz w:val="20"/>
        </w:rPr>
      </w:pPr>
    </w:p>
    <w:p w14:paraId="21567DAE" w14:textId="7A3B6FE4" w:rsidR="00E7511E" w:rsidRPr="00DD3935" w:rsidRDefault="00E7511E" w:rsidP="00DD3935">
      <w:pPr>
        <w:tabs>
          <w:tab w:val="left" w:pos="4860"/>
        </w:tabs>
        <w:spacing w:after="240"/>
        <w:rPr>
          <w:rFonts w:ascii="Calibri" w:eastAsia="Times New Roman" w:hAnsi="Calibri" w:cs="Tahoma"/>
          <w:sz w:val="24"/>
        </w:rPr>
      </w:pPr>
      <w:r>
        <w:rPr>
          <w:rFonts w:ascii="Calibri" w:eastAsia="Times New Roman" w:hAnsi="Calibri" w:cs="Tahoma"/>
          <w:sz w:val="24"/>
        </w:rPr>
        <w:t>Chart 4 shows the June 30, 2019,</w:t>
      </w:r>
      <w:r w:rsidR="00825A8C">
        <w:rPr>
          <w:rFonts w:ascii="Calibri" w:eastAsia="Times New Roman" w:hAnsi="Calibri" w:cs="Tahoma"/>
          <w:sz w:val="24"/>
        </w:rPr>
        <w:t xml:space="preserve"> 2020</w:t>
      </w:r>
      <w:r>
        <w:rPr>
          <w:rFonts w:ascii="Calibri" w:eastAsia="Times New Roman" w:hAnsi="Calibri" w:cs="Tahoma"/>
          <w:sz w:val="24"/>
        </w:rPr>
        <w:t xml:space="preserve"> and 20</w:t>
      </w:r>
      <w:r w:rsidR="00C00A16">
        <w:rPr>
          <w:rFonts w:ascii="Calibri" w:eastAsia="Times New Roman" w:hAnsi="Calibri" w:cs="Tahoma"/>
          <w:sz w:val="24"/>
        </w:rPr>
        <w:t>21</w:t>
      </w:r>
      <w:r>
        <w:rPr>
          <w:rFonts w:ascii="Calibri" w:eastAsia="Times New Roman" w:hAnsi="Calibri" w:cs="Tahoma"/>
          <w:sz w:val="24"/>
        </w:rPr>
        <w:t xml:space="preserve"> fair values of the MIP investments, including the amounts held on behalf of each entity.</w:t>
      </w:r>
    </w:p>
    <w:p w14:paraId="1CE3E22C" w14:textId="47164679" w:rsidR="007F32C5" w:rsidRDefault="00D15D96" w:rsidP="002008D4">
      <w:pPr>
        <w:tabs>
          <w:tab w:val="left" w:pos="4860"/>
        </w:tabs>
        <w:spacing w:before="240"/>
        <w:jc w:val="center"/>
        <w:rPr>
          <w:rFonts w:ascii="Calibri" w:eastAsia="Times New Roman" w:hAnsi="Calibri" w:cs="Tahoma"/>
          <w:sz w:val="24"/>
        </w:rPr>
      </w:pPr>
      <w:r w:rsidRPr="00D15D96">
        <w:rPr>
          <w:noProof/>
        </w:rPr>
        <w:t xml:space="preserve"> </w:t>
      </w:r>
      <w:r>
        <w:rPr>
          <w:noProof/>
        </w:rPr>
        <w:drawing>
          <wp:inline distT="0" distB="0" distL="0" distR="0" wp14:anchorId="7D486B0C" wp14:editId="4E6827D5">
            <wp:extent cx="5486400" cy="3202064"/>
            <wp:effectExtent l="0" t="0" r="0" b="0"/>
            <wp:docPr id="8" name="Chart 8">
              <a:extLst xmlns:a="http://schemas.openxmlformats.org/drawingml/2006/main">
                <a:ext uri="{FF2B5EF4-FFF2-40B4-BE49-F238E27FC236}">
                  <a16:creationId xmlns:a16="http://schemas.microsoft.com/office/drawing/2014/main" id="{00000000-0008-0000-0000-00000500000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204977" w14:textId="5E0F3990" w:rsidR="00E7511E" w:rsidRDefault="00676D79" w:rsidP="009A3065">
      <w:pPr>
        <w:tabs>
          <w:tab w:val="left" w:pos="4860"/>
        </w:tabs>
        <w:spacing w:before="240"/>
        <w:rPr>
          <w:rFonts w:ascii="Calibri" w:eastAsia="Times New Roman" w:hAnsi="Calibri" w:cs="Tahoma"/>
          <w:sz w:val="24"/>
        </w:rPr>
      </w:pPr>
      <w:r>
        <w:rPr>
          <w:rFonts w:ascii="Calibri" w:eastAsia="Times New Roman" w:hAnsi="Calibri" w:cs="Tahoma"/>
          <w:sz w:val="24"/>
        </w:rPr>
        <w:t>‘</w:t>
      </w:r>
      <w:r w:rsidR="00AB4452">
        <w:rPr>
          <w:rFonts w:ascii="Calibri" w:eastAsia="Times New Roman" w:hAnsi="Calibri" w:cs="Tahoma"/>
          <w:sz w:val="24"/>
        </w:rPr>
        <w:t>UMS Endowments</w:t>
      </w:r>
      <w:r w:rsidR="00F55971">
        <w:rPr>
          <w:rFonts w:ascii="Calibri" w:eastAsia="Times New Roman" w:hAnsi="Calibri" w:cs="Tahoma"/>
          <w:sz w:val="24"/>
        </w:rPr>
        <w:t>’</w:t>
      </w:r>
      <w:r w:rsidR="00AB4452">
        <w:rPr>
          <w:rFonts w:ascii="Calibri" w:eastAsia="Times New Roman" w:hAnsi="Calibri" w:cs="Tahoma"/>
          <w:sz w:val="24"/>
        </w:rPr>
        <w:t xml:space="preserve"> </w:t>
      </w:r>
      <w:r>
        <w:rPr>
          <w:rFonts w:ascii="Calibri" w:eastAsia="Times New Roman" w:hAnsi="Calibri" w:cs="Tahoma"/>
          <w:sz w:val="24"/>
        </w:rPr>
        <w:t xml:space="preserve">noted in Chart 4 </w:t>
      </w:r>
      <w:r w:rsidR="00AB4452">
        <w:rPr>
          <w:rFonts w:ascii="Calibri" w:eastAsia="Times New Roman" w:hAnsi="Calibri" w:cs="Tahoma"/>
          <w:sz w:val="24"/>
        </w:rPr>
        <w:t xml:space="preserve">is the </w:t>
      </w:r>
      <w:r w:rsidR="00E7511E">
        <w:rPr>
          <w:rFonts w:ascii="Calibri" w:eastAsia="Times New Roman" w:hAnsi="Calibri" w:cs="Tahoma"/>
          <w:sz w:val="24"/>
        </w:rPr>
        <w:t>System’s share of the MIP</w:t>
      </w:r>
      <w:r w:rsidR="00AB4452">
        <w:rPr>
          <w:rFonts w:ascii="Calibri" w:eastAsia="Times New Roman" w:hAnsi="Calibri" w:cs="Tahoma"/>
          <w:sz w:val="24"/>
        </w:rPr>
        <w:t xml:space="preserve"> investments </w:t>
      </w:r>
      <w:r>
        <w:rPr>
          <w:rFonts w:ascii="Calibri" w:eastAsia="Times New Roman" w:hAnsi="Calibri" w:cs="Tahoma"/>
          <w:sz w:val="24"/>
        </w:rPr>
        <w:t xml:space="preserve">and </w:t>
      </w:r>
      <w:r w:rsidR="005C74FA">
        <w:rPr>
          <w:rFonts w:ascii="Calibri" w:eastAsia="Times New Roman" w:hAnsi="Calibri" w:cs="Tahoma"/>
          <w:sz w:val="24"/>
        </w:rPr>
        <w:t xml:space="preserve">is </w:t>
      </w:r>
      <w:r w:rsidR="00E7511E">
        <w:rPr>
          <w:rFonts w:ascii="Calibri" w:eastAsia="Times New Roman" w:hAnsi="Calibri" w:cs="Tahoma"/>
          <w:sz w:val="24"/>
        </w:rPr>
        <w:t xml:space="preserve">included </w:t>
      </w:r>
      <w:r w:rsidR="00AB4452">
        <w:rPr>
          <w:rFonts w:ascii="Calibri" w:eastAsia="Times New Roman" w:hAnsi="Calibri" w:cs="Tahoma"/>
          <w:sz w:val="24"/>
        </w:rPr>
        <w:t xml:space="preserve">as part of the </w:t>
      </w:r>
      <w:r w:rsidR="00F55971">
        <w:rPr>
          <w:rFonts w:ascii="Calibri" w:eastAsia="Times New Roman" w:hAnsi="Calibri" w:cs="Tahoma"/>
          <w:sz w:val="24"/>
        </w:rPr>
        <w:t>‘</w:t>
      </w:r>
      <w:r w:rsidR="00AB4452">
        <w:rPr>
          <w:rFonts w:ascii="Calibri" w:eastAsia="Times New Roman" w:hAnsi="Calibri" w:cs="Tahoma"/>
          <w:sz w:val="24"/>
        </w:rPr>
        <w:t>Endowment Investments</w:t>
      </w:r>
      <w:r w:rsidR="00F55971">
        <w:rPr>
          <w:rFonts w:ascii="Calibri" w:eastAsia="Times New Roman" w:hAnsi="Calibri" w:cs="Tahoma"/>
          <w:sz w:val="24"/>
        </w:rPr>
        <w:t>’</w:t>
      </w:r>
      <w:r w:rsidR="00AB4452">
        <w:rPr>
          <w:rFonts w:ascii="Calibri" w:eastAsia="Times New Roman" w:hAnsi="Calibri" w:cs="Tahoma"/>
          <w:sz w:val="24"/>
        </w:rPr>
        <w:t xml:space="preserve"> noted </w:t>
      </w:r>
      <w:r w:rsidR="00E7511E">
        <w:rPr>
          <w:rFonts w:ascii="Calibri" w:eastAsia="Times New Roman" w:hAnsi="Calibri" w:cs="Tahoma"/>
          <w:sz w:val="24"/>
        </w:rPr>
        <w:t xml:space="preserve">in the accompanying Condensed Statements of Net Position. </w:t>
      </w:r>
      <w:r w:rsidR="00EE6373">
        <w:rPr>
          <w:rFonts w:ascii="Calibri" w:eastAsia="Times New Roman" w:hAnsi="Calibri" w:cs="Tahoma"/>
          <w:sz w:val="24"/>
        </w:rPr>
        <w:t>The portion of the MIP representing UMS Affiliates</w:t>
      </w:r>
      <w:r w:rsidR="00220FF6">
        <w:rPr>
          <w:rFonts w:ascii="Calibri" w:eastAsia="Times New Roman" w:hAnsi="Calibri" w:cs="Tahoma"/>
          <w:sz w:val="24"/>
        </w:rPr>
        <w:t>’</w:t>
      </w:r>
      <w:r w:rsidR="00EE6373">
        <w:rPr>
          <w:rFonts w:ascii="Calibri" w:eastAsia="Times New Roman" w:hAnsi="Calibri" w:cs="Tahoma"/>
          <w:sz w:val="24"/>
        </w:rPr>
        <w:t xml:space="preserve"> Endowments is included in the Statements of Fiduciary Net Position as ‘Investment in UMS endowment pool’.</w:t>
      </w:r>
      <w:r w:rsidR="00AB44E1">
        <w:rPr>
          <w:rFonts w:ascii="Calibri" w:eastAsia="Times New Roman" w:hAnsi="Calibri" w:cs="Tahoma"/>
          <w:sz w:val="24"/>
        </w:rPr>
        <w:t xml:space="preserve"> </w:t>
      </w:r>
      <w:r w:rsidR="00E7511E">
        <w:rPr>
          <w:rFonts w:ascii="Calibri" w:eastAsia="Times New Roman" w:hAnsi="Calibri" w:cs="Tahoma"/>
          <w:sz w:val="24"/>
        </w:rPr>
        <w:t xml:space="preserve">The </w:t>
      </w:r>
      <w:r>
        <w:rPr>
          <w:rFonts w:ascii="Calibri" w:eastAsia="Times New Roman" w:hAnsi="Calibri" w:cs="Tahoma"/>
          <w:sz w:val="24"/>
        </w:rPr>
        <w:t xml:space="preserve">total of the </w:t>
      </w:r>
      <w:r w:rsidR="00E7511E">
        <w:rPr>
          <w:rFonts w:ascii="Calibri" w:eastAsia="Times New Roman" w:hAnsi="Calibri" w:cs="Tahoma"/>
          <w:sz w:val="24"/>
        </w:rPr>
        <w:t>OPEB Trust, M</w:t>
      </w:r>
      <w:r w:rsidR="00CB59C3">
        <w:rPr>
          <w:rFonts w:ascii="Calibri" w:eastAsia="Times New Roman" w:hAnsi="Calibri" w:cs="Tahoma"/>
          <w:sz w:val="24"/>
        </w:rPr>
        <w:t>MA</w:t>
      </w:r>
      <w:r w:rsidR="00E7511E">
        <w:rPr>
          <w:rFonts w:ascii="Calibri" w:eastAsia="Times New Roman" w:hAnsi="Calibri" w:cs="Tahoma"/>
          <w:sz w:val="24"/>
        </w:rPr>
        <w:t xml:space="preserve">, and the University of Maine School of Law Foundation portions of </w:t>
      </w:r>
      <w:r w:rsidR="00220FF6">
        <w:rPr>
          <w:rFonts w:ascii="Calibri" w:eastAsia="Times New Roman" w:hAnsi="Calibri" w:cs="Tahoma"/>
          <w:sz w:val="24"/>
        </w:rPr>
        <w:t xml:space="preserve">the </w:t>
      </w:r>
      <w:r w:rsidR="00E7511E">
        <w:rPr>
          <w:rFonts w:ascii="Calibri" w:eastAsia="Times New Roman" w:hAnsi="Calibri" w:cs="Tahoma"/>
          <w:sz w:val="24"/>
        </w:rPr>
        <w:t xml:space="preserve">MIP are </w:t>
      </w:r>
      <w:r w:rsidR="005C74FA">
        <w:rPr>
          <w:rFonts w:ascii="Calibri" w:eastAsia="Times New Roman" w:hAnsi="Calibri" w:cs="Tahoma"/>
          <w:sz w:val="24"/>
        </w:rPr>
        <w:t>included in the Statements of Fiduciary Net Position as ‘Investment in UMS managed investment pool’.</w:t>
      </w:r>
    </w:p>
    <w:p w14:paraId="07AF1820" w14:textId="77777777" w:rsidR="00E7511E" w:rsidRPr="00DE50BF" w:rsidRDefault="00E7511E" w:rsidP="00E7511E">
      <w:pPr>
        <w:tabs>
          <w:tab w:val="left" w:pos="4860"/>
        </w:tabs>
        <w:rPr>
          <w:rFonts w:ascii="Calibri" w:eastAsia="Times New Roman" w:hAnsi="Calibri" w:cs="Tahoma"/>
          <w:sz w:val="20"/>
        </w:rPr>
      </w:pPr>
    </w:p>
    <w:p w14:paraId="633D3873" w14:textId="01165FFE" w:rsidR="00E7511E" w:rsidRDefault="00E7511E" w:rsidP="00E7511E">
      <w:pPr>
        <w:tabs>
          <w:tab w:val="left" w:pos="4860"/>
        </w:tabs>
        <w:spacing w:after="120"/>
        <w:rPr>
          <w:rFonts w:ascii="Calibri" w:eastAsia="Times New Roman" w:hAnsi="Calibri" w:cs="Tahoma"/>
          <w:sz w:val="24"/>
        </w:rPr>
      </w:pPr>
      <w:r>
        <w:rPr>
          <w:rFonts w:ascii="Calibri" w:eastAsia="Times New Roman" w:hAnsi="Calibri" w:cs="Tahoma"/>
          <w:sz w:val="24"/>
        </w:rPr>
        <w:t>The MIP investments are diversified among a number of asset classes to minimize risk while optimizing return. Chart 5 illustrates the percentage of holdings in each asset class and how they have changed over the past 5 years.</w:t>
      </w:r>
    </w:p>
    <w:p w14:paraId="526D4A45" w14:textId="163911DD" w:rsidR="00116231" w:rsidRDefault="00116231" w:rsidP="00E7511E">
      <w:pPr>
        <w:tabs>
          <w:tab w:val="left" w:pos="4860"/>
        </w:tabs>
        <w:spacing w:after="120"/>
        <w:rPr>
          <w:rFonts w:ascii="Calibri" w:eastAsia="Times New Roman" w:hAnsi="Calibri" w:cs="Tahoma"/>
          <w:sz w:val="24"/>
        </w:rPr>
      </w:pPr>
    </w:p>
    <w:p w14:paraId="51EC7452" w14:textId="75EBB68D" w:rsidR="00E7511E" w:rsidRDefault="00252B2A" w:rsidP="000544FC">
      <w:pPr>
        <w:tabs>
          <w:tab w:val="left" w:pos="4860"/>
        </w:tabs>
        <w:spacing w:after="120"/>
        <w:rPr>
          <w:rFonts w:ascii="Calibri" w:eastAsia="Times New Roman" w:hAnsi="Calibri" w:cs="Tahoma"/>
          <w:sz w:val="24"/>
          <w:szCs w:val="24"/>
        </w:rPr>
      </w:pPr>
      <w:r>
        <w:rPr>
          <w:noProof/>
        </w:rPr>
        <w:lastRenderedPageBreak/>
        <w:drawing>
          <wp:inline distT="0" distB="0" distL="0" distR="0" wp14:anchorId="3D14EB27" wp14:editId="0CCD0188">
            <wp:extent cx="5943600" cy="3200400"/>
            <wp:effectExtent l="0" t="0" r="0" b="0"/>
            <wp:docPr id="58" name="Chart 58">
              <a:extLst xmlns:a="http://schemas.openxmlformats.org/drawingml/2006/main">
                <a:ext uri="{FF2B5EF4-FFF2-40B4-BE49-F238E27FC236}">
                  <a16:creationId xmlns:a16="http://schemas.microsoft.com/office/drawing/2014/main" id="{00000000-0008-0000-0100-000009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E7511E">
        <w:rPr>
          <w:rFonts w:ascii="Calibri" w:eastAsia="Times New Roman" w:hAnsi="Calibri" w:cs="Tahoma"/>
          <w:sz w:val="24"/>
          <w:szCs w:val="24"/>
        </w:rPr>
        <w:t>As</w:t>
      </w:r>
      <w:r w:rsidR="00E7511E">
        <w:rPr>
          <w:rFonts w:ascii="Calibri" w:eastAsia="Times New Roman" w:hAnsi="Calibri" w:cs="Tahoma"/>
          <w:sz w:val="24"/>
        </w:rPr>
        <w:t xml:space="preserve"> shown in Chart 6, </w:t>
      </w:r>
      <w:r w:rsidR="00E7511E">
        <w:rPr>
          <w:rFonts w:ascii="Calibri" w:eastAsia="Times New Roman" w:hAnsi="Calibri" w:cs="Tahoma"/>
          <w:sz w:val="24"/>
          <w:szCs w:val="24"/>
        </w:rPr>
        <w:t>in FY2</w:t>
      </w:r>
      <w:r w:rsidR="00825A8C">
        <w:rPr>
          <w:rFonts w:ascii="Calibri" w:eastAsia="Times New Roman" w:hAnsi="Calibri" w:cs="Tahoma"/>
          <w:sz w:val="24"/>
          <w:szCs w:val="24"/>
        </w:rPr>
        <w:t>1</w:t>
      </w:r>
      <w:r w:rsidR="00E7511E">
        <w:rPr>
          <w:rFonts w:ascii="Calibri" w:eastAsia="Times New Roman" w:hAnsi="Calibri" w:cs="Tahoma"/>
          <w:sz w:val="24"/>
          <w:szCs w:val="24"/>
        </w:rPr>
        <w:t xml:space="preserve"> the </w:t>
      </w:r>
      <w:r w:rsidR="0034559E">
        <w:rPr>
          <w:rFonts w:ascii="Calibri" w:eastAsia="Times New Roman" w:hAnsi="Calibri" w:cs="Tahoma"/>
          <w:sz w:val="24"/>
          <w:szCs w:val="24"/>
        </w:rPr>
        <w:t xml:space="preserve">MIP </w:t>
      </w:r>
      <w:r w:rsidR="00E7511E">
        <w:rPr>
          <w:rFonts w:ascii="Calibri" w:eastAsia="Times New Roman" w:hAnsi="Calibri" w:cs="Tahoma"/>
          <w:sz w:val="24"/>
          <w:szCs w:val="24"/>
        </w:rPr>
        <w:t xml:space="preserve">realized a net of fees </w:t>
      </w:r>
      <w:r w:rsidR="00E7511E" w:rsidRPr="00116231">
        <w:rPr>
          <w:rFonts w:ascii="Calibri" w:eastAsia="Times New Roman" w:hAnsi="Calibri" w:cs="Tahoma"/>
          <w:sz w:val="24"/>
          <w:szCs w:val="24"/>
        </w:rPr>
        <w:t>return</w:t>
      </w:r>
      <w:r w:rsidR="00E7511E" w:rsidRPr="00172B24">
        <w:rPr>
          <w:rFonts w:ascii="Calibri" w:eastAsia="Times New Roman" w:hAnsi="Calibri" w:cs="Tahoma"/>
          <w:sz w:val="24"/>
          <w:szCs w:val="24"/>
        </w:rPr>
        <w:t xml:space="preserve"> of </w:t>
      </w:r>
      <w:r w:rsidR="004369DE" w:rsidRPr="00116231">
        <w:rPr>
          <w:rFonts w:ascii="Calibri" w:eastAsia="Times New Roman" w:hAnsi="Calibri" w:cs="Tahoma"/>
          <w:sz w:val="24"/>
          <w:szCs w:val="24"/>
        </w:rPr>
        <w:t>27.1</w:t>
      </w:r>
      <w:r w:rsidR="00E7511E" w:rsidRPr="00116231">
        <w:rPr>
          <w:rFonts w:ascii="Calibri" w:eastAsia="Times New Roman" w:hAnsi="Calibri" w:cs="Tahoma"/>
          <w:sz w:val="24"/>
          <w:szCs w:val="24"/>
        </w:rPr>
        <w:t>%</w:t>
      </w:r>
      <w:r w:rsidR="00E7511E" w:rsidRPr="00172B24">
        <w:rPr>
          <w:rFonts w:ascii="Calibri" w:eastAsia="Times New Roman" w:hAnsi="Calibri" w:cs="Tahoma"/>
          <w:sz w:val="24"/>
          <w:szCs w:val="24"/>
        </w:rPr>
        <w:t xml:space="preserve">, </w:t>
      </w:r>
      <w:r w:rsidR="004369DE" w:rsidRPr="00116231">
        <w:rPr>
          <w:rFonts w:ascii="Calibri" w:eastAsia="Times New Roman" w:hAnsi="Calibri" w:cs="Tahoma"/>
          <w:sz w:val="24"/>
          <w:szCs w:val="24"/>
        </w:rPr>
        <w:t>up</w:t>
      </w:r>
      <w:r w:rsidR="004369DE" w:rsidRPr="00172B24">
        <w:rPr>
          <w:rFonts w:ascii="Calibri" w:eastAsia="Times New Roman" w:hAnsi="Calibri" w:cs="Tahoma"/>
          <w:sz w:val="24"/>
          <w:szCs w:val="24"/>
        </w:rPr>
        <w:t xml:space="preserve"> </w:t>
      </w:r>
      <w:r w:rsidR="00E7511E">
        <w:rPr>
          <w:rFonts w:ascii="Calibri" w:eastAsia="Times New Roman" w:hAnsi="Calibri" w:cs="Tahoma"/>
          <w:sz w:val="24"/>
          <w:szCs w:val="24"/>
        </w:rPr>
        <w:t xml:space="preserve">from </w:t>
      </w:r>
      <w:r w:rsidR="00825A8C" w:rsidRPr="00B946D7">
        <w:rPr>
          <w:rFonts w:ascii="Calibri" w:eastAsia="Times New Roman" w:hAnsi="Calibri" w:cs="Tahoma"/>
          <w:sz w:val="24"/>
          <w:szCs w:val="24"/>
        </w:rPr>
        <w:t>1.1</w:t>
      </w:r>
      <w:r w:rsidR="00E7511E" w:rsidRPr="00C77182">
        <w:rPr>
          <w:rFonts w:ascii="Calibri" w:eastAsia="Times New Roman" w:hAnsi="Calibri" w:cs="Tahoma"/>
          <w:sz w:val="24"/>
          <w:szCs w:val="24"/>
        </w:rPr>
        <w:t>%</w:t>
      </w:r>
      <w:r w:rsidR="00E7511E">
        <w:rPr>
          <w:rFonts w:ascii="Calibri" w:eastAsia="Times New Roman" w:hAnsi="Calibri" w:cs="Tahoma"/>
          <w:sz w:val="24"/>
          <w:szCs w:val="24"/>
        </w:rPr>
        <w:t xml:space="preserve"> in FY</w:t>
      </w:r>
      <w:r w:rsidR="00825A8C">
        <w:rPr>
          <w:rFonts w:ascii="Calibri" w:eastAsia="Times New Roman" w:hAnsi="Calibri" w:cs="Tahoma"/>
          <w:sz w:val="24"/>
          <w:szCs w:val="24"/>
        </w:rPr>
        <w:t>20</w:t>
      </w:r>
      <w:r w:rsidR="00E7511E">
        <w:rPr>
          <w:rFonts w:ascii="Calibri" w:eastAsia="Times New Roman" w:hAnsi="Calibri" w:cs="Tahoma"/>
          <w:sz w:val="24"/>
          <w:szCs w:val="24"/>
        </w:rPr>
        <w:t xml:space="preserve">. The pooled investments have a 5-year annualized net of fees return of </w:t>
      </w:r>
      <w:r w:rsidR="004369DE" w:rsidRPr="00116231">
        <w:rPr>
          <w:rFonts w:ascii="Calibri" w:eastAsia="Times New Roman" w:hAnsi="Calibri" w:cs="Tahoma"/>
          <w:sz w:val="24"/>
          <w:szCs w:val="24"/>
        </w:rPr>
        <w:t>9.5</w:t>
      </w:r>
      <w:r w:rsidR="00E7511E" w:rsidRPr="00116231">
        <w:rPr>
          <w:rFonts w:ascii="Calibri" w:eastAsia="Times New Roman" w:hAnsi="Calibri" w:cs="Tahoma"/>
          <w:sz w:val="24"/>
          <w:szCs w:val="24"/>
        </w:rPr>
        <w:t>%</w:t>
      </w:r>
      <w:r w:rsidR="00E7511E" w:rsidRPr="00172B24">
        <w:rPr>
          <w:rFonts w:ascii="Calibri" w:eastAsia="Times New Roman" w:hAnsi="Calibri" w:cs="Tahoma"/>
          <w:sz w:val="24"/>
          <w:szCs w:val="24"/>
        </w:rPr>
        <w:t>.</w:t>
      </w:r>
    </w:p>
    <w:p w14:paraId="45F2C27B" w14:textId="5FC7DF87" w:rsidR="00FC4A79" w:rsidRDefault="000E1ABF" w:rsidP="001A18A6">
      <w:pPr>
        <w:tabs>
          <w:tab w:val="left" w:pos="9000"/>
        </w:tabs>
        <w:spacing w:before="160" w:after="160"/>
        <w:ind w:left="360" w:hanging="360"/>
        <w:jc w:val="center"/>
        <w:rPr>
          <w:b/>
          <w:i/>
          <w:sz w:val="26"/>
          <w:u w:val="single" w:color="000000" w:themeColor="text1"/>
        </w:rPr>
      </w:pPr>
      <w:r>
        <w:rPr>
          <w:noProof/>
        </w:rPr>
        <w:drawing>
          <wp:inline distT="0" distB="0" distL="0" distR="0" wp14:anchorId="259718B2" wp14:editId="2FC06825">
            <wp:extent cx="4572000" cy="2827020"/>
            <wp:effectExtent l="0" t="0" r="0" b="0"/>
            <wp:docPr id="41" name="Chart 41">
              <a:extLst xmlns:a="http://schemas.openxmlformats.org/drawingml/2006/main">
                <a:ext uri="{FF2B5EF4-FFF2-40B4-BE49-F238E27FC236}">
                  <a16:creationId xmlns:a16="http://schemas.microsoft.com/office/drawing/2014/main" id="{00000000-0008-0000-02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FC4A79">
        <w:br w:type="page"/>
      </w:r>
    </w:p>
    <w:p w14:paraId="565BC477" w14:textId="05AC818D" w:rsidR="00E7511E" w:rsidRDefault="00E7511E" w:rsidP="007531FB">
      <w:pPr>
        <w:pStyle w:val="AFR3"/>
      </w:pPr>
      <w:r>
        <w:lastRenderedPageBreak/>
        <w:t>Endowments (Including Affiliates)</w:t>
      </w:r>
    </w:p>
    <w:p w14:paraId="198CEC70" w14:textId="28DBC79E" w:rsidR="00E7511E" w:rsidRDefault="00E7511E" w:rsidP="00E7511E">
      <w:pPr>
        <w:tabs>
          <w:tab w:val="left" w:pos="4860"/>
        </w:tabs>
        <w:rPr>
          <w:rFonts w:eastAsia="Times New Roman" w:cstheme="minorHAnsi"/>
          <w:sz w:val="24"/>
        </w:rPr>
      </w:pPr>
      <w:r>
        <w:rPr>
          <w:rFonts w:eastAsia="Times New Roman" w:cstheme="minorHAnsi"/>
          <w:sz w:val="24"/>
        </w:rPr>
        <w:t>Endowments are generally created from donor gifts or bequests with the funds invested to create present and future income with the original amount of the gift (corpus) retained in perpetuity</w:t>
      </w:r>
      <w:r w:rsidR="004E7EC6">
        <w:rPr>
          <w:rFonts w:eastAsia="Times New Roman" w:cstheme="minorHAnsi"/>
          <w:sz w:val="24"/>
        </w:rPr>
        <w:t xml:space="preserve"> and are considered restricted non-expendable</w:t>
      </w:r>
      <w:r>
        <w:rPr>
          <w:rFonts w:eastAsia="Times New Roman" w:cstheme="minorHAnsi"/>
          <w:sz w:val="24"/>
        </w:rPr>
        <w:t>. If the donor established criteria to determine how the expendable amounts are to be used, such amounts are considered restricted expendable. If the use of expendable amounts is left to the discretion of the System, the endowment income and appreciation are considered unrestricted.</w:t>
      </w:r>
    </w:p>
    <w:p w14:paraId="78F3BCF9" w14:textId="77777777" w:rsidR="008D4582" w:rsidRPr="00DE50BF" w:rsidRDefault="008D4582" w:rsidP="00E7511E">
      <w:pPr>
        <w:tabs>
          <w:tab w:val="left" w:pos="4860"/>
        </w:tabs>
        <w:rPr>
          <w:rFonts w:eastAsia="Times New Roman" w:cstheme="minorHAnsi"/>
          <w:sz w:val="20"/>
        </w:rPr>
      </w:pPr>
    </w:p>
    <w:p w14:paraId="4E574B0B" w14:textId="4A6C4662" w:rsidR="00E7511E" w:rsidRDefault="00E7511E" w:rsidP="00E7511E">
      <w:pPr>
        <w:rPr>
          <w:rFonts w:eastAsia="Times New Roman" w:cstheme="minorHAnsi"/>
          <w:sz w:val="24"/>
          <w:szCs w:val="24"/>
        </w:rPr>
      </w:pPr>
      <w:r>
        <w:rPr>
          <w:rFonts w:eastAsia="Times New Roman" w:cstheme="minorHAnsi"/>
          <w:sz w:val="24"/>
          <w:szCs w:val="24"/>
        </w:rPr>
        <w:t>As mentioned in the previous MIP section, the System uses a pooled investment approach for its endowments (unless otherwise specified by the donor) and the endowments of three affiliates. Affiliates investing in the endowment pool include</w:t>
      </w:r>
      <w:r w:rsidR="00A76A93">
        <w:rPr>
          <w:rFonts w:eastAsia="Times New Roman" w:cstheme="minorHAnsi"/>
          <w:sz w:val="24"/>
          <w:szCs w:val="24"/>
        </w:rPr>
        <w:t>:</w:t>
      </w:r>
      <w:r>
        <w:rPr>
          <w:rFonts w:eastAsia="Times New Roman" w:cstheme="minorHAnsi"/>
          <w:sz w:val="24"/>
          <w:szCs w:val="24"/>
        </w:rPr>
        <w:t xml:space="preserve"> </w:t>
      </w:r>
      <w:proofErr w:type="gramStart"/>
      <w:r>
        <w:rPr>
          <w:rFonts w:eastAsia="Times New Roman" w:cstheme="minorHAnsi"/>
          <w:sz w:val="24"/>
          <w:szCs w:val="24"/>
        </w:rPr>
        <w:t>the</w:t>
      </w:r>
      <w:proofErr w:type="gramEnd"/>
      <w:r>
        <w:rPr>
          <w:rFonts w:eastAsia="Times New Roman" w:cstheme="minorHAnsi"/>
          <w:sz w:val="24"/>
          <w:szCs w:val="24"/>
        </w:rPr>
        <w:t xml:space="preserve"> University of Maine at Fort Kent Foundation, the University of Southern Maine Foundation, and the John L. Martin Scholarship Fund, Inc. </w:t>
      </w:r>
    </w:p>
    <w:p w14:paraId="05E6D458" w14:textId="77777777" w:rsidR="00E7511E" w:rsidRPr="00DE50BF" w:rsidRDefault="00E7511E" w:rsidP="00E7511E">
      <w:pPr>
        <w:ind w:left="360"/>
        <w:rPr>
          <w:rFonts w:eastAsia="Times New Roman" w:cstheme="minorHAnsi"/>
          <w:sz w:val="20"/>
          <w:szCs w:val="24"/>
        </w:rPr>
      </w:pPr>
    </w:p>
    <w:p w14:paraId="036CE44D" w14:textId="0C4B35AB" w:rsidR="00E7511E" w:rsidRPr="00A67908" w:rsidRDefault="00E7511E" w:rsidP="00E7511E">
      <w:pPr>
        <w:rPr>
          <w:rFonts w:eastAsia="Times New Roman" w:cstheme="minorHAnsi"/>
          <w:sz w:val="24"/>
          <w:szCs w:val="24"/>
        </w:rPr>
      </w:pPr>
      <w:r w:rsidRPr="00A67908">
        <w:rPr>
          <w:rFonts w:eastAsia="Times New Roman" w:cstheme="minorHAnsi"/>
          <w:sz w:val="24"/>
          <w:szCs w:val="24"/>
        </w:rPr>
        <w:t>As shown in Chart 7, the UMS and its affiliates share of these pooled endowment investments had a fair value of $</w:t>
      </w:r>
      <w:r w:rsidR="00057B2E">
        <w:rPr>
          <w:rFonts w:eastAsia="Times New Roman" w:cstheme="minorHAnsi"/>
          <w:sz w:val="24"/>
          <w:szCs w:val="24"/>
        </w:rPr>
        <w:t>196</w:t>
      </w:r>
      <w:r w:rsidR="004369DE" w:rsidRPr="00A67908">
        <w:rPr>
          <w:rFonts w:eastAsia="Times New Roman" w:cstheme="minorHAnsi"/>
          <w:sz w:val="24"/>
          <w:szCs w:val="24"/>
        </w:rPr>
        <w:t xml:space="preserve"> </w:t>
      </w:r>
      <w:r w:rsidRPr="00A67908">
        <w:rPr>
          <w:rFonts w:eastAsia="Times New Roman" w:cstheme="minorHAnsi"/>
          <w:sz w:val="24"/>
          <w:szCs w:val="24"/>
        </w:rPr>
        <w:t>million at June 30, 202</w:t>
      </w:r>
      <w:r w:rsidR="00825A8C" w:rsidRPr="00A67908">
        <w:rPr>
          <w:rFonts w:eastAsia="Times New Roman" w:cstheme="minorHAnsi"/>
          <w:sz w:val="24"/>
          <w:szCs w:val="24"/>
        </w:rPr>
        <w:t>1</w:t>
      </w:r>
      <w:r w:rsidR="008E0F06" w:rsidRPr="00A67908">
        <w:rPr>
          <w:rFonts w:eastAsia="Times New Roman" w:cstheme="minorHAnsi"/>
          <w:sz w:val="24"/>
          <w:szCs w:val="24"/>
        </w:rPr>
        <w:t>,</w:t>
      </w:r>
      <w:r w:rsidRPr="00A67908">
        <w:rPr>
          <w:rFonts w:eastAsia="Times New Roman" w:cstheme="minorHAnsi"/>
          <w:sz w:val="24"/>
          <w:szCs w:val="24"/>
        </w:rPr>
        <w:t xml:space="preserve"> </w:t>
      </w:r>
      <w:r w:rsidR="004369DE" w:rsidRPr="00A67908">
        <w:rPr>
          <w:rFonts w:eastAsia="Times New Roman" w:cstheme="minorHAnsi"/>
          <w:sz w:val="24"/>
          <w:szCs w:val="24"/>
        </w:rPr>
        <w:t>an increase of $36 million</w:t>
      </w:r>
      <w:r w:rsidRPr="00A67908">
        <w:rPr>
          <w:rFonts w:eastAsia="Times New Roman" w:cstheme="minorHAnsi"/>
          <w:sz w:val="24"/>
          <w:szCs w:val="24"/>
        </w:rPr>
        <w:t xml:space="preserve"> </w:t>
      </w:r>
      <w:r w:rsidR="004369DE" w:rsidRPr="00A67908">
        <w:rPr>
          <w:rFonts w:eastAsia="Times New Roman" w:cstheme="minorHAnsi"/>
          <w:sz w:val="24"/>
          <w:szCs w:val="24"/>
        </w:rPr>
        <w:t>from</w:t>
      </w:r>
      <w:r w:rsidRPr="00A67908">
        <w:rPr>
          <w:rFonts w:eastAsia="Times New Roman" w:cstheme="minorHAnsi"/>
          <w:sz w:val="24"/>
          <w:szCs w:val="24"/>
        </w:rPr>
        <w:t xml:space="preserve"> the prior year. This included an increase </w:t>
      </w:r>
      <w:r w:rsidR="00057B2E">
        <w:rPr>
          <w:rFonts w:eastAsia="Times New Roman" w:cstheme="minorHAnsi"/>
          <w:sz w:val="24"/>
          <w:szCs w:val="24"/>
        </w:rPr>
        <w:t xml:space="preserve">of </w:t>
      </w:r>
      <w:r w:rsidRPr="00A67908">
        <w:rPr>
          <w:rFonts w:eastAsia="Times New Roman" w:cstheme="minorHAnsi"/>
          <w:sz w:val="24"/>
          <w:szCs w:val="24"/>
        </w:rPr>
        <w:t>$</w:t>
      </w:r>
      <w:r w:rsidR="004369DE" w:rsidRPr="00A67908">
        <w:rPr>
          <w:rFonts w:eastAsia="Times New Roman" w:cstheme="minorHAnsi"/>
          <w:sz w:val="24"/>
          <w:szCs w:val="24"/>
        </w:rPr>
        <w:t>4</w:t>
      </w:r>
      <w:r w:rsidR="007271AA" w:rsidRPr="00A67908">
        <w:rPr>
          <w:rFonts w:eastAsia="Times New Roman" w:cstheme="minorHAnsi"/>
          <w:sz w:val="24"/>
          <w:szCs w:val="24"/>
        </w:rPr>
        <w:t>2</w:t>
      </w:r>
      <w:r w:rsidRPr="00A67908">
        <w:rPr>
          <w:rFonts w:eastAsia="Times New Roman" w:cstheme="minorHAnsi"/>
          <w:sz w:val="24"/>
          <w:szCs w:val="24"/>
        </w:rPr>
        <w:t xml:space="preserve"> million in positive net perform</w:t>
      </w:r>
      <w:r w:rsidR="00354A36" w:rsidRPr="00A67908">
        <w:rPr>
          <w:rFonts w:eastAsia="Times New Roman" w:cstheme="minorHAnsi"/>
          <w:sz w:val="24"/>
          <w:szCs w:val="24"/>
        </w:rPr>
        <w:t>ance less $</w:t>
      </w:r>
      <w:r w:rsidR="004369DE" w:rsidRPr="00A67908">
        <w:rPr>
          <w:rFonts w:eastAsia="Times New Roman" w:cstheme="minorHAnsi"/>
          <w:sz w:val="24"/>
          <w:szCs w:val="24"/>
        </w:rPr>
        <w:t xml:space="preserve">7 </w:t>
      </w:r>
      <w:r w:rsidRPr="00A67908">
        <w:rPr>
          <w:rFonts w:eastAsia="Times New Roman" w:cstheme="minorHAnsi"/>
          <w:sz w:val="24"/>
          <w:szCs w:val="24"/>
        </w:rPr>
        <w:t>million distributed for scholarships and other operating activities.</w:t>
      </w:r>
    </w:p>
    <w:p w14:paraId="037F1786" w14:textId="77777777" w:rsidR="00E7511E" w:rsidRPr="00A67908" w:rsidRDefault="00E7511E" w:rsidP="00E7511E">
      <w:pPr>
        <w:ind w:left="360"/>
        <w:rPr>
          <w:rFonts w:eastAsia="Times New Roman" w:cstheme="minorHAnsi"/>
          <w:sz w:val="20"/>
          <w:szCs w:val="24"/>
        </w:rPr>
      </w:pPr>
    </w:p>
    <w:p w14:paraId="576C7696" w14:textId="1ECA8AD0" w:rsidR="00FE12B6" w:rsidRDefault="00E7511E">
      <w:pPr>
        <w:spacing w:after="240"/>
        <w:rPr>
          <w:rFonts w:eastAsia="Times New Roman" w:cstheme="minorHAnsi"/>
          <w:sz w:val="24"/>
          <w:szCs w:val="24"/>
        </w:rPr>
      </w:pPr>
      <w:r w:rsidRPr="00A67908">
        <w:rPr>
          <w:rFonts w:eastAsia="Times New Roman" w:cstheme="minorHAnsi"/>
          <w:sz w:val="24"/>
          <w:szCs w:val="24"/>
        </w:rPr>
        <w:t>The pool’s June 30, 20</w:t>
      </w:r>
      <w:r w:rsidR="00825A8C" w:rsidRPr="00A67908">
        <w:rPr>
          <w:rFonts w:eastAsia="Times New Roman" w:cstheme="minorHAnsi"/>
          <w:sz w:val="24"/>
          <w:szCs w:val="24"/>
        </w:rPr>
        <w:t>20</w:t>
      </w:r>
      <w:r w:rsidRPr="00A67908">
        <w:rPr>
          <w:rFonts w:eastAsia="Times New Roman" w:cstheme="minorHAnsi"/>
          <w:sz w:val="24"/>
          <w:szCs w:val="24"/>
        </w:rPr>
        <w:t xml:space="preserve"> fair value of $16</w:t>
      </w:r>
      <w:r w:rsidR="008E0F06" w:rsidRPr="00A67908">
        <w:rPr>
          <w:rFonts w:eastAsia="Times New Roman" w:cstheme="minorHAnsi"/>
          <w:sz w:val="24"/>
          <w:szCs w:val="24"/>
        </w:rPr>
        <w:t>1</w:t>
      </w:r>
      <w:r w:rsidRPr="00A67908">
        <w:rPr>
          <w:rFonts w:eastAsia="Times New Roman" w:cstheme="minorHAnsi"/>
          <w:sz w:val="24"/>
          <w:szCs w:val="24"/>
        </w:rPr>
        <w:t xml:space="preserve"> million</w:t>
      </w:r>
      <w:r w:rsidR="0099219F" w:rsidRPr="00A67908">
        <w:rPr>
          <w:rFonts w:eastAsia="Times New Roman" w:cstheme="minorHAnsi"/>
          <w:sz w:val="24"/>
          <w:szCs w:val="24"/>
        </w:rPr>
        <w:t xml:space="preserve"> </w:t>
      </w:r>
      <w:r w:rsidRPr="00A67908">
        <w:rPr>
          <w:rFonts w:eastAsia="Times New Roman" w:cstheme="minorHAnsi"/>
          <w:sz w:val="24"/>
          <w:szCs w:val="24"/>
        </w:rPr>
        <w:t>had increased $1 million from the 20</w:t>
      </w:r>
      <w:r w:rsidR="0099219F" w:rsidRPr="00A67908">
        <w:rPr>
          <w:rFonts w:eastAsia="Times New Roman" w:cstheme="minorHAnsi"/>
          <w:sz w:val="24"/>
          <w:szCs w:val="24"/>
        </w:rPr>
        <w:t>19</w:t>
      </w:r>
      <w:r w:rsidRPr="00A67908">
        <w:rPr>
          <w:rFonts w:eastAsia="Times New Roman" w:cstheme="minorHAnsi"/>
          <w:sz w:val="24"/>
          <w:szCs w:val="24"/>
        </w:rPr>
        <w:t xml:space="preserve"> year-end fair value of $</w:t>
      </w:r>
      <w:r w:rsidR="0099219F" w:rsidRPr="00A67908">
        <w:rPr>
          <w:rFonts w:eastAsia="Times New Roman" w:cstheme="minorHAnsi"/>
          <w:sz w:val="24"/>
          <w:szCs w:val="24"/>
        </w:rPr>
        <w:t>160</w:t>
      </w:r>
      <w:r w:rsidRPr="00A67908">
        <w:rPr>
          <w:rFonts w:eastAsia="Times New Roman" w:cstheme="minorHAnsi"/>
          <w:sz w:val="24"/>
          <w:szCs w:val="24"/>
        </w:rPr>
        <w:t xml:space="preserve"> million. This increase included endowment contributions of $</w:t>
      </w:r>
      <w:r w:rsidR="007271AA" w:rsidRPr="00A67908">
        <w:rPr>
          <w:rFonts w:eastAsia="Times New Roman" w:cstheme="minorHAnsi"/>
          <w:sz w:val="24"/>
          <w:szCs w:val="24"/>
        </w:rPr>
        <w:t>5</w:t>
      </w:r>
      <w:r w:rsidRPr="00A67908">
        <w:rPr>
          <w:rFonts w:eastAsia="Times New Roman" w:cstheme="minorHAnsi"/>
          <w:sz w:val="24"/>
          <w:szCs w:val="24"/>
        </w:rPr>
        <w:t xml:space="preserve"> million plus $</w:t>
      </w:r>
      <w:r w:rsidR="00825A8C" w:rsidRPr="00A67908">
        <w:rPr>
          <w:rFonts w:eastAsia="Times New Roman" w:cstheme="minorHAnsi"/>
          <w:sz w:val="24"/>
          <w:szCs w:val="24"/>
        </w:rPr>
        <w:t>2</w:t>
      </w:r>
      <w:r w:rsidRPr="00A67908">
        <w:rPr>
          <w:rFonts w:eastAsia="Times New Roman" w:cstheme="minorHAnsi"/>
          <w:sz w:val="24"/>
          <w:szCs w:val="24"/>
        </w:rPr>
        <w:t xml:space="preserve"> million in positive net performance less $</w:t>
      </w:r>
      <w:r w:rsidR="00825A8C" w:rsidRPr="00A67908">
        <w:rPr>
          <w:rFonts w:eastAsia="Times New Roman" w:cstheme="minorHAnsi"/>
          <w:sz w:val="24"/>
          <w:szCs w:val="24"/>
        </w:rPr>
        <w:t>6</w:t>
      </w:r>
      <w:r w:rsidRPr="00A67908">
        <w:rPr>
          <w:rFonts w:eastAsia="Times New Roman" w:cstheme="minorHAnsi"/>
          <w:sz w:val="24"/>
          <w:szCs w:val="24"/>
        </w:rPr>
        <w:t xml:space="preserve"> million distributed for scholarships and other operating activities.</w:t>
      </w:r>
    </w:p>
    <w:p w14:paraId="183FA6AD" w14:textId="3C5698A5" w:rsidR="00BC61E9" w:rsidRDefault="00CB59C3" w:rsidP="00B3420B">
      <w:pPr>
        <w:spacing w:after="240"/>
        <w:jc w:val="center"/>
        <w:rPr>
          <w:rFonts w:eastAsia="Times New Roman" w:cstheme="minorHAnsi"/>
          <w:sz w:val="24"/>
          <w:szCs w:val="24"/>
        </w:rPr>
      </w:pPr>
      <w:r>
        <w:rPr>
          <w:noProof/>
        </w:rPr>
        <w:drawing>
          <wp:inline distT="0" distB="0" distL="0" distR="0" wp14:anchorId="69291C8E" wp14:editId="03680D97">
            <wp:extent cx="4572000" cy="3200400"/>
            <wp:effectExtent l="0" t="0" r="0" b="0"/>
            <wp:docPr id="69" name="Chart 69">
              <a:extLst xmlns:a="http://schemas.openxmlformats.org/drawingml/2006/main">
                <a:ext uri="{FF2B5EF4-FFF2-40B4-BE49-F238E27FC236}">
                  <a16:creationId xmlns:a16="http://schemas.microsoft.com/office/drawing/2014/main" id="{00000000-0008-0000-03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BB8E739" w14:textId="14AC4FA5" w:rsidR="00136273" w:rsidRDefault="00136273" w:rsidP="00E30D4A">
      <w:pPr>
        <w:rPr>
          <w:rFonts w:cstheme="minorHAnsi"/>
          <w:sz w:val="24"/>
        </w:rPr>
      </w:pPr>
      <w:r>
        <w:rPr>
          <w:rFonts w:cstheme="minorHAnsi"/>
          <w:sz w:val="24"/>
        </w:rPr>
        <w:t>Of the $</w:t>
      </w:r>
      <w:r w:rsidR="00E30D4A">
        <w:rPr>
          <w:rFonts w:cstheme="minorHAnsi"/>
          <w:sz w:val="24"/>
        </w:rPr>
        <w:t>196</w:t>
      </w:r>
      <w:r>
        <w:rPr>
          <w:rFonts w:cstheme="minorHAnsi"/>
          <w:sz w:val="24"/>
        </w:rPr>
        <w:t xml:space="preserve"> million in pooled endowment investment, $161 million are UMS Endowments and $</w:t>
      </w:r>
      <w:r w:rsidR="00CB59C3">
        <w:rPr>
          <w:rFonts w:cstheme="minorHAnsi"/>
          <w:sz w:val="24"/>
        </w:rPr>
        <w:t xml:space="preserve">35 </w:t>
      </w:r>
      <w:r>
        <w:rPr>
          <w:rFonts w:cstheme="minorHAnsi"/>
          <w:sz w:val="24"/>
        </w:rPr>
        <w:t xml:space="preserve">million are Affiliates Endowments. The fair value of the UMS Endowments is reported as </w:t>
      </w:r>
      <w:r>
        <w:rPr>
          <w:rFonts w:cstheme="minorHAnsi"/>
          <w:sz w:val="24"/>
        </w:rPr>
        <w:lastRenderedPageBreak/>
        <w:t xml:space="preserve">part of the </w:t>
      </w:r>
      <w:r w:rsidR="00F55971">
        <w:rPr>
          <w:rFonts w:cstheme="minorHAnsi"/>
          <w:sz w:val="24"/>
        </w:rPr>
        <w:t>‘</w:t>
      </w:r>
      <w:r>
        <w:rPr>
          <w:rFonts w:cstheme="minorHAnsi"/>
          <w:sz w:val="24"/>
        </w:rPr>
        <w:t>Endowment Investments</w:t>
      </w:r>
      <w:r w:rsidR="00F55971">
        <w:rPr>
          <w:rFonts w:cstheme="minorHAnsi"/>
          <w:sz w:val="24"/>
        </w:rPr>
        <w:t>’</w:t>
      </w:r>
      <w:r>
        <w:rPr>
          <w:rFonts w:cstheme="minorHAnsi"/>
          <w:sz w:val="24"/>
        </w:rPr>
        <w:t xml:space="preserve"> in the accompanying Condensed Statements of Net Position</w:t>
      </w:r>
      <w:r w:rsidR="00FE12B6">
        <w:rPr>
          <w:rFonts w:cstheme="minorHAnsi"/>
          <w:sz w:val="24"/>
        </w:rPr>
        <w:t>, and t</w:t>
      </w:r>
      <w:r>
        <w:rPr>
          <w:rFonts w:cstheme="minorHAnsi"/>
          <w:sz w:val="24"/>
        </w:rPr>
        <w:t>he fair value of the Affiliates Endowments is reported in the Statements of Fiduciary Net Position as ‘Investment in UMS endowment pool’.</w:t>
      </w:r>
    </w:p>
    <w:p w14:paraId="2A31F082" w14:textId="77777777" w:rsidR="00E30D4A" w:rsidRPr="002008D4" w:rsidRDefault="00E30D4A" w:rsidP="00E30D4A">
      <w:pPr>
        <w:rPr>
          <w:rFonts w:cstheme="minorHAnsi"/>
          <w:sz w:val="20"/>
          <w:szCs w:val="20"/>
        </w:rPr>
      </w:pPr>
    </w:p>
    <w:p w14:paraId="67B8F8FC" w14:textId="45B73244" w:rsidR="00E7511E" w:rsidRDefault="00E7511E" w:rsidP="00E30D4A">
      <w:pPr>
        <w:rPr>
          <w:rFonts w:cstheme="minorHAnsi"/>
          <w:sz w:val="24"/>
        </w:rPr>
      </w:pPr>
      <w:r>
        <w:rPr>
          <w:rFonts w:cstheme="minorHAnsi"/>
          <w:sz w:val="24"/>
        </w:rPr>
        <w:t xml:space="preserve">The UMS endowment distribution formula is designed to smooth market volatility. The method uses a 3-year market value average with a percentage-spending rate applied. The spending rate applied in </w:t>
      </w:r>
      <w:r w:rsidRPr="008E0F06">
        <w:rPr>
          <w:rFonts w:cstheme="minorHAnsi"/>
          <w:sz w:val="24"/>
        </w:rPr>
        <w:t>FY1</w:t>
      </w:r>
      <w:r w:rsidR="00825A8C" w:rsidRPr="008E0F06">
        <w:rPr>
          <w:rFonts w:cstheme="minorHAnsi"/>
          <w:sz w:val="24"/>
        </w:rPr>
        <w:t>7</w:t>
      </w:r>
      <w:r w:rsidRPr="008E0F06">
        <w:rPr>
          <w:rFonts w:cstheme="minorHAnsi"/>
          <w:sz w:val="24"/>
        </w:rPr>
        <w:t xml:space="preserve"> thru FY2</w:t>
      </w:r>
      <w:r w:rsidR="00825A8C" w:rsidRPr="008E0F06">
        <w:rPr>
          <w:rFonts w:cstheme="minorHAnsi"/>
          <w:sz w:val="24"/>
        </w:rPr>
        <w:t>1</w:t>
      </w:r>
      <w:r w:rsidRPr="008E0F06">
        <w:rPr>
          <w:rFonts w:cstheme="minorHAnsi"/>
          <w:sz w:val="24"/>
        </w:rPr>
        <w:t xml:space="preserve"> was 4.5</w:t>
      </w:r>
      <w:r>
        <w:rPr>
          <w:rFonts w:cstheme="minorHAnsi"/>
          <w:sz w:val="24"/>
        </w:rPr>
        <w:t>%.</w:t>
      </w:r>
    </w:p>
    <w:p w14:paraId="1F42D457" w14:textId="77777777" w:rsidR="00E7511E" w:rsidRDefault="00E7511E" w:rsidP="00E7511E">
      <w:pPr>
        <w:pStyle w:val="AFR3"/>
        <w:rPr>
          <w:rFonts w:cstheme="minorHAnsi"/>
        </w:rPr>
      </w:pPr>
      <w:r>
        <w:rPr>
          <w:rFonts w:cstheme="minorHAnsi"/>
        </w:rPr>
        <w:t>Capital Assets and Debt Activities</w:t>
      </w:r>
    </w:p>
    <w:p w14:paraId="61D8C580" w14:textId="6A12E86F" w:rsidR="00E7511E" w:rsidRDefault="00E7511E" w:rsidP="00E7511E">
      <w:pPr>
        <w:rPr>
          <w:rFonts w:cstheme="minorHAnsi"/>
          <w:sz w:val="24"/>
        </w:rPr>
      </w:pPr>
      <w:r>
        <w:rPr>
          <w:rFonts w:cstheme="minorHAnsi"/>
          <w:sz w:val="24"/>
        </w:rPr>
        <w:t xml:space="preserve">Table 4 on </w:t>
      </w:r>
      <w:r w:rsidR="00CB59C3">
        <w:rPr>
          <w:rFonts w:cstheme="minorHAnsi"/>
          <w:sz w:val="24"/>
        </w:rPr>
        <w:t xml:space="preserve">the </w:t>
      </w:r>
      <w:r w:rsidR="00CB59C3" w:rsidRPr="00831AE2">
        <w:rPr>
          <w:rFonts w:cstheme="minorHAnsi"/>
          <w:sz w:val="24"/>
        </w:rPr>
        <w:t>next</w:t>
      </w:r>
      <w:r w:rsidR="00CB59C3">
        <w:rPr>
          <w:rFonts w:cstheme="minorHAnsi"/>
          <w:sz w:val="24"/>
        </w:rPr>
        <w:t xml:space="preserve"> </w:t>
      </w:r>
      <w:r w:rsidRPr="002008D4">
        <w:rPr>
          <w:rFonts w:cstheme="minorHAnsi"/>
          <w:sz w:val="24"/>
        </w:rPr>
        <w:t xml:space="preserve">page </w:t>
      </w:r>
      <w:r>
        <w:rPr>
          <w:rFonts w:cstheme="minorHAnsi"/>
          <w:sz w:val="24"/>
        </w:rPr>
        <w:t>shows the status of major capital construction projects as of June 30, 202</w:t>
      </w:r>
      <w:r w:rsidR="005471BA">
        <w:rPr>
          <w:rFonts w:cstheme="minorHAnsi"/>
          <w:sz w:val="24"/>
        </w:rPr>
        <w:t>1</w:t>
      </w:r>
      <w:r>
        <w:rPr>
          <w:rFonts w:cstheme="minorHAnsi"/>
          <w:sz w:val="24"/>
        </w:rPr>
        <w:t xml:space="preserve"> and the related budget approved by the UMS Board of Trustees.</w:t>
      </w:r>
    </w:p>
    <w:p w14:paraId="541DACAB" w14:textId="77777777" w:rsidR="00E7511E" w:rsidRPr="00DE50BF" w:rsidRDefault="00E7511E" w:rsidP="00E7511E">
      <w:pPr>
        <w:ind w:left="360"/>
        <w:rPr>
          <w:rFonts w:cstheme="minorHAnsi"/>
          <w:sz w:val="20"/>
          <w:szCs w:val="20"/>
        </w:rPr>
      </w:pPr>
    </w:p>
    <w:p w14:paraId="11760EEA" w14:textId="77777777" w:rsidR="00E7511E" w:rsidRDefault="00E7511E" w:rsidP="00E7511E">
      <w:pPr>
        <w:rPr>
          <w:rFonts w:cstheme="minorHAnsi"/>
          <w:sz w:val="24"/>
        </w:rPr>
      </w:pPr>
      <w:r>
        <w:rPr>
          <w:rFonts w:cstheme="minorHAnsi"/>
          <w:sz w:val="24"/>
        </w:rPr>
        <w:t>The System’s facilities are critical to each university’s mission as they provide the physical framework and environment for education, research, cultural</w:t>
      </w:r>
      <w:bookmarkStart w:id="4" w:name="OLE_LINK9"/>
      <w:bookmarkStart w:id="5" w:name="OLE_LINK8"/>
      <w:r>
        <w:rPr>
          <w:rFonts w:cstheme="minorHAnsi"/>
          <w:sz w:val="24"/>
        </w:rPr>
        <w:t xml:space="preserve"> programs, and residential life. The System continually evaluates its long-term capital and strategic needs, including which facilities to upgrade, retire, or build. </w:t>
      </w:r>
      <w:bookmarkEnd w:id="4"/>
      <w:bookmarkEnd w:id="5"/>
      <w:r>
        <w:rPr>
          <w:rFonts w:cstheme="minorHAnsi"/>
          <w:sz w:val="24"/>
        </w:rPr>
        <w:t>Capital assets are funded with various sources of funds including state bonds, gifts, grants, educational and general funds, and System revenue bonds.</w:t>
      </w:r>
    </w:p>
    <w:p w14:paraId="7926E4F8" w14:textId="77777777" w:rsidR="00E7511E" w:rsidRPr="00DE50BF" w:rsidRDefault="00E7511E" w:rsidP="00E7511E">
      <w:pPr>
        <w:ind w:left="360"/>
        <w:rPr>
          <w:rFonts w:cstheme="minorHAnsi"/>
          <w:sz w:val="20"/>
          <w:szCs w:val="20"/>
        </w:rPr>
      </w:pPr>
    </w:p>
    <w:p w14:paraId="642B069C" w14:textId="0FA449AA" w:rsidR="00E7511E" w:rsidRDefault="00E7511E" w:rsidP="00E7511E">
      <w:pPr>
        <w:rPr>
          <w:rFonts w:cstheme="minorHAnsi"/>
          <w:sz w:val="24"/>
        </w:rPr>
      </w:pPr>
      <w:r>
        <w:rPr>
          <w:rFonts w:cstheme="minorHAnsi"/>
          <w:sz w:val="24"/>
        </w:rPr>
        <w:t>During FY2</w:t>
      </w:r>
      <w:r w:rsidR="00825A8C">
        <w:rPr>
          <w:rFonts w:cstheme="minorHAnsi"/>
          <w:sz w:val="24"/>
        </w:rPr>
        <w:t>1</w:t>
      </w:r>
      <w:r>
        <w:rPr>
          <w:rFonts w:cstheme="minorHAnsi"/>
          <w:sz w:val="24"/>
        </w:rPr>
        <w:t xml:space="preserve">, the System had capital asset additions </w:t>
      </w:r>
      <w:r w:rsidRPr="00B14597">
        <w:rPr>
          <w:rFonts w:cstheme="minorHAnsi"/>
          <w:sz w:val="24"/>
        </w:rPr>
        <w:t>of $</w:t>
      </w:r>
      <w:r w:rsidR="001459F2">
        <w:rPr>
          <w:rFonts w:cstheme="minorHAnsi"/>
          <w:sz w:val="24"/>
        </w:rPr>
        <w:t>50</w:t>
      </w:r>
      <w:r w:rsidRPr="00B14597">
        <w:rPr>
          <w:rFonts w:cstheme="minorHAnsi"/>
          <w:sz w:val="24"/>
        </w:rPr>
        <w:t xml:space="preserve"> million, which included $</w:t>
      </w:r>
      <w:r w:rsidR="001459F2">
        <w:rPr>
          <w:rFonts w:cstheme="minorHAnsi"/>
          <w:sz w:val="24"/>
        </w:rPr>
        <w:t>46</w:t>
      </w:r>
      <w:r w:rsidRPr="00B14597">
        <w:rPr>
          <w:rFonts w:cstheme="minorHAnsi"/>
          <w:sz w:val="24"/>
        </w:rPr>
        <w:t xml:space="preserve"> </w:t>
      </w:r>
      <w:r>
        <w:rPr>
          <w:rFonts w:cstheme="minorHAnsi"/>
          <w:sz w:val="24"/>
        </w:rPr>
        <w:t xml:space="preserve">million of construction in progress, </w:t>
      </w:r>
      <w:r w:rsidR="001459F2" w:rsidRPr="00B14597">
        <w:rPr>
          <w:rFonts w:cstheme="minorHAnsi"/>
          <w:sz w:val="24"/>
        </w:rPr>
        <w:t xml:space="preserve">and </w:t>
      </w:r>
      <w:r w:rsidRPr="00B14597">
        <w:rPr>
          <w:rFonts w:cstheme="minorHAnsi"/>
          <w:sz w:val="24"/>
        </w:rPr>
        <w:t>$</w:t>
      </w:r>
      <w:r w:rsidR="001459F2">
        <w:rPr>
          <w:rFonts w:cstheme="minorHAnsi"/>
          <w:sz w:val="24"/>
        </w:rPr>
        <w:t>4</w:t>
      </w:r>
      <w:r w:rsidRPr="00B14597">
        <w:rPr>
          <w:rFonts w:cstheme="minorHAnsi"/>
          <w:sz w:val="24"/>
        </w:rPr>
        <w:t xml:space="preserve"> million of equipment</w:t>
      </w:r>
      <w:r w:rsidR="001459F2">
        <w:rPr>
          <w:rFonts w:cstheme="minorHAnsi"/>
          <w:sz w:val="24"/>
        </w:rPr>
        <w:t>.</w:t>
      </w:r>
      <w:r>
        <w:rPr>
          <w:rFonts w:cstheme="minorHAnsi"/>
          <w:sz w:val="24"/>
        </w:rPr>
        <w:t xml:space="preserve"> In FY</w:t>
      </w:r>
      <w:r w:rsidR="00825A8C">
        <w:rPr>
          <w:rFonts w:cstheme="minorHAnsi"/>
          <w:sz w:val="24"/>
        </w:rPr>
        <w:t>20</w:t>
      </w:r>
      <w:r>
        <w:rPr>
          <w:rFonts w:cstheme="minorHAnsi"/>
          <w:sz w:val="24"/>
        </w:rPr>
        <w:t>, the System had capital asset additions of $</w:t>
      </w:r>
      <w:r w:rsidR="00825A8C">
        <w:rPr>
          <w:rFonts w:cstheme="minorHAnsi"/>
          <w:sz w:val="24"/>
        </w:rPr>
        <w:t>41</w:t>
      </w:r>
      <w:r>
        <w:rPr>
          <w:rFonts w:cstheme="minorHAnsi"/>
          <w:sz w:val="24"/>
        </w:rPr>
        <w:t xml:space="preserve"> million, which included $</w:t>
      </w:r>
      <w:r w:rsidR="00825A8C">
        <w:rPr>
          <w:rFonts w:cstheme="minorHAnsi"/>
          <w:sz w:val="24"/>
        </w:rPr>
        <w:t>31</w:t>
      </w:r>
      <w:r>
        <w:rPr>
          <w:rFonts w:cstheme="minorHAnsi"/>
          <w:sz w:val="24"/>
        </w:rPr>
        <w:t xml:space="preserve"> million of construction in progress, $</w:t>
      </w:r>
      <w:r w:rsidR="00825A8C">
        <w:rPr>
          <w:rFonts w:cstheme="minorHAnsi"/>
          <w:sz w:val="24"/>
        </w:rPr>
        <w:t>5</w:t>
      </w:r>
      <w:r>
        <w:rPr>
          <w:rFonts w:cstheme="minorHAnsi"/>
          <w:sz w:val="24"/>
        </w:rPr>
        <w:t xml:space="preserve"> million of equipment and $</w:t>
      </w:r>
      <w:r w:rsidR="00825A8C">
        <w:rPr>
          <w:rFonts w:cstheme="minorHAnsi"/>
          <w:sz w:val="24"/>
        </w:rPr>
        <w:t>5</w:t>
      </w:r>
      <w:r>
        <w:rPr>
          <w:rFonts w:cstheme="minorHAnsi"/>
          <w:sz w:val="24"/>
        </w:rPr>
        <w:t xml:space="preserve"> million of software. </w:t>
      </w:r>
    </w:p>
    <w:p w14:paraId="2E6E6161" w14:textId="77777777" w:rsidR="00D41941" w:rsidRDefault="00D41941" w:rsidP="00E7511E">
      <w:pPr>
        <w:rPr>
          <w:rFonts w:cstheme="minorHAnsi"/>
          <w:sz w:val="24"/>
        </w:rPr>
      </w:pPr>
    </w:p>
    <w:p w14:paraId="0C0175F1" w14:textId="13657A04" w:rsidR="00694120" w:rsidRDefault="00E7511E" w:rsidP="001A18A6">
      <w:pPr>
        <w:spacing w:line="256" w:lineRule="auto"/>
        <w:rPr>
          <w:rFonts w:cstheme="minorHAnsi"/>
          <w:sz w:val="24"/>
        </w:rPr>
      </w:pPr>
      <w:r>
        <w:rPr>
          <w:rFonts w:cstheme="minorHAnsi"/>
          <w:sz w:val="24"/>
        </w:rPr>
        <w:t xml:space="preserve">The System strives to manage all of its financial resources effectively, including the prudent use of debt to finance construction projects that support the System’s mission. </w:t>
      </w:r>
      <w:r w:rsidR="00694120">
        <w:rPr>
          <w:rFonts w:cstheme="minorHAnsi"/>
          <w:sz w:val="24"/>
        </w:rPr>
        <w:t xml:space="preserve">In May 2021, the System issued $43 million of bond anticipation notes (BAN) to partially finance UM’s </w:t>
      </w:r>
      <w:proofErr w:type="spellStart"/>
      <w:r w:rsidR="003606A1">
        <w:rPr>
          <w:rFonts w:cstheme="minorHAnsi"/>
          <w:sz w:val="24"/>
        </w:rPr>
        <w:t>Ferland</w:t>
      </w:r>
      <w:proofErr w:type="spellEnd"/>
      <w:r w:rsidR="003606A1">
        <w:rPr>
          <w:rFonts w:cstheme="minorHAnsi"/>
          <w:sz w:val="24"/>
        </w:rPr>
        <w:t xml:space="preserve"> </w:t>
      </w:r>
      <w:r w:rsidR="00694120">
        <w:rPr>
          <w:rFonts w:cstheme="minorHAnsi"/>
          <w:sz w:val="24"/>
        </w:rPr>
        <w:t>Engineering Education and Design Center project</w:t>
      </w:r>
      <w:r w:rsidR="003606A1">
        <w:rPr>
          <w:rFonts w:cstheme="minorHAnsi"/>
          <w:sz w:val="24"/>
        </w:rPr>
        <w:t xml:space="preserve"> and</w:t>
      </w:r>
      <w:r w:rsidR="00694120">
        <w:rPr>
          <w:rFonts w:cstheme="minorHAnsi"/>
          <w:sz w:val="24"/>
        </w:rPr>
        <w:t xml:space="preserve"> USM’s </w:t>
      </w:r>
      <w:r w:rsidR="003606A1">
        <w:rPr>
          <w:rFonts w:cstheme="minorHAnsi"/>
          <w:sz w:val="24"/>
        </w:rPr>
        <w:t>new residence hall project and new parking garage project both on the Portland campus. These three projects are</w:t>
      </w:r>
      <w:r w:rsidR="00694120">
        <w:rPr>
          <w:rFonts w:cstheme="minorHAnsi"/>
          <w:sz w:val="24"/>
        </w:rPr>
        <w:t xml:space="preserve"> noted in Tab</w:t>
      </w:r>
      <w:r w:rsidR="00EC01E9">
        <w:rPr>
          <w:rFonts w:cstheme="minorHAnsi"/>
          <w:sz w:val="24"/>
        </w:rPr>
        <w:t>l</w:t>
      </w:r>
      <w:r w:rsidR="00694120">
        <w:rPr>
          <w:rFonts w:cstheme="minorHAnsi"/>
          <w:sz w:val="24"/>
        </w:rPr>
        <w:t>e 4. The System anticipates issuing new revenue bonds in the spring of FY22 to pay off the BAN</w:t>
      </w:r>
      <w:r w:rsidR="004E7EC6">
        <w:rPr>
          <w:rFonts w:cstheme="minorHAnsi"/>
          <w:sz w:val="24"/>
        </w:rPr>
        <w:t>, to refund prior debt,</w:t>
      </w:r>
      <w:r w:rsidR="00694120">
        <w:rPr>
          <w:rFonts w:cstheme="minorHAnsi"/>
          <w:sz w:val="24"/>
        </w:rPr>
        <w:t xml:space="preserve"> and to finance additional capital projects.</w:t>
      </w:r>
    </w:p>
    <w:p w14:paraId="2D669848" w14:textId="77777777" w:rsidR="00694120" w:rsidRDefault="00694120" w:rsidP="001A18A6">
      <w:pPr>
        <w:spacing w:line="256" w:lineRule="auto"/>
        <w:rPr>
          <w:rFonts w:cstheme="minorHAnsi"/>
          <w:sz w:val="24"/>
        </w:rPr>
      </w:pPr>
    </w:p>
    <w:p w14:paraId="64030B95" w14:textId="726BE893" w:rsidR="00546533" w:rsidRDefault="00694120" w:rsidP="001A18A6">
      <w:pPr>
        <w:spacing w:line="256" w:lineRule="auto"/>
        <w:rPr>
          <w:rFonts w:cstheme="minorHAnsi"/>
          <w:b/>
          <w:sz w:val="24"/>
        </w:rPr>
      </w:pPr>
      <w:r>
        <w:rPr>
          <w:rFonts w:cstheme="minorHAnsi"/>
          <w:sz w:val="24"/>
        </w:rPr>
        <w:t>The System’s t</w:t>
      </w:r>
      <w:r w:rsidR="00E7511E">
        <w:rPr>
          <w:rFonts w:cstheme="minorHAnsi"/>
          <w:sz w:val="24"/>
        </w:rPr>
        <w:t xml:space="preserve">otal </w:t>
      </w:r>
      <w:r>
        <w:rPr>
          <w:rFonts w:cstheme="minorHAnsi"/>
          <w:sz w:val="24"/>
        </w:rPr>
        <w:t xml:space="preserve">outstanding </w:t>
      </w:r>
      <w:r w:rsidR="00E7511E">
        <w:rPr>
          <w:rFonts w:cstheme="minorHAnsi"/>
          <w:sz w:val="24"/>
        </w:rPr>
        <w:t>debt as of June 30, 202</w:t>
      </w:r>
      <w:r w:rsidR="005471BA">
        <w:rPr>
          <w:rFonts w:cstheme="minorHAnsi"/>
          <w:sz w:val="24"/>
        </w:rPr>
        <w:t>1</w:t>
      </w:r>
      <w:r w:rsidR="00E7511E">
        <w:rPr>
          <w:rFonts w:cstheme="minorHAnsi"/>
          <w:sz w:val="24"/>
        </w:rPr>
        <w:t xml:space="preserve"> was </w:t>
      </w:r>
      <w:r w:rsidR="00E7511E" w:rsidRPr="00B14597">
        <w:rPr>
          <w:rFonts w:cstheme="minorHAnsi"/>
          <w:sz w:val="24"/>
        </w:rPr>
        <w:t>$</w:t>
      </w:r>
      <w:r w:rsidR="001459F2">
        <w:rPr>
          <w:rFonts w:cstheme="minorHAnsi"/>
          <w:sz w:val="24"/>
        </w:rPr>
        <w:t>167</w:t>
      </w:r>
      <w:r w:rsidR="00E7511E" w:rsidRPr="00B14597">
        <w:rPr>
          <w:rFonts w:cstheme="minorHAnsi"/>
          <w:sz w:val="24"/>
        </w:rPr>
        <w:t xml:space="preserve"> million, a</w:t>
      </w:r>
      <w:r w:rsidR="001459F2">
        <w:rPr>
          <w:rFonts w:cstheme="minorHAnsi"/>
          <w:sz w:val="24"/>
        </w:rPr>
        <w:t>n</w:t>
      </w:r>
      <w:r w:rsidR="00E7511E" w:rsidRPr="00B14597">
        <w:rPr>
          <w:rFonts w:cstheme="minorHAnsi"/>
          <w:sz w:val="24"/>
        </w:rPr>
        <w:t xml:space="preserve"> </w:t>
      </w:r>
      <w:r w:rsidR="001459F2">
        <w:rPr>
          <w:rFonts w:cstheme="minorHAnsi"/>
          <w:sz w:val="24"/>
        </w:rPr>
        <w:t>in</w:t>
      </w:r>
      <w:r w:rsidR="00E7511E" w:rsidRPr="00B14597">
        <w:rPr>
          <w:rFonts w:cstheme="minorHAnsi"/>
          <w:sz w:val="24"/>
        </w:rPr>
        <w:t>crease of $</w:t>
      </w:r>
      <w:r w:rsidR="001459F2">
        <w:rPr>
          <w:rFonts w:cstheme="minorHAnsi"/>
          <w:sz w:val="24"/>
        </w:rPr>
        <w:t>29</w:t>
      </w:r>
      <w:r w:rsidR="00E7511E" w:rsidRPr="00B14597">
        <w:rPr>
          <w:rFonts w:cstheme="minorHAnsi"/>
          <w:sz w:val="24"/>
        </w:rPr>
        <w:t xml:space="preserve"> million, or </w:t>
      </w:r>
      <w:r w:rsidR="001459F2">
        <w:rPr>
          <w:rFonts w:cstheme="minorHAnsi"/>
          <w:sz w:val="24"/>
        </w:rPr>
        <w:t>21</w:t>
      </w:r>
      <w:r w:rsidR="00E7511E" w:rsidRPr="00B14597">
        <w:rPr>
          <w:rFonts w:cstheme="minorHAnsi"/>
          <w:sz w:val="24"/>
        </w:rPr>
        <w:t xml:space="preserve">%, </w:t>
      </w:r>
      <w:r w:rsidR="00E7511E">
        <w:rPr>
          <w:rFonts w:cstheme="minorHAnsi"/>
          <w:sz w:val="24"/>
        </w:rPr>
        <w:t>from the FY</w:t>
      </w:r>
      <w:r w:rsidR="00825A8C">
        <w:rPr>
          <w:rFonts w:cstheme="minorHAnsi"/>
          <w:sz w:val="24"/>
        </w:rPr>
        <w:t>20</w:t>
      </w:r>
      <w:r w:rsidR="00E7511E">
        <w:rPr>
          <w:rFonts w:cstheme="minorHAnsi"/>
          <w:sz w:val="24"/>
        </w:rPr>
        <w:t xml:space="preserve"> total debt of $</w:t>
      </w:r>
      <w:r w:rsidR="00825A8C">
        <w:rPr>
          <w:rFonts w:cstheme="minorHAnsi"/>
          <w:sz w:val="24"/>
        </w:rPr>
        <w:t>138</w:t>
      </w:r>
      <w:r w:rsidR="00E7511E">
        <w:rPr>
          <w:rFonts w:cstheme="minorHAnsi"/>
          <w:sz w:val="24"/>
        </w:rPr>
        <w:t xml:space="preserve"> million. In FY</w:t>
      </w:r>
      <w:r w:rsidR="00B946D7">
        <w:rPr>
          <w:rFonts w:cstheme="minorHAnsi"/>
          <w:sz w:val="24"/>
        </w:rPr>
        <w:t>20</w:t>
      </w:r>
      <w:r w:rsidR="00E7511E">
        <w:rPr>
          <w:rFonts w:cstheme="minorHAnsi"/>
          <w:sz w:val="24"/>
        </w:rPr>
        <w:t xml:space="preserve">, total debt decreased $12 million, or </w:t>
      </w:r>
      <w:r w:rsidR="00B946D7">
        <w:rPr>
          <w:rFonts w:cstheme="minorHAnsi"/>
          <w:sz w:val="24"/>
        </w:rPr>
        <w:t>8</w:t>
      </w:r>
      <w:r w:rsidR="00E7511E">
        <w:rPr>
          <w:rFonts w:cstheme="minorHAnsi"/>
          <w:sz w:val="24"/>
        </w:rPr>
        <w:t>%, from the FY</w:t>
      </w:r>
      <w:r w:rsidR="00B946D7">
        <w:rPr>
          <w:rFonts w:cstheme="minorHAnsi"/>
          <w:sz w:val="24"/>
        </w:rPr>
        <w:t>19</w:t>
      </w:r>
      <w:r w:rsidR="00E7511E">
        <w:rPr>
          <w:rFonts w:cstheme="minorHAnsi"/>
          <w:sz w:val="24"/>
        </w:rPr>
        <w:t xml:space="preserve"> total debt of $</w:t>
      </w:r>
      <w:r w:rsidR="00B946D7">
        <w:rPr>
          <w:rFonts w:cstheme="minorHAnsi"/>
          <w:sz w:val="24"/>
        </w:rPr>
        <w:t>150</w:t>
      </w:r>
      <w:r w:rsidR="00E7511E">
        <w:rPr>
          <w:rFonts w:cstheme="minorHAnsi"/>
          <w:sz w:val="24"/>
        </w:rPr>
        <w:t xml:space="preserve"> million.</w:t>
      </w:r>
      <w:r w:rsidR="00546533">
        <w:rPr>
          <w:rFonts w:cstheme="minorHAnsi"/>
          <w:b/>
          <w:sz w:val="24"/>
        </w:rPr>
        <w:br w:type="page"/>
      </w:r>
    </w:p>
    <w:p w14:paraId="47F6D090" w14:textId="5E0BEBA9" w:rsidR="00546533" w:rsidRPr="001A18A6" w:rsidRDefault="00546533" w:rsidP="00CB501D">
      <w:pPr>
        <w:jc w:val="center"/>
        <w:rPr>
          <w:rFonts w:cstheme="minorHAnsi"/>
          <w:b/>
          <w:sz w:val="24"/>
        </w:rPr>
      </w:pPr>
      <w:r w:rsidRPr="001A18A6">
        <w:rPr>
          <w:rFonts w:cstheme="minorHAnsi"/>
          <w:b/>
          <w:sz w:val="24"/>
        </w:rPr>
        <w:lastRenderedPageBreak/>
        <w:t>Table 4: Major Capital Projects Completed During FY2</w:t>
      </w:r>
      <w:r w:rsidR="006A60C3">
        <w:rPr>
          <w:rFonts w:cstheme="minorHAnsi"/>
          <w:b/>
          <w:sz w:val="24"/>
        </w:rPr>
        <w:t>1</w:t>
      </w:r>
      <w:r w:rsidRPr="001A18A6">
        <w:rPr>
          <w:rFonts w:cstheme="minorHAnsi"/>
          <w:b/>
          <w:sz w:val="24"/>
        </w:rPr>
        <w:t xml:space="preserve"> or In Progress at June 30, 202</w:t>
      </w:r>
      <w:r w:rsidR="005471BA">
        <w:rPr>
          <w:rFonts w:cstheme="minorHAnsi"/>
          <w:b/>
          <w:sz w:val="24"/>
        </w:rPr>
        <w:t>1</w:t>
      </w:r>
    </w:p>
    <w:p w14:paraId="6875DB92" w14:textId="4B3131EB" w:rsidR="009D7CA6" w:rsidRDefault="00546533" w:rsidP="00CB501D">
      <w:pPr>
        <w:jc w:val="center"/>
        <w:rPr>
          <w:rFonts w:cstheme="minorHAnsi"/>
          <w:b/>
          <w:sz w:val="24"/>
        </w:rPr>
      </w:pPr>
      <w:r w:rsidRPr="001A18A6">
        <w:rPr>
          <w:rFonts w:cstheme="minorHAnsi"/>
          <w:b/>
          <w:sz w:val="24"/>
        </w:rPr>
        <w:t>(In millions)</w:t>
      </w:r>
    </w:p>
    <w:p w14:paraId="017E0871" w14:textId="77777777" w:rsidR="009D7CA6" w:rsidRPr="00790AF8" w:rsidRDefault="009D7CA6" w:rsidP="00B3420B">
      <w:pPr>
        <w:rPr>
          <w:rFonts w:cstheme="minorHAnsi"/>
          <w:sz w:val="16"/>
        </w:rPr>
      </w:pPr>
    </w:p>
    <w:p w14:paraId="42D6811E" w14:textId="24505511" w:rsidR="00D41941" w:rsidRDefault="00606889" w:rsidP="00CB501D">
      <w:pPr>
        <w:jc w:val="center"/>
        <w:rPr>
          <w:rFonts w:cstheme="minorHAnsi"/>
          <w:sz w:val="24"/>
        </w:rPr>
      </w:pPr>
      <w:r w:rsidRPr="00606889">
        <w:rPr>
          <w:noProof/>
        </w:rPr>
        <w:drawing>
          <wp:inline distT="0" distB="0" distL="0" distR="0" wp14:anchorId="08A6B0A2" wp14:editId="55553B24">
            <wp:extent cx="5943600" cy="7380641"/>
            <wp:effectExtent l="0" t="0" r="0" b="0"/>
            <wp:docPr id="13" name="Picture 13" descr="  Project  Funding Source Status BOT Approved Budget&#10;UMA      &#10; • Augusta Campus Welcome Center  2018 State Bond Complete  $0.35 &#10; • Randall Welcome Center  2018 State Bond In Progress  2.10 &#10; • Handley Hall HVAC System Upgrade  2018 State Bond, Educational &amp; General In Progress  0.57 &#10;UMF      &#10; • Dearborn Gym Hot Water Upgrades  2010 State Bond, 2018 State Bond In Progress  0.85 &#10;UMFK      &#10; • Enrollment/Advancement Center  2018 State Bond, Educational &amp; General In Progress  3.25 &#10;UM      &#10; • Advanced Structures and Composites Center (ASCC) Equipment  Gift, Grant In Progress  1.53 &#10;•Darling Marine Center Waterfront Infrastructure  Grants, Educational &amp; General In Progress  5.20 &#10;•Engineering Education and Design Center  Educational &amp; General, Gifts In Progress  72.00 &#10;•Wells Commons Generator  Auxiliary Funds Complete  0.53 &#10;•CCAR EDA Hatchery Building Roof Replacement  Educational &amp; General Complete  0.56 &#10;•Hilltop Commons Servery Updates  Auxiliary Funds Complete  0.93 &#10;•York Hall Kitchen Hood Replacement  Auxiliary Funds Complete  0.95 &#10;•Energy Center Phase 2  Educational &amp; General In Progress  5.70 &#10;•ASCC Renovation - Mezzanine Office Expansion  Educational &amp; General In Progress  1.40 &#10;•Neville Hall Renovations  2018 State Bond In Progress  1.50 &#10;•ASCC Green Engineering &amp; Materials (GEM) Lab  Educational &amp; General In Progress  1.50 &#10;USM&#10;•Center for the Arts  Gifts In Progress  1.00 &#10;•Woodward Hall Renovation  2018 State Bond, Educational &amp; General Complete  1.80 &#10;•Brooks Student Center Generator &amp; Switchgear Installation  Educational &amp; General Complete  0.67 &#10;•Career and Student Success Center  2018 State Bond, Educational &amp; General and Gifts In Progress  26.60 &#10;•Portland Residence Hall  Revenue Bonds, Educational &amp; General In Progress  72.80 &#10;•Bailey Hall Fire Protection and Electrical Upgrades  2018 State Bond, Educational &amp; General In Progress  4.39 &#10;•Nursing Simulation Lab Science  2018 State Bond Complete  1.50 &#10;•Brooks Patio Renovations  Educational &amp; General In Progress  0.65 &#10;•Wishcamper Parking Lot  Educational &amp; General In Progress  1.71 &#10;•Portland Parking Garage Study  Educational &amp; General In Progress  1.20 &#10;•Fitness Equipment Purchase and Space Renovation  Educational &amp; General In Progress  0.70 &#10;•Steam Line  Educational &amp; General In Progress  0.60 &#10;UMPI   &#10;•Greenhouse  2013 State bond, Gifts, MEIF Complete  0.93 &#10;•Folsom 105 Nursing Renovation  2018 State Bond In Progress  0.80 &#10;•Wieden Renovation  2018 State Bond In Progress  3.76 &#10;•Solar Array Education &amp; General In Progress  0.70 &#10;UMS   &#10;•IT Infrastructure - Wireless and Classroom Technology Upgrades  2017 Revenue Bond In Progress  19.00 &#10;•MaineStreet Upgrade  2017 Revenue Bond In Progress  2.00 &#10;TOTAL  $2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380641"/>
                    </a:xfrm>
                    <a:prstGeom prst="rect">
                      <a:avLst/>
                    </a:prstGeom>
                    <a:noFill/>
                    <a:ln>
                      <a:noFill/>
                    </a:ln>
                  </pic:spPr>
                </pic:pic>
              </a:graphicData>
            </a:graphic>
          </wp:inline>
        </w:drawing>
      </w:r>
      <w:r w:rsidR="00D41941">
        <w:rPr>
          <w:rFonts w:cstheme="minorHAnsi"/>
          <w:sz w:val="24"/>
        </w:rPr>
        <w:br w:type="page"/>
      </w:r>
    </w:p>
    <w:p w14:paraId="2994811C" w14:textId="77777777" w:rsidR="00E7511E" w:rsidRDefault="00E7511E" w:rsidP="00E7511E">
      <w:pPr>
        <w:pStyle w:val="AFR3"/>
        <w:rPr>
          <w:rFonts w:cstheme="minorHAnsi"/>
        </w:rPr>
      </w:pPr>
      <w:r>
        <w:rPr>
          <w:rFonts w:cstheme="minorHAnsi"/>
        </w:rPr>
        <w:lastRenderedPageBreak/>
        <w:t>Deferred Outflows and Inflows of Resources</w:t>
      </w:r>
    </w:p>
    <w:p w14:paraId="2B13F1B9" w14:textId="63A7ACB1" w:rsidR="0075432E" w:rsidRDefault="0075432E" w:rsidP="00E7511E">
      <w:pPr>
        <w:rPr>
          <w:rFonts w:cstheme="minorHAnsi"/>
          <w:sz w:val="24"/>
        </w:rPr>
      </w:pPr>
      <w:r>
        <w:rPr>
          <w:rFonts w:cstheme="minorHAnsi"/>
          <w:sz w:val="24"/>
        </w:rPr>
        <w:t>The System’s d</w:t>
      </w:r>
      <w:r w:rsidR="00E7511E">
        <w:rPr>
          <w:rFonts w:cstheme="minorHAnsi"/>
          <w:sz w:val="24"/>
        </w:rPr>
        <w:t>eferred outflows</w:t>
      </w:r>
      <w:r>
        <w:rPr>
          <w:rFonts w:cstheme="minorHAnsi"/>
          <w:sz w:val="24"/>
        </w:rPr>
        <w:t xml:space="preserve"> and deferred inflows</w:t>
      </w:r>
      <w:r w:rsidR="00E7511E">
        <w:rPr>
          <w:rFonts w:cstheme="minorHAnsi"/>
          <w:sz w:val="24"/>
        </w:rPr>
        <w:t xml:space="preserve"> of resources </w:t>
      </w:r>
      <w:r>
        <w:rPr>
          <w:rFonts w:cstheme="minorHAnsi"/>
          <w:sz w:val="24"/>
        </w:rPr>
        <w:t xml:space="preserve">primarily relate to the System’s defined benefit pension plans and its </w:t>
      </w:r>
      <w:r w:rsidR="009640DD">
        <w:rPr>
          <w:rFonts w:cstheme="minorHAnsi"/>
          <w:sz w:val="24"/>
        </w:rPr>
        <w:t xml:space="preserve">other </w:t>
      </w:r>
      <w:r>
        <w:rPr>
          <w:rFonts w:cstheme="minorHAnsi"/>
          <w:sz w:val="24"/>
        </w:rPr>
        <w:t xml:space="preserve">postemployment health plan </w:t>
      </w:r>
      <w:r w:rsidR="009640DD">
        <w:rPr>
          <w:rFonts w:cstheme="minorHAnsi"/>
          <w:sz w:val="24"/>
        </w:rPr>
        <w:t>(</w:t>
      </w:r>
      <w:r>
        <w:rPr>
          <w:rFonts w:cstheme="minorHAnsi"/>
          <w:sz w:val="24"/>
        </w:rPr>
        <w:t>OPEB</w:t>
      </w:r>
      <w:r w:rsidR="009640DD">
        <w:rPr>
          <w:rFonts w:cstheme="minorHAnsi"/>
          <w:sz w:val="24"/>
        </w:rPr>
        <w:t>)</w:t>
      </w:r>
      <w:r>
        <w:rPr>
          <w:rFonts w:cstheme="minorHAnsi"/>
          <w:sz w:val="24"/>
        </w:rPr>
        <w:t>. The total of these deferrals can fluctuate significantly from year-to-year depending on changes in assumptions used for the plans, differences between expected and actual experience, and differences between projected and actual earnings on plan investments.  To smooth the impact of these changes, they are amortized over a period of years.</w:t>
      </w:r>
    </w:p>
    <w:p w14:paraId="0F0D687C" w14:textId="77777777" w:rsidR="0075432E" w:rsidRPr="002008D4" w:rsidRDefault="0075432E" w:rsidP="00E7511E">
      <w:pPr>
        <w:rPr>
          <w:rFonts w:cstheme="minorHAnsi"/>
          <w:sz w:val="20"/>
          <w:szCs w:val="20"/>
        </w:rPr>
      </w:pPr>
    </w:p>
    <w:p w14:paraId="4129E2B8" w14:textId="63D3B3D5" w:rsidR="00E7511E" w:rsidRDefault="0075432E" w:rsidP="00E7511E">
      <w:pPr>
        <w:rPr>
          <w:rFonts w:cstheme="minorHAnsi"/>
          <w:sz w:val="24"/>
        </w:rPr>
      </w:pPr>
      <w:r>
        <w:rPr>
          <w:rFonts w:cstheme="minorHAnsi"/>
          <w:sz w:val="24"/>
        </w:rPr>
        <w:t xml:space="preserve">At </w:t>
      </w:r>
      <w:r w:rsidR="00E7511E">
        <w:rPr>
          <w:rFonts w:cstheme="minorHAnsi"/>
          <w:sz w:val="24"/>
        </w:rPr>
        <w:t>June 30, 202</w:t>
      </w:r>
      <w:r w:rsidR="005471BA">
        <w:rPr>
          <w:rFonts w:cstheme="minorHAnsi"/>
          <w:sz w:val="24"/>
        </w:rPr>
        <w:t>1</w:t>
      </w:r>
      <w:r w:rsidR="00E7511E">
        <w:rPr>
          <w:rFonts w:cstheme="minorHAnsi"/>
          <w:sz w:val="24"/>
        </w:rPr>
        <w:t xml:space="preserve"> </w:t>
      </w:r>
      <w:r>
        <w:rPr>
          <w:rFonts w:cstheme="minorHAnsi"/>
          <w:sz w:val="24"/>
        </w:rPr>
        <w:t xml:space="preserve">deferred outflows of resources totaled $18 million, a </w:t>
      </w:r>
      <w:r w:rsidR="00A67908" w:rsidRPr="00A67908">
        <w:rPr>
          <w:rFonts w:cstheme="minorHAnsi"/>
          <w:sz w:val="24"/>
        </w:rPr>
        <w:t>de</w:t>
      </w:r>
      <w:r w:rsidR="00E7511E" w:rsidRPr="00A316AD">
        <w:rPr>
          <w:rFonts w:cstheme="minorHAnsi"/>
          <w:sz w:val="24"/>
        </w:rPr>
        <w:t xml:space="preserve">crease </w:t>
      </w:r>
      <w:r>
        <w:rPr>
          <w:rFonts w:cstheme="minorHAnsi"/>
          <w:sz w:val="24"/>
        </w:rPr>
        <w:t xml:space="preserve">of </w:t>
      </w:r>
      <w:r w:rsidR="00E7511E" w:rsidRPr="00A316AD">
        <w:rPr>
          <w:rFonts w:cstheme="minorHAnsi"/>
          <w:sz w:val="24"/>
        </w:rPr>
        <w:t>$</w:t>
      </w:r>
      <w:r w:rsidR="009D7CA6">
        <w:rPr>
          <w:rFonts w:cstheme="minorHAnsi"/>
          <w:sz w:val="24"/>
        </w:rPr>
        <w:t>13</w:t>
      </w:r>
      <w:r w:rsidR="00E7511E">
        <w:rPr>
          <w:rFonts w:cstheme="minorHAnsi"/>
          <w:sz w:val="24"/>
        </w:rPr>
        <w:t xml:space="preserve"> million from the prior year balance of </w:t>
      </w:r>
      <w:r w:rsidR="00E7511E" w:rsidRPr="00FA191E">
        <w:rPr>
          <w:rFonts w:cstheme="minorHAnsi"/>
          <w:sz w:val="24"/>
        </w:rPr>
        <w:t>$</w:t>
      </w:r>
      <w:r w:rsidR="006A60C3" w:rsidRPr="00FA191E">
        <w:rPr>
          <w:rFonts w:cstheme="minorHAnsi"/>
          <w:sz w:val="24"/>
        </w:rPr>
        <w:t>31</w:t>
      </w:r>
      <w:r w:rsidR="00E7511E">
        <w:rPr>
          <w:rFonts w:cstheme="minorHAnsi"/>
          <w:sz w:val="24"/>
        </w:rPr>
        <w:t xml:space="preserve"> million. The </w:t>
      </w:r>
      <w:r w:rsidR="00A67908" w:rsidRPr="00A67908">
        <w:rPr>
          <w:rFonts w:cstheme="minorHAnsi"/>
          <w:sz w:val="24"/>
        </w:rPr>
        <w:t>de</w:t>
      </w:r>
      <w:r w:rsidR="00E7511E" w:rsidRPr="00A316AD">
        <w:rPr>
          <w:rFonts w:cstheme="minorHAnsi"/>
          <w:sz w:val="24"/>
        </w:rPr>
        <w:t>crease</w:t>
      </w:r>
      <w:r w:rsidR="00E7511E" w:rsidRPr="00A67908">
        <w:rPr>
          <w:rFonts w:cstheme="minorHAnsi"/>
          <w:sz w:val="24"/>
        </w:rPr>
        <w:t xml:space="preserve"> i</w:t>
      </w:r>
      <w:r w:rsidR="00E7511E">
        <w:rPr>
          <w:rFonts w:cstheme="minorHAnsi"/>
          <w:sz w:val="24"/>
        </w:rPr>
        <w:t xml:space="preserve">s primarily due to a </w:t>
      </w:r>
      <w:r w:rsidR="00A67908" w:rsidRPr="00A316AD">
        <w:rPr>
          <w:rFonts w:cstheme="minorHAnsi"/>
          <w:sz w:val="24"/>
        </w:rPr>
        <w:t>de</w:t>
      </w:r>
      <w:r w:rsidR="00E7511E" w:rsidRPr="00A316AD">
        <w:rPr>
          <w:rFonts w:cstheme="minorHAnsi"/>
          <w:sz w:val="24"/>
        </w:rPr>
        <w:t>crease</w:t>
      </w:r>
      <w:r w:rsidR="00E7511E" w:rsidRPr="00A67908">
        <w:rPr>
          <w:rFonts w:cstheme="minorHAnsi"/>
          <w:sz w:val="24"/>
        </w:rPr>
        <w:t xml:space="preserve"> of </w:t>
      </w:r>
      <w:r w:rsidR="00633DA1" w:rsidRPr="00A316AD">
        <w:rPr>
          <w:rFonts w:cstheme="minorHAnsi"/>
          <w:sz w:val="24"/>
        </w:rPr>
        <w:t>$</w:t>
      </w:r>
      <w:r w:rsidR="009D7CA6">
        <w:rPr>
          <w:rFonts w:cstheme="minorHAnsi"/>
          <w:sz w:val="24"/>
        </w:rPr>
        <w:t>13</w:t>
      </w:r>
      <w:r w:rsidR="00E7511E">
        <w:rPr>
          <w:rFonts w:cstheme="minorHAnsi"/>
          <w:sz w:val="24"/>
        </w:rPr>
        <w:t xml:space="preserve"> million related to </w:t>
      </w:r>
      <w:r w:rsidR="00136C79">
        <w:rPr>
          <w:rFonts w:cstheme="minorHAnsi"/>
          <w:sz w:val="24"/>
        </w:rPr>
        <w:t>OPEB</w:t>
      </w:r>
      <w:r w:rsidR="00E7511E">
        <w:rPr>
          <w:rFonts w:cstheme="minorHAnsi"/>
          <w:sz w:val="24"/>
        </w:rPr>
        <w:t>. In FY</w:t>
      </w:r>
      <w:r w:rsidR="00B946D7">
        <w:rPr>
          <w:rFonts w:cstheme="minorHAnsi"/>
          <w:sz w:val="24"/>
        </w:rPr>
        <w:t>20</w:t>
      </w:r>
      <w:r w:rsidR="00E7511E">
        <w:rPr>
          <w:rFonts w:cstheme="minorHAnsi"/>
          <w:sz w:val="24"/>
        </w:rPr>
        <w:t>, the System’s deferred outflows of resources increased $</w:t>
      </w:r>
      <w:r w:rsidR="00B946D7">
        <w:rPr>
          <w:rFonts w:cstheme="minorHAnsi"/>
          <w:sz w:val="24"/>
        </w:rPr>
        <w:t>9</w:t>
      </w:r>
      <w:r w:rsidR="00E7511E">
        <w:rPr>
          <w:rFonts w:cstheme="minorHAnsi"/>
          <w:sz w:val="24"/>
        </w:rPr>
        <w:t xml:space="preserve"> million from the June 30, 20</w:t>
      </w:r>
      <w:r w:rsidR="00B946D7">
        <w:rPr>
          <w:rFonts w:cstheme="minorHAnsi"/>
          <w:sz w:val="24"/>
        </w:rPr>
        <w:t>19</w:t>
      </w:r>
      <w:r w:rsidR="00E7511E">
        <w:rPr>
          <w:rFonts w:cstheme="minorHAnsi"/>
          <w:sz w:val="24"/>
        </w:rPr>
        <w:t xml:space="preserve"> balance of $</w:t>
      </w:r>
      <w:r w:rsidR="006A60C3">
        <w:rPr>
          <w:rFonts w:cstheme="minorHAnsi"/>
          <w:sz w:val="24"/>
        </w:rPr>
        <w:t>22</w:t>
      </w:r>
      <w:r w:rsidR="00E7511E">
        <w:rPr>
          <w:rFonts w:cstheme="minorHAnsi"/>
          <w:sz w:val="24"/>
        </w:rPr>
        <w:t xml:space="preserve"> million</w:t>
      </w:r>
      <w:r w:rsidR="007B4ED7">
        <w:rPr>
          <w:rFonts w:cstheme="minorHAnsi"/>
          <w:sz w:val="24"/>
        </w:rPr>
        <w:t>,</w:t>
      </w:r>
      <w:r w:rsidR="006A60C3">
        <w:rPr>
          <w:rFonts w:cstheme="minorHAnsi"/>
          <w:sz w:val="24"/>
        </w:rPr>
        <w:t xml:space="preserve"> </w:t>
      </w:r>
      <w:r w:rsidR="00E7511E">
        <w:rPr>
          <w:rFonts w:cstheme="minorHAnsi"/>
          <w:sz w:val="24"/>
        </w:rPr>
        <w:t>primarily due to a $</w:t>
      </w:r>
      <w:r w:rsidR="00B946D7">
        <w:rPr>
          <w:rFonts w:cstheme="minorHAnsi"/>
          <w:sz w:val="24"/>
        </w:rPr>
        <w:t>9</w:t>
      </w:r>
      <w:r w:rsidR="00E7511E">
        <w:rPr>
          <w:rFonts w:cstheme="minorHAnsi"/>
          <w:sz w:val="24"/>
        </w:rPr>
        <w:t xml:space="preserve"> million increase </w:t>
      </w:r>
      <w:r w:rsidR="00136C79">
        <w:rPr>
          <w:rFonts w:cstheme="minorHAnsi"/>
          <w:sz w:val="24"/>
        </w:rPr>
        <w:t xml:space="preserve">also </w:t>
      </w:r>
      <w:r w:rsidR="00E7511E">
        <w:rPr>
          <w:rFonts w:cstheme="minorHAnsi"/>
          <w:sz w:val="24"/>
        </w:rPr>
        <w:t>related to OPEB.</w:t>
      </w:r>
    </w:p>
    <w:p w14:paraId="7EEB749F" w14:textId="77777777" w:rsidR="00E7511E" w:rsidRPr="00DE50BF" w:rsidRDefault="00E7511E" w:rsidP="00E7511E">
      <w:pPr>
        <w:rPr>
          <w:rFonts w:cstheme="minorHAnsi"/>
          <w:sz w:val="20"/>
          <w:szCs w:val="20"/>
        </w:rPr>
      </w:pPr>
    </w:p>
    <w:p w14:paraId="29E5F86A" w14:textId="50449EC0" w:rsidR="00E7511E" w:rsidRDefault="00E7511E" w:rsidP="00E7511E">
      <w:pPr>
        <w:rPr>
          <w:rFonts w:cstheme="minorHAnsi"/>
          <w:sz w:val="24"/>
        </w:rPr>
      </w:pPr>
      <w:r>
        <w:rPr>
          <w:rFonts w:cstheme="minorHAnsi"/>
          <w:sz w:val="24"/>
        </w:rPr>
        <w:t xml:space="preserve">Deferred inflows of resources of </w:t>
      </w:r>
      <w:r w:rsidRPr="00A316AD">
        <w:rPr>
          <w:rFonts w:cstheme="minorHAnsi"/>
          <w:sz w:val="24"/>
        </w:rPr>
        <w:t>$</w:t>
      </w:r>
      <w:r w:rsidR="00A67908">
        <w:rPr>
          <w:rFonts w:cstheme="minorHAnsi"/>
          <w:sz w:val="24"/>
        </w:rPr>
        <w:t>5</w:t>
      </w:r>
      <w:r w:rsidR="009D7CA6">
        <w:rPr>
          <w:rFonts w:cstheme="minorHAnsi"/>
          <w:sz w:val="24"/>
        </w:rPr>
        <w:t>8</w:t>
      </w:r>
      <w:r w:rsidRPr="00A67908">
        <w:rPr>
          <w:rFonts w:cstheme="minorHAnsi"/>
          <w:sz w:val="24"/>
        </w:rPr>
        <w:t xml:space="preserve"> million </w:t>
      </w:r>
      <w:r>
        <w:rPr>
          <w:rFonts w:cstheme="minorHAnsi"/>
          <w:sz w:val="24"/>
        </w:rPr>
        <w:t>at June 30, 202</w:t>
      </w:r>
      <w:r w:rsidR="005471BA">
        <w:rPr>
          <w:rFonts w:cstheme="minorHAnsi"/>
          <w:sz w:val="24"/>
        </w:rPr>
        <w:t>1</w:t>
      </w:r>
      <w:r>
        <w:rPr>
          <w:rFonts w:cstheme="minorHAnsi"/>
          <w:sz w:val="24"/>
        </w:rPr>
        <w:t xml:space="preserve"> </w:t>
      </w:r>
      <w:r w:rsidR="00A67908">
        <w:rPr>
          <w:rFonts w:cstheme="minorHAnsi"/>
          <w:sz w:val="24"/>
        </w:rPr>
        <w:t>in</w:t>
      </w:r>
      <w:r w:rsidRPr="00A316AD">
        <w:rPr>
          <w:rFonts w:cstheme="minorHAnsi"/>
          <w:sz w:val="24"/>
        </w:rPr>
        <w:t>creased $</w:t>
      </w:r>
      <w:r w:rsidR="009D7CA6">
        <w:rPr>
          <w:rFonts w:cstheme="minorHAnsi"/>
          <w:sz w:val="24"/>
        </w:rPr>
        <w:t>21</w:t>
      </w:r>
      <w:r>
        <w:rPr>
          <w:rFonts w:cstheme="minorHAnsi"/>
          <w:sz w:val="24"/>
        </w:rPr>
        <w:t xml:space="preserve"> million from the $</w:t>
      </w:r>
      <w:r w:rsidR="00B946D7">
        <w:rPr>
          <w:rFonts w:cstheme="minorHAnsi"/>
          <w:sz w:val="24"/>
        </w:rPr>
        <w:t>37</w:t>
      </w:r>
      <w:r>
        <w:rPr>
          <w:rFonts w:cstheme="minorHAnsi"/>
          <w:sz w:val="24"/>
        </w:rPr>
        <w:t xml:space="preserve"> million at June 30, 20</w:t>
      </w:r>
      <w:r w:rsidR="00B946D7">
        <w:rPr>
          <w:rFonts w:cstheme="minorHAnsi"/>
          <w:sz w:val="24"/>
        </w:rPr>
        <w:t>20</w:t>
      </w:r>
      <w:r>
        <w:rPr>
          <w:rFonts w:cstheme="minorHAnsi"/>
          <w:sz w:val="24"/>
        </w:rPr>
        <w:t xml:space="preserve">. The </w:t>
      </w:r>
      <w:r w:rsidR="00DC124B">
        <w:rPr>
          <w:rFonts w:cstheme="minorHAnsi"/>
          <w:sz w:val="24"/>
        </w:rPr>
        <w:t>in</w:t>
      </w:r>
      <w:r w:rsidRPr="00A316AD">
        <w:rPr>
          <w:rFonts w:cstheme="minorHAnsi"/>
          <w:sz w:val="24"/>
        </w:rPr>
        <w:t>crease</w:t>
      </w:r>
      <w:r>
        <w:rPr>
          <w:rFonts w:cstheme="minorHAnsi"/>
          <w:sz w:val="24"/>
        </w:rPr>
        <w:t xml:space="preserve"> is primarily due to a</w:t>
      </w:r>
      <w:r w:rsidR="00DC124B">
        <w:rPr>
          <w:rFonts w:cstheme="minorHAnsi"/>
          <w:sz w:val="24"/>
        </w:rPr>
        <w:t>n in</w:t>
      </w:r>
      <w:r w:rsidRPr="00A316AD">
        <w:rPr>
          <w:rFonts w:cstheme="minorHAnsi"/>
          <w:sz w:val="24"/>
        </w:rPr>
        <w:t>crease</w:t>
      </w:r>
      <w:r>
        <w:rPr>
          <w:rFonts w:cstheme="minorHAnsi"/>
          <w:sz w:val="24"/>
        </w:rPr>
        <w:t xml:space="preserve"> of </w:t>
      </w:r>
      <w:r w:rsidRPr="00A316AD">
        <w:rPr>
          <w:rFonts w:cstheme="minorHAnsi"/>
          <w:sz w:val="24"/>
        </w:rPr>
        <w:t>$</w:t>
      </w:r>
      <w:r w:rsidR="009D7CA6">
        <w:rPr>
          <w:rFonts w:cstheme="minorHAnsi"/>
          <w:sz w:val="24"/>
        </w:rPr>
        <w:t>22</w:t>
      </w:r>
      <w:r w:rsidRPr="00DC124B">
        <w:rPr>
          <w:rFonts w:cstheme="minorHAnsi"/>
          <w:sz w:val="24"/>
        </w:rPr>
        <w:t xml:space="preserve"> </w:t>
      </w:r>
      <w:r>
        <w:rPr>
          <w:rFonts w:cstheme="minorHAnsi"/>
          <w:sz w:val="24"/>
        </w:rPr>
        <w:t>million related to the System’s OPEB plan. In FY</w:t>
      </w:r>
      <w:r w:rsidR="00B946D7">
        <w:rPr>
          <w:rFonts w:cstheme="minorHAnsi"/>
          <w:sz w:val="24"/>
        </w:rPr>
        <w:t>20</w:t>
      </w:r>
      <w:r>
        <w:rPr>
          <w:rFonts w:cstheme="minorHAnsi"/>
          <w:sz w:val="24"/>
        </w:rPr>
        <w:t xml:space="preserve">, the System’s deferred inflows of resources </w:t>
      </w:r>
      <w:r w:rsidR="00B946D7">
        <w:rPr>
          <w:rFonts w:cstheme="minorHAnsi"/>
          <w:sz w:val="24"/>
        </w:rPr>
        <w:t>decreased</w:t>
      </w:r>
      <w:r>
        <w:rPr>
          <w:rFonts w:cstheme="minorHAnsi"/>
          <w:sz w:val="24"/>
        </w:rPr>
        <w:t xml:space="preserve"> $</w:t>
      </w:r>
      <w:r w:rsidR="00B946D7">
        <w:rPr>
          <w:rFonts w:cstheme="minorHAnsi"/>
          <w:sz w:val="24"/>
        </w:rPr>
        <w:t>7</w:t>
      </w:r>
      <w:r>
        <w:rPr>
          <w:rFonts w:cstheme="minorHAnsi"/>
          <w:sz w:val="24"/>
        </w:rPr>
        <w:t xml:space="preserve"> million from the $</w:t>
      </w:r>
      <w:r w:rsidR="00B946D7">
        <w:rPr>
          <w:rFonts w:cstheme="minorHAnsi"/>
          <w:sz w:val="24"/>
        </w:rPr>
        <w:t>44</w:t>
      </w:r>
      <w:r>
        <w:rPr>
          <w:rFonts w:cstheme="minorHAnsi"/>
          <w:sz w:val="24"/>
        </w:rPr>
        <w:t xml:space="preserve"> million at June 30, 20</w:t>
      </w:r>
      <w:r w:rsidR="00B946D7">
        <w:rPr>
          <w:rFonts w:cstheme="minorHAnsi"/>
          <w:sz w:val="24"/>
        </w:rPr>
        <w:t>19</w:t>
      </w:r>
      <w:r>
        <w:rPr>
          <w:rFonts w:cstheme="minorHAnsi"/>
          <w:sz w:val="24"/>
        </w:rPr>
        <w:t xml:space="preserve">, primarily due to a </w:t>
      </w:r>
      <w:r w:rsidR="007B4ED7">
        <w:rPr>
          <w:rFonts w:cstheme="minorHAnsi"/>
          <w:sz w:val="24"/>
        </w:rPr>
        <w:t>de</w:t>
      </w:r>
      <w:r>
        <w:rPr>
          <w:rFonts w:cstheme="minorHAnsi"/>
          <w:sz w:val="24"/>
        </w:rPr>
        <w:t>crease of $</w:t>
      </w:r>
      <w:r w:rsidR="00B946D7">
        <w:rPr>
          <w:rFonts w:cstheme="minorHAnsi"/>
          <w:sz w:val="24"/>
        </w:rPr>
        <w:t>7</w:t>
      </w:r>
      <w:r>
        <w:rPr>
          <w:rFonts w:cstheme="minorHAnsi"/>
          <w:sz w:val="24"/>
        </w:rPr>
        <w:t xml:space="preserve"> million related to the System’s OPEB plan</w:t>
      </w:r>
      <w:r w:rsidR="00B946D7">
        <w:rPr>
          <w:rFonts w:cstheme="minorHAnsi"/>
          <w:sz w:val="24"/>
        </w:rPr>
        <w:t>.</w:t>
      </w:r>
    </w:p>
    <w:p w14:paraId="7677CFB3" w14:textId="77777777" w:rsidR="00E7511E" w:rsidRDefault="00E7511E" w:rsidP="00E7511E">
      <w:pPr>
        <w:pStyle w:val="AFR3"/>
        <w:rPr>
          <w:rFonts w:cstheme="minorHAnsi"/>
        </w:rPr>
      </w:pPr>
      <w:r>
        <w:rPr>
          <w:rFonts w:cstheme="minorHAnsi"/>
        </w:rPr>
        <w:t>Net Position</w:t>
      </w:r>
    </w:p>
    <w:p w14:paraId="229030BD" w14:textId="5D9865FB" w:rsidR="006657F3" w:rsidRPr="00AA74FC" w:rsidRDefault="006657F3" w:rsidP="00E7511E">
      <w:pPr>
        <w:rPr>
          <w:rFonts w:cstheme="minorHAnsi"/>
          <w:sz w:val="24"/>
        </w:rPr>
      </w:pPr>
      <w:r>
        <w:rPr>
          <w:rFonts w:cstheme="minorHAnsi"/>
          <w:color w:val="000000" w:themeColor="text1"/>
          <w:sz w:val="24"/>
        </w:rPr>
        <w:t xml:space="preserve">As seen in the Condensed Statements of Net Position shown in Table 3 on page </w:t>
      </w:r>
      <w:r w:rsidRPr="00831AE2">
        <w:rPr>
          <w:rFonts w:cstheme="minorHAnsi"/>
          <w:color w:val="0D0D0D" w:themeColor="text1" w:themeTint="F2"/>
          <w:sz w:val="24"/>
        </w:rPr>
        <w:t>1</w:t>
      </w:r>
      <w:r w:rsidR="00287205" w:rsidRPr="00831AE2">
        <w:rPr>
          <w:rFonts w:cstheme="minorHAnsi"/>
          <w:color w:val="0D0D0D" w:themeColor="text1" w:themeTint="F2"/>
          <w:sz w:val="24"/>
        </w:rPr>
        <w:t>9</w:t>
      </w:r>
      <w:r w:rsidRPr="006E44D1">
        <w:rPr>
          <w:rFonts w:cstheme="minorHAnsi"/>
          <w:color w:val="0D0D0D" w:themeColor="text1" w:themeTint="F2"/>
          <w:sz w:val="24"/>
        </w:rPr>
        <w:t>,</w:t>
      </w:r>
      <w:r>
        <w:rPr>
          <w:rFonts w:cstheme="minorHAnsi"/>
          <w:color w:val="FF0000"/>
          <w:sz w:val="24"/>
        </w:rPr>
        <w:t xml:space="preserve"> </w:t>
      </w:r>
      <w:r w:rsidRPr="00AA74FC">
        <w:rPr>
          <w:rFonts w:cstheme="minorHAnsi"/>
          <w:sz w:val="24"/>
        </w:rPr>
        <w:t>the System’s total net position is presented by the below noted four categories.</w:t>
      </w:r>
    </w:p>
    <w:p w14:paraId="57840358" w14:textId="77777777" w:rsidR="006657F3" w:rsidRPr="00B73AEE" w:rsidRDefault="006657F3" w:rsidP="00E7511E">
      <w:pPr>
        <w:rPr>
          <w:rFonts w:cstheme="minorHAnsi"/>
          <w:color w:val="FF0000"/>
          <w:sz w:val="20"/>
        </w:rPr>
      </w:pPr>
    </w:p>
    <w:p w14:paraId="6D67F405" w14:textId="2D8FC4E3" w:rsidR="00E7511E" w:rsidRDefault="00E7511E" w:rsidP="00E7511E">
      <w:pPr>
        <w:rPr>
          <w:rFonts w:cstheme="minorHAnsi"/>
          <w:color w:val="000000" w:themeColor="text1"/>
          <w:sz w:val="24"/>
        </w:rPr>
      </w:pPr>
      <w:r>
        <w:rPr>
          <w:rFonts w:cstheme="minorHAnsi"/>
          <w:b/>
          <w:color w:val="000000" w:themeColor="text1"/>
          <w:sz w:val="24"/>
        </w:rPr>
        <w:t>Net investment in capital assets</w:t>
      </w:r>
      <w:r>
        <w:rPr>
          <w:rFonts w:cstheme="minorHAnsi"/>
          <w:color w:val="000000" w:themeColor="text1"/>
          <w:sz w:val="24"/>
        </w:rPr>
        <w:t xml:space="preserve"> represents the historical cost of the System’s capital assets reduced by total accumulated depreciation and outstanding balances of debt attributable to the acquisition, construction, or improvement of those assets. </w:t>
      </w:r>
      <w:r w:rsidR="006657F3">
        <w:rPr>
          <w:rFonts w:cstheme="minorHAnsi"/>
          <w:color w:val="000000" w:themeColor="text1"/>
          <w:sz w:val="24"/>
        </w:rPr>
        <w:t xml:space="preserve">The </w:t>
      </w:r>
      <w:r>
        <w:rPr>
          <w:rFonts w:cstheme="minorHAnsi"/>
          <w:color w:val="000000" w:themeColor="text1"/>
          <w:sz w:val="24"/>
        </w:rPr>
        <w:t xml:space="preserve">System’s net investment in capital assets was </w:t>
      </w:r>
      <w:r w:rsidRPr="00FA191E">
        <w:rPr>
          <w:rFonts w:cstheme="minorHAnsi"/>
          <w:sz w:val="24"/>
        </w:rPr>
        <w:t>$</w:t>
      </w:r>
      <w:r w:rsidR="006657F3">
        <w:rPr>
          <w:rFonts w:cstheme="minorHAnsi"/>
          <w:sz w:val="24"/>
        </w:rPr>
        <w:t>550</w:t>
      </w:r>
      <w:r w:rsidR="006657F3">
        <w:rPr>
          <w:rFonts w:cstheme="minorHAnsi"/>
          <w:color w:val="000000" w:themeColor="text1"/>
          <w:sz w:val="24"/>
        </w:rPr>
        <w:t xml:space="preserve"> </w:t>
      </w:r>
      <w:r>
        <w:rPr>
          <w:rFonts w:cstheme="minorHAnsi"/>
          <w:color w:val="000000" w:themeColor="text1"/>
          <w:sz w:val="24"/>
        </w:rPr>
        <w:t>million at June 30, 202</w:t>
      </w:r>
      <w:r w:rsidR="005471BA">
        <w:rPr>
          <w:rFonts w:cstheme="minorHAnsi"/>
          <w:color w:val="000000" w:themeColor="text1"/>
          <w:sz w:val="24"/>
        </w:rPr>
        <w:t>1</w:t>
      </w:r>
      <w:r>
        <w:rPr>
          <w:rFonts w:cstheme="minorHAnsi"/>
          <w:color w:val="000000" w:themeColor="text1"/>
          <w:sz w:val="24"/>
        </w:rPr>
        <w:t xml:space="preserve"> and $</w:t>
      </w:r>
      <w:r w:rsidR="00B946D7">
        <w:rPr>
          <w:rFonts w:cstheme="minorHAnsi"/>
          <w:color w:val="000000" w:themeColor="text1"/>
          <w:sz w:val="24"/>
        </w:rPr>
        <w:t>547</w:t>
      </w:r>
      <w:r>
        <w:rPr>
          <w:rFonts w:cstheme="minorHAnsi"/>
          <w:color w:val="000000" w:themeColor="text1"/>
          <w:sz w:val="24"/>
        </w:rPr>
        <w:t xml:space="preserve"> million at June 30, 20</w:t>
      </w:r>
      <w:r w:rsidR="00B946D7">
        <w:rPr>
          <w:rFonts w:cstheme="minorHAnsi"/>
          <w:color w:val="000000" w:themeColor="text1"/>
          <w:sz w:val="24"/>
        </w:rPr>
        <w:t>20</w:t>
      </w:r>
      <w:r>
        <w:rPr>
          <w:rFonts w:cstheme="minorHAnsi"/>
          <w:color w:val="000000" w:themeColor="text1"/>
          <w:sz w:val="24"/>
        </w:rPr>
        <w:t>.</w:t>
      </w:r>
    </w:p>
    <w:p w14:paraId="48095688" w14:textId="77777777" w:rsidR="00E7511E" w:rsidRPr="00DE50BF" w:rsidRDefault="00E7511E" w:rsidP="00E7511E">
      <w:pPr>
        <w:rPr>
          <w:rFonts w:cstheme="minorHAnsi"/>
          <w:color w:val="000000" w:themeColor="text1"/>
          <w:sz w:val="20"/>
        </w:rPr>
      </w:pPr>
    </w:p>
    <w:p w14:paraId="29497CD8" w14:textId="10F68212" w:rsidR="00E7511E" w:rsidRDefault="00E7511E" w:rsidP="00E7511E">
      <w:pPr>
        <w:rPr>
          <w:rFonts w:cstheme="minorHAnsi"/>
          <w:color w:val="000000" w:themeColor="text1"/>
          <w:sz w:val="24"/>
        </w:rPr>
      </w:pPr>
      <w:r>
        <w:rPr>
          <w:rFonts w:cstheme="minorHAnsi"/>
          <w:color w:val="000000" w:themeColor="text1"/>
          <w:sz w:val="24"/>
        </w:rPr>
        <w:t xml:space="preserve">The </w:t>
      </w:r>
      <w:r w:rsidRPr="00FA191E">
        <w:rPr>
          <w:rFonts w:cstheme="minorHAnsi"/>
          <w:sz w:val="24"/>
        </w:rPr>
        <w:t>FY2</w:t>
      </w:r>
      <w:r w:rsidR="00176BF3" w:rsidRPr="00FA191E">
        <w:rPr>
          <w:rFonts w:cstheme="minorHAnsi"/>
          <w:sz w:val="24"/>
        </w:rPr>
        <w:t>1</w:t>
      </w:r>
      <w:r w:rsidRPr="00FA191E">
        <w:rPr>
          <w:rFonts w:cstheme="minorHAnsi"/>
          <w:sz w:val="24"/>
        </w:rPr>
        <w:t xml:space="preserve"> increase </w:t>
      </w:r>
      <w:r>
        <w:rPr>
          <w:rFonts w:cstheme="minorHAnsi"/>
          <w:color w:val="000000" w:themeColor="text1"/>
          <w:sz w:val="24"/>
        </w:rPr>
        <w:t xml:space="preserve">in net investment in capital assets of </w:t>
      </w:r>
      <w:r w:rsidRPr="00FA191E">
        <w:rPr>
          <w:rFonts w:cstheme="minorHAnsi"/>
          <w:sz w:val="24"/>
        </w:rPr>
        <w:t>$</w:t>
      </w:r>
      <w:r w:rsidR="000A02AD">
        <w:rPr>
          <w:rFonts w:cstheme="minorHAnsi"/>
          <w:sz w:val="24"/>
        </w:rPr>
        <w:t>3</w:t>
      </w:r>
      <w:r w:rsidRPr="00136C79">
        <w:rPr>
          <w:rFonts w:cstheme="minorHAnsi"/>
          <w:sz w:val="24"/>
        </w:rPr>
        <w:t xml:space="preserve"> </w:t>
      </w:r>
      <w:r>
        <w:rPr>
          <w:rFonts w:cstheme="minorHAnsi"/>
          <w:color w:val="000000" w:themeColor="text1"/>
          <w:sz w:val="24"/>
        </w:rPr>
        <w:t xml:space="preserve">million </w:t>
      </w:r>
      <w:r w:rsidR="00003AD3">
        <w:rPr>
          <w:rFonts w:cstheme="minorHAnsi"/>
          <w:color w:val="000000" w:themeColor="text1"/>
          <w:sz w:val="24"/>
        </w:rPr>
        <w:t xml:space="preserve">was </w:t>
      </w:r>
      <w:r>
        <w:rPr>
          <w:rFonts w:cstheme="minorHAnsi"/>
          <w:color w:val="000000" w:themeColor="text1"/>
          <w:sz w:val="24"/>
        </w:rPr>
        <w:t xml:space="preserve">comprised of capital </w:t>
      </w:r>
      <w:r w:rsidRPr="00FA191E">
        <w:rPr>
          <w:rFonts w:cstheme="minorHAnsi"/>
          <w:sz w:val="24"/>
        </w:rPr>
        <w:t>asset acquisitions of $</w:t>
      </w:r>
      <w:r w:rsidR="00FA191E">
        <w:rPr>
          <w:rFonts w:cstheme="minorHAnsi"/>
          <w:sz w:val="24"/>
        </w:rPr>
        <w:t>50</w:t>
      </w:r>
      <w:r w:rsidRPr="00FA191E">
        <w:rPr>
          <w:rFonts w:cstheme="minorHAnsi"/>
          <w:sz w:val="24"/>
        </w:rPr>
        <w:t xml:space="preserve"> </w:t>
      </w:r>
      <w:r>
        <w:rPr>
          <w:rFonts w:cstheme="minorHAnsi"/>
          <w:color w:val="000000" w:themeColor="text1"/>
          <w:sz w:val="24"/>
        </w:rPr>
        <w:t xml:space="preserve">million </w:t>
      </w:r>
      <w:r w:rsidRPr="00701541">
        <w:rPr>
          <w:rFonts w:cstheme="minorHAnsi"/>
          <w:sz w:val="24"/>
        </w:rPr>
        <w:t>less $</w:t>
      </w:r>
      <w:r w:rsidR="00701541">
        <w:rPr>
          <w:rFonts w:cstheme="minorHAnsi"/>
          <w:sz w:val="24"/>
        </w:rPr>
        <w:t>42</w:t>
      </w:r>
      <w:r w:rsidRPr="00701541">
        <w:rPr>
          <w:rFonts w:cstheme="minorHAnsi"/>
          <w:sz w:val="24"/>
        </w:rPr>
        <w:t xml:space="preserve"> </w:t>
      </w:r>
      <w:r>
        <w:rPr>
          <w:rFonts w:cstheme="minorHAnsi"/>
          <w:color w:val="000000" w:themeColor="text1"/>
          <w:sz w:val="24"/>
        </w:rPr>
        <w:t>million of depreciation expense</w:t>
      </w:r>
      <w:r w:rsidR="000A02AD">
        <w:rPr>
          <w:rFonts w:cstheme="minorHAnsi"/>
          <w:color w:val="000000" w:themeColor="text1"/>
          <w:sz w:val="24"/>
        </w:rPr>
        <w:t>,</w:t>
      </w:r>
      <w:r w:rsidR="006F791C" w:rsidRPr="00701541">
        <w:rPr>
          <w:rFonts w:cstheme="minorHAnsi"/>
          <w:sz w:val="24"/>
        </w:rPr>
        <w:t xml:space="preserve"> </w:t>
      </w:r>
      <w:r w:rsidR="000952C1">
        <w:rPr>
          <w:rFonts w:cstheme="minorHAnsi"/>
          <w:sz w:val="24"/>
        </w:rPr>
        <w:t xml:space="preserve">less </w:t>
      </w:r>
      <w:r w:rsidRPr="00701541">
        <w:rPr>
          <w:rFonts w:cstheme="minorHAnsi"/>
          <w:sz w:val="24"/>
        </w:rPr>
        <w:t>$</w:t>
      </w:r>
      <w:r w:rsidR="00701541">
        <w:rPr>
          <w:rFonts w:cstheme="minorHAnsi"/>
          <w:sz w:val="24"/>
        </w:rPr>
        <w:t>2</w:t>
      </w:r>
      <w:r>
        <w:rPr>
          <w:rFonts w:cstheme="minorHAnsi"/>
          <w:color w:val="000000" w:themeColor="text1"/>
          <w:sz w:val="24"/>
        </w:rPr>
        <w:t xml:space="preserve"> million of capital asset retirements</w:t>
      </w:r>
      <w:r w:rsidR="000952C1">
        <w:rPr>
          <w:rFonts w:cstheme="minorHAnsi"/>
          <w:color w:val="000000" w:themeColor="text1"/>
          <w:sz w:val="24"/>
        </w:rPr>
        <w:t>, less</w:t>
      </w:r>
      <w:r w:rsidR="000A02AD">
        <w:rPr>
          <w:rFonts w:cstheme="minorHAnsi"/>
          <w:sz w:val="24"/>
        </w:rPr>
        <w:t xml:space="preserve"> new debt of $16 million</w:t>
      </w:r>
      <w:r w:rsidR="009D7CA6">
        <w:rPr>
          <w:rFonts w:cstheme="minorHAnsi"/>
          <w:sz w:val="24"/>
        </w:rPr>
        <w:t>,</w:t>
      </w:r>
      <w:r>
        <w:rPr>
          <w:rFonts w:cstheme="minorHAnsi"/>
          <w:color w:val="000000" w:themeColor="text1"/>
          <w:sz w:val="24"/>
        </w:rPr>
        <w:t xml:space="preserve"> </w:t>
      </w:r>
      <w:r w:rsidR="006F791C" w:rsidRPr="00701541">
        <w:rPr>
          <w:rFonts w:cstheme="minorHAnsi"/>
          <w:sz w:val="24"/>
        </w:rPr>
        <w:t>plus</w:t>
      </w:r>
      <w:r w:rsidR="006F791C">
        <w:rPr>
          <w:rFonts w:cstheme="minorHAnsi"/>
          <w:color w:val="000000" w:themeColor="text1"/>
          <w:sz w:val="24"/>
        </w:rPr>
        <w:t xml:space="preserve"> </w:t>
      </w:r>
      <w:r>
        <w:rPr>
          <w:rFonts w:cstheme="minorHAnsi"/>
          <w:color w:val="000000" w:themeColor="text1"/>
          <w:sz w:val="24"/>
        </w:rPr>
        <w:t xml:space="preserve">a reduction in debt of </w:t>
      </w:r>
      <w:r w:rsidRPr="00BE2B5B">
        <w:rPr>
          <w:rFonts w:cstheme="minorHAnsi"/>
          <w:sz w:val="24"/>
        </w:rPr>
        <w:t>$</w:t>
      </w:r>
      <w:r w:rsidR="000A02AD" w:rsidRPr="00BE2B5B">
        <w:rPr>
          <w:rFonts w:cstheme="minorHAnsi"/>
          <w:sz w:val="24"/>
        </w:rPr>
        <w:t>13</w:t>
      </w:r>
      <w:r>
        <w:rPr>
          <w:rFonts w:cstheme="minorHAnsi"/>
          <w:color w:val="000000" w:themeColor="text1"/>
          <w:sz w:val="24"/>
        </w:rPr>
        <w:t xml:space="preserve"> million</w:t>
      </w:r>
      <w:r w:rsidR="00701541">
        <w:rPr>
          <w:rFonts w:cstheme="minorHAnsi"/>
          <w:color w:val="000000" w:themeColor="text1"/>
          <w:sz w:val="24"/>
        </w:rPr>
        <w:t>.</w:t>
      </w:r>
      <w:r>
        <w:rPr>
          <w:rFonts w:cstheme="minorHAnsi"/>
          <w:color w:val="000000" w:themeColor="text1"/>
          <w:sz w:val="24"/>
        </w:rPr>
        <w:t xml:space="preserve"> </w:t>
      </w:r>
    </w:p>
    <w:p w14:paraId="0347315B" w14:textId="77777777" w:rsidR="00E7511E" w:rsidRPr="00DE50BF" w:rsidRDefault="00E7511E" w:rsidP="00E7511E">
      <w:pPr>
        <w:rPr>
          <w:rFonts w:cstheme="minorHAnsi"/>
          <w:color w:val="000000" w:themeColor="text1"/>
          <w:sz w:val="20"/>
        </w:rPr>
      </w:pPr>
    </w:p>
    <w:p w14:paraId="2BDF4BEB" w14:textId="0BD63861" w:rsidR="00176BF3" w:rsidRDefault="00176BF3" w:rsidP="00176BF3">
      <w:pPr>
        <w:rPr>
          <w:rFonts w:cstheme="minorHAnsi"/>
          <w:color w:val="000000" w:themeColor="text1"/>
          <w:sz w:val="24"/>
        </w:rPr>
      </w:pPr>
      <w:r>
        <w:rPr>
          <w:rFonts w:cstheme="minorHAnsi"/>
          <w:color w:val="000000" w:themeColor="text1"/>
          <w:sz w:val="24"/>
        </w:rPr>
        <w:t xml:space="preserve">The FY20 increase in net investment in capital assets of $5 million was comprised of capital asset acquisitions of $41 million less $42 million of depreciation expense, less $1 million of capital asset retirements, less new debt of $2 million, plus a reduction in debt of $14 million, less an increase in software licensing agreements of $3 million with Jaggaer and $1 million with </w:t>
      </w:r>
      <w:proofErr w:type="spellStart"/>
      <w:r>
        <w:rPr>
          <w:rFonts w:cstheme="minorHAnsi"/>
          <w:color w:val="000000" w:themeColor="text1"/>
          <w:sz w:val="24"/>
        </w:rPr>
        <w:t>TouchNet</w:t>
      </w:r>
      <w:proofErr w:type="spellEnd"/>
      <w:r>
        <w:rPr>
          <w:rFonts w:cstheme="minorHAnsi"/>
          <w:color w:val="000000" w:themeColor="text1"/>
          <w:sz w:val="24"/>
        </w:rPr>
        <w:t xml:space="preserve">, and less a $1 million increase in deferred inflows related to the dining contract with Sodexo as the contract was renewed during FY20. </w:t>
      </w:r>
    </w:p>
    <w:p w14:paraId="0C91DB92" w14:textId="77777777" w:rsidR="00E7511E" w:rsidRPr="00DE50BF" w:rsidRDefault="00E7511E" w:rsidP="00E7511E">
      <w:pPr>
        <w:rPr>
          <w:rFonts w:cstheme="minorHAnsi"/>
          <w:color w:val="000000" w:themeColor="text1"/>
          <w:sz w:val="20"/>
        </w:rPr>
      </w:pPr>
    </w:p>
    <w:p w14:paraId="52A11CD8" w14:textId="399465F3" w:rsidR="00E7511E" w:rsidRDefault="00E7511E" w:rsidP="00E7511E">
      <w:pPr>
        <w:rPr>
          <w:rFonts w:cstheme="minorHAnsi"/>
          <w:color w:val="000000" w:themeColor="text1"/>
          <w:sz w:val="24"/>
        </w:rPr>
      </w:pPr>
      <w:r>
        <w:rPr>
          <w:rFonts w:cstheme="minorHAnsi"/>
          <w:b/>
          <w:color w:val="000000" w:themeColor="text1"/>
          <w:sz w:val="24"/>
        </w:rPr>
        <w:t>Restricted-nonexpendable net position</w:t>
      </w:r>
      <w:r>
        <w:rPr>
          <w:rFonts w:cstheme="minorHAnsi"/>
          <w:color w:val="000000" w:themeColor="text1"/>
          <w:sz w:val="24"/>
        </w:rPr>
        <w:t xml:space="preserve"> </w:t>
      </w:r>
      <w:r w:rsidR="00B323E7">
        <w:rPr>
          <w:rFonts w:cstheme="minorHAnsi"/>
          <w:color w:val="000000" w:themeColor="text1"/>
          <w:sz w:val="24"/>
        </w:rPr>
        <w:t xml:space="preserve">represents the corpus of the System’s permanent endowment funds. Items that impact this category of net position include new endowment gifts and fair value fluctuations for those endowments whose fair value has fallen below the endowment corpus. The June 30, 2021 balance </w:t>
      </w:r>
      <w:r>
        <w:rPr>
          <w:rFonts w:cstheme="minorHAnsi"/>
          <w:color w:val="000000" w:themeColor="text1"/>
          <w:sz w:val="24"/>
        </w:rPr>
        <w:t xml:space="preserve">of </w:t>
      </w:r>
      <w:r w:rsidRPr="00A316AD">
        <w:rPr>
          <w:rFonts w:cstheme="minorHAnsi"/>
          <w:sz w:val="24"/>
        </w:rPr>
        <w:t>$</w:t>
      </w:r>
      <w:r w:rsidR="00DC124B">
        <w:rPr>
          <w:rFonts w:cstheme="minorHAnsi"/>
          <w:sz w:val="24"/>
        </w:rPr>
        <w:t>69</w:t>
      </w:r>
      <w:r>
        <w:rPr>
          <w:rFonts w:cstheme="minorHAnsi"/>
          <w:color w:val="000000" w:themeColor="text1"/>
          <w:sz w:val="24"/>
        </w:rPr>
        <w:t xml:space="preserve"> million </w:t>
      </w:r>
      <w:r w:rsidRPr="00A316AD">
        <w:rPr>
          <w:rFonts w:cstheme="minorHAnsi"/>
          <w:sz w:val="24"/>
        </w:rPr>
        <w:t>increased $</w:t>
      </w:r>
      <w:r w:rsidR="00DC124B">
        <w:rPr>
          <w:rFonts w:cstheme="minorHAnsi"/>
          <w:sz w:val="24"/>
        </w:rPr>
        <w:t>2</w:t>
      </w:r>
      <w:r>
        <w:rPr>
          <w:rFonts w:cstheme="minorHAnsi"/>
          <w:color w:val="000000" w:themeColor="text1"/>
          <w:sz w:val="24"/>
        </w:rPr>
        <w:t xml:space="preserve"> million, or </w:t>
      </w:r>
      <w:r w:rsidR="00DC124B">
        <w:rPr>
          <w:rFonts w:cstheme="minorHAnsi"/>
          <w:color w:val="000000" w:themeColor="text1"/>
          <w:sz w:val="24"/>
        </w:rPr>
        <w:t>3</w:t>
      </w:r>
      <w:r w:rsidRPr="00A316AD">
        <w:rPr>
          <w:rFonts w:cstheme="minorHAnsi"/>
          <w:sz w:val="24"/>
        </w:rPr>
        <w:t>%</w:t>
      </w:r>
      <w:r>
        <w:rPr>
          <w:rFonts w:cstheme="minorHAnsi"/>
          <w:color w:val="000000" w:themeColor="text1"/>
          <w:sz w:val="24"/>
        </w:rPr>
        <w:t xml:space="preserve">, over </w:t>
      </w:r>
      <w:r>
        <w:rPr>
          <w:rFonts w:cstheme="minorHAnsi"/>
          <w:color w:val="000000" w:themeColor="text1"/>
          <w:sz w:val="24"/>
        </w:rPr>
        <w:lastRenderedPageBreak/>
        <w:t>the $</w:t>
      </w:r>
      <w:r w:rsidR="00176BF3">
        <w:rPr>
          <w:rFonts w:cstheme="minorHAnsi"/>
          <w:color w:val="000000" w:themeColor="text1"/>
          <w:sz w:val="24"/>
        </w:rPr>
        <w:t>67</w:t>
      </w:r>
      <w:r>
        <w:rPr>
          <w:rFonts w:cstheme="minorHAnsi"/>
          <w:color w:val="000000" w:themeColor="text1"/>
          <w:sz w:val="24"/>
        </w:rPr>
        <w:t xml:space="preserve"> million at June 30, 20</w:t>
      </w:r>
      <w:r w:rsidR="00176BF3">
        <w:rPr>
          <w:rFonts w:cstheme="minorHAnsi"/>
          <w:color w:val="000000" w:themeColor="text1"/>
          <w:sz w:val="24"/>
        </w:rPr>
        <w:t>20</w:t>
      </w:r>
      <w:r>
        <w:rPr>
          <w:rFonts w:cstheme="minorHAnsi"/>
          <w:color w:val="000000" w:themeColor="text1"/>
          <w:sz w:val="24"/>
        </w:rPr>
        <w:t>. For FY</w:t>
      </w:r>
      <w:r w:rsidR="00176BF3">
        <w:rPr>
          <w:rFonts w:cstheme="minorHAnsi"/>
          <w:color w:val="000000" w:themeColor="text1"/>
          <w:sz w:val="24"/>
        </w:rPr>
        <w:t>20</w:t>
      </w:r>
      <w:r>
        <w:rPr>
          <w:rFonts w:cstheme="minorHAnsi"/>
          <w:color w:val="000000" w:themeColor="text1"/>
          <w:sz w:val="24"/>
        </w:rPr>
        <w:t>, restricted-</w:t>
      </w:r>
      <w:r w:rsidR="00B323E7">
        <w:rPr>
          <w:rFonts w:cstheme="minorHAnsi"/>
          <w:color w:val="000000" w:themeColor="text1"/>
          <w:sz w:val="24"/>
        </w:rPr>
        <w:t xml:space="preserve">expendable </w:t>
      </w:r>
      <w:r>
        <w:rPr>
          <w:rFonts w:cstheme="minorHAnsi"/>
          <w:color w:val="000000" w:themeColor="text1"/>
          <w:sz w:val="24"/>
        </w:rPr>
        <w:t>net position increase</w:t>
      </w:r>
      <w:r w:rsidR="007F367A">
        <w:rPr>
          <w:rFonts w:cstheme="minorHAnsi"/>
          <w:color w:val="000000" w:themeColor="text1"/>
          <w:sz w:val="24"/>
        </w:rPr>
        <w:t>d</w:t>
      </w:r>
      <w:r>
        <w:rPr>
          <w:rFonts w:cstheme="minorHAnsi"/>
          <w:color w:val="000000" w:themeColor="text1"/>
          <w:sz w:val="24"/>
        </w:rPr>
        <w:t xml:space="preserve"> $</w:t>
      </w:r>
      <w:r w:rsidR="00176BF3">
        <w:rPr>
          <w:rFonts w:cstheme="minorHAnsi"/>
          <w:color w:val="000000" w:themeColor="text1"/>
          <w:sz w:val="24"/>
        </w:rPr>
        <w:t>1</w:t>
      </w:r>
      <w:r>
        <w:rPr>
          <w:rFonts w:cstheme="minorHAnsi"/>
          <w:color w:val="000000" w:themeColor="text1"/>
          <w:sz w:val="24"/>
        </w:rPr>
        <w:t xml:space="preserve"> million, or </w:t>
      </w:r>
      <w:r w:rsidR="00176BF3">
        <w:rPr>
          <w:rFonts w:cstheme="minorHAnsi"/>
          <w:color w:val="000000" w:themeColor="text1"/>
          <w:sz w:val="24"/>
        </w:rPr>
        <w:t>2</w:t>
      </w:r>
      <w:r>
        <w:rPr>
          <w:rFonts w:cstheme="minorHAnsi"/>
          <w:color w:val="000000" w:themeColor="text1"/>
          <w:sz w:val="24"/>
        </w:rPr>
        <w:t>%, from the FY</w:t>
      </w:r>
      <w:r w:rsidR="00176BF3">
        <w:rPr>
          <w:rFonts w:cstheme="minorHAnsi"/>
          <w:color w:val="000000" w:themeColor="text1"/>
          <w:sz w:val="24"/>
        </w:rPr>
        <w:t>19</w:t>
      </w:r>
      <w:r>
        <w:rPr>
          <w:rFonts w:cstheme="minorHAnsi"/>
          <w:color w:val="000000" w:themeColor="text1"/>
          <w:sz w:val="24"/>
        </w:rPr>
        <w:t xml:space="preserve"> year-end balance of $</w:t>
      </w:r>
      <w:r w:rsidR="00176BF3">
        <w:rPr>
          <w:rFonts w:cstheme="minorHAnsi"/>
          <w:color w:val="000000" w:themeColor="text1"/>
          <w:sz w:val="24"/>
        </w:rPr>
        <w:t>66</w:t>
      </w:r>
      <w:r>
        <w:rPr>
          <w:rFonts w:cstheme="minorHAnsi"/>
          <w:color w:val="000000" w:themeColor="text1"/>
          <w:sz w:val="24"/>
        </w:rPr>
        <w:t xml:space="preserve"> million</w:t>
      </w:r>
      <w:r w:rsidR="001D6B66">
        <w:rPr>
          <w:rFonts w:cstheme="minorHAnsi"/>
          <w:color w:val="000000" w:themeColor="text1"/>
          <w:sz w:val="24"/>
        </w:rPr>
        <w:t xml:space="preserve">. </w:t>
      </w:r>
    </w:p>
    <w:p w14:paraId="09DC7C23" w14:textId="77777777" w:rsidR="00E7511E" w:rsidRPr="00DE50BF" w:rsidRDefault="00E7511E" w:rsidP="00E7511E">
      <w:pPr>
        <w:tabs>
          <w:tab w:val="left" w:pos="630"/>
        </w:tabs>
        <w:ind w:right="288"/>
        <w:rPr>
          <w:rFonts w:cstheme="minorHAnsi"/>
          <w:color w:val="000000" w:themeColor="text1"/>
          <w:sz w:val="20"/>
          <w:highlight w:val="yellow"/>
        </w:rPr>
      </w:pPr>
    </w:p>
    <w:p w14:paraId="27562B22" w14:textId="7E02665C" w:rsidR="00E7511E" w:rsidRDefault="00E7511E" w:rsidP="00E7511E">
      <w:pPr>
        <w:tabs>
          <w:tab w:val="left" w:pos="630"/>
        </w:tabs>
        <w:rPr>
          <w:rFonts w:cstheme="minorHAnsi"/>
          <w:color w:val="000000" w:themeColor="text1"/>
          <w:sz w:val="24"/>
          <w:shd w:val="clear" w:color="auto" w:fill="FFFFFF" w:themeFill="background1"/>
        </w:rPr>
      </w:pPr>
      <w:r>
        <w:rPr>
          <w:rFonts w:cstheme="minorHAnsi"/>
          <w:b/>
          <w:color w:val="000000" w:themeColor="text1"/>
          <w:sz w:val="24"/>
          <w:shd w:val="clear" w:color="auto" w:fill="FFFFFF" w:themeFill="background1"/>
        </w:rPr>
        <w:t>Restricted-expendable net position</w:t>
      </w:r>
      <w:r>
        <w:rPr>
          <w:rFonts w:cstheme="minorHAnsi"/>
          <w:color w:val="000000" w:themeColor="text1"/>
          <w:sz w:val="24"/>
          <w:shd w:val="clear" w:color="auto" w:fill="FFFFFF" w:themeFill="background1"/>
        </w:rPr>
        <w:t xml:space="preserve"> </w:t>
      </w:r>
      <w:r w:rsidR="00B323E7">
        <w:rPr>
          <w:rFonts w:cstheme="minorHAnsi"/>
          <w:color w:val="000000" w:themeColor="text1"/>
          <w:sz w:val="24"/>
          <w:shd w:val="clear" w:color="auto" w:fill="FFFFFF" w:themeFill="background1"/>
        </w:rPr>
        <w:t>consists of a variety of funds including unexpended gifts, quasi-endowments and appreciation on true endowments, subject to externally imposed conditions on spending. The restrictions include a variety of purposes including student financial aid, capital asset acquisitions, research, and public service.</w:t>
      </w:r>
      <w:r w:rsidR="00D2699A">
        <w:rPr>
          <w:rFonts w:cstheme="minorHAnsi"/>
          <w:color w:val="000000" w:themeColor="text1"/>
          <w:sz w:val="24"/>
          <w:shd w:val="clear" w:color="auto" w:fill="FFFFFF" w:themeFill="background1"/>
        </w:rPr>
        <w:t xml:space="preserve"> The June 30, 2021 balance </w:t>
      </w:r>
      <w:r>
        <w:rPr>
          <w:rFonts w:cstheme="minorHAnsi"/>
          <w:color w:val="000000" w:themeColor="text1"/>
          <w:sz w:val="24"/>
          <w:shd w:val="clear" w:color="auto" w:fill="FFFFFF" w:themeFill="background1"/>
        </w:rPr>
        <w:t xml:space="preserve">of </w:t>
      </w:r>
      <w:r w:rsidRPr="00A316AD">
        <w:rPr>
          <w:rFonts w:cstheme="minorHAnsi"/>
          <w:sz w:val="24"/>
          <w:shd w:val="clear" w:color="auto" w:fill="FFFFFF" w:themeFill="background1"/>
        </w:rPr>
        <w:t>$</w:t>
      </w:r>
      <w:r w:rsidR="00DC124B">
        <w:rPr>
          <w:rFonts w:cstheme="minorHAnsi"/>
          <w:sz w:val="24"/>
          <w:shd w:val="clear" w:color="auto" w:fill="FFFFFF" w:themeFill="background1"/>
        </w:rPr>
        <w:t>144</w:t>
      </w:r>
      <w:r>
        <w:rPr>
          <w:rFonts w:cstheme="minorHAnsi"/>
          <w:color w:val="000000" w:themeColor="text1"/>
          <w:sz w:val="24"/>
          <w:shd w:val="clear" w:color="auto" w:fill="FFFFFF" w:themeFill="background1"/>
        </w:rPr>
        <w:t xml:space="preserve"> million </w:t>
      </w:r>
      <w:r w:rsidR="00DC124B">
        <w:rPr>
          <w:rFonts w:cstheme="minorHAnsi"/>
          <w:color w:val="000000" w:themeColor="text1"/>
          <w:sz w:val="24"/>
          <w:shd w:val="clear" w:color="auto" w:fill="FFFFFF" w:themeFill="background1"/>
        </w:rPr>
        <w:t>in</w:t>
      </w:r>
      <w:r w:rsidR="00176BF3" w:rsidRPr="00A316AD">
        <w:rPr>
          <w:rFonts w:cstheme="minorHAnsi"/>
          <w:sz w:val="24"/>
          <w:shd w:val="clear" w:color="auto" w:fill="FFFFFF" w:themeFill="background1"/>
        </w:rPr>
        <w:t>crease</w:t>
      </w:r>
      <w:r w:rsidR="00D2699A">
        <w:rPr>
          <w:rFonts w:cstheme="minorHAnsi"/>
          <w:sz w:val="24"/>
          <w:shd w:val="clear" w:color="auto" w:fill="FFFFFF" w:themeFill="background1"/>
        </w:rPr>
        <w:t xml:space="preserve">d </w:t>
      </w:r>
      <w:r w:rsidR="00176BF3" w:rsidRPr="00A316AD">
        <w:rPr>
          <w:rFonts w:cstheme="minorHAnsi"/>
          <w:sz w:val="24"/>
          <w:shd w:val="clear" w:color="auto" w:fill="FFFFFF" w:themeFill="background1"/>
        </w:rPr>
        <w:t>$</w:t>
      </w:r>
      <w:r w:rsidR="00DC124B">
        <w:rPr>
          <w:rFonts w:cstheme="minorHAnsi"/>
          <w:sz w:val="24"/>
          <w:shd w:val="clear" w:color="auto" w:fill="FFFFFF" w:themeFill="background1"/>
        </w:rPr>
        <w:t>29</w:t>
      </w:r>
      <w:r w:rsidR="00176BF3">
        <w:rPr>
          <w:rFonts w:cstheme="minorHAnsi"/>
          <w:color w:val="000000" w:themeColor="text1"/>
          <w:sz w:val="24"/>
          <w:shd w:val="clear" w:color="auto" w:fill="FFFFFF" w:themeFill="background1"/>
        </w:rPr>
        <w:t xml:space="preserve"> million, or </w:t>
      </w:r>
      <w:r w:rsidR="00DC124B">
        <w:rPr>
          <w:rFonts w:cstheme="minorHAnsi"/>
          <w:color w:val="000000" w:themeColor="text1"/>
          <w:sz w:val="24"/>
          <w:shd w:val="clear" w:color="auto" w:fill="FFFFFF" w:themeFill="background1"/>
        </w:rPr>
        <w:t>25</w:t>
      </w:r>
      <w:r w:rsidR="00176BF3" w:rsidRPr="00A316AD">
        <w:rPr>
          <w:rFonts w:cstheme="minorHAnsi"/>
          <w:sz w:val="24"/>
          <w:shd w:val="clear" w:color="auto" w:fill="FFFFFF" w:themeFill="background1"/>
        </w:rPr>
        <w:t>%</w:t>
      </w:r>
      <w:r w:rsidR="00D2699A">
        <w:rPr>
          <w:rFonts w:cstheme="minorHAnsi"/>
          <w:sz w:val="24"/>
          <w:shd w:val="clear" w:color="auto" w:fill="FFFFFF" w:themeFill="background1"/>
        </w:rPr>
        <w:t xml:space="preserve"> </w:t>
      </w:r>
      <w:r w:rsidR="0069623F">
        <w:rPr>
          <w:rFonts w:cstheme="minorHAnsi"/>
          <w:sz w:val="24"/>
          <w:shd w:val="clear" w:color="auto" w:fill="FFFFFF" w:themeFill="background1"/>
        </w:rPr>
        <w:t xml:space="preserve">over the June 30, 2020 balance of $115 million. </w:t>
      </w:r>
      <w:r w:rsidR="00D2699A">
        <w:rPr>
          <w:rFonts w:cstheme="minorHAnsi"/>
          <w:sz w:val="24"/>
          <w:shd w:val="clear" w:color="auto" w:fill="FFFFFF" w:themeFill="background1"/>
        </w:rPr>
        <w:t xml:space="preserve"> This increase </w:t>
      </w:r>
      <w:r w:rsidR="00176BF3">
        <w:rPr>
          <w:rFonts w:cstheme="minorHAnsi"/>
          <w:color w:val="000000" w:themeColor="text1"/>
          <w:sz w:val="24"/>
          <w:shd w:val="clear" w:color="auto" w:fill="FFFFFF" w:themeFill="background1"/>
        </w:rPr>
        <w:t xml:space="preserve">is primarily attributable to </w:t>
      </w:r>
      <w:r w:rsidR="00F312EE">
        <w:rPr>
          <w:rFonts w:cstheme="minorHAnsi"/>
          <w:sz w:val="24"/>
          <w:shd w:val="clear" w:color="auto" w:fill="FFFFFF" w:themeFill="background1"/>
        </w:rPr>
        <w:t xml:space="preserve">$25 million </w:t>
      </w:r>
      <w:r w:rsidR="00D2699A">
        <w:rPr>
          <w:rFonts w:cstheme="minorHAnsi"/>
          <w:sz w:val="24"/>
          <w:shd w:val="clear" w:color="auto" w:fill="FFFFFF" w:themeFill="background1"/>
        </w:rPr>
        <w:t xml:space="preserve">of </w:t>
      </w:r>
      <w:r w:rsidR="007708FF">
        <w:rPr>
          <w:rFonts w:cstheme="minorHAnsi"/>
          <w:sz w:val="24"/>
          <w:shd w:val="clear" w:color="auto" w:fill="FFFFFF" w:themeFill="background1"/>
        </w:rPr>
        <w:t>invest</w:t>
      </w:r>
      <w:r w:rsidR="00D2699A">
        <w:rPr>
          <w:rFonts w:cstheme="minorHAnsi"/>
          <w:sz w:val="24"/>
          <w:shd w:val="clear" w:color="auto" w:fill="FFFFFF" w:themeFill="background1"/>
        </w:rPr>
        <w:t>ment</w:t>
      </w:r>
      <w:r w:rsidR="007708FF">
        <w:rPr>
          <w:rFonts w:cstheme="minorHAnsi"/>
          <w:sz w:val="24"/>
          <w:shd w:val="clear" w:color="auto" w:fill="FFFFFF" w:themeFill="background1"/>
        </w:rPr>
        <w:t xml:space="preserve"> performance </w:t>
      </w:r>
      <w:r w:rsidR="00D2699A">
        <w:rPr>
          <w:rFonts w:cstheme="minorHAnsi"/>
          <w:sz w:val="24"/>
          <w:shd w:val="clear" w:color="auto" w:fill="FFFFFF" w:themeFill="background1"/>
        </w:rPr>
        <w:t xml:space="preserve">in </w:t>
      </w:r>
      <w:r w:rsidR="007708FF">
        <w:rPr>
          <w:rFonts w:cstheme="minorHAnsi"/>
          <w:sz w:val="24"/>
          <w:shd w:val="clear" w:color="auto" w:fill="FFFFFF" w:themeFill="background1"/>
        </w:rPr>
        <w:t>exce</w:t>
      </w:r>
      <w:r w:rsidR="00D2699A">
        <w:rPr>
          <w:rFonts w:cstheme="minorHAnsi"/>
          <w:sz w:val="24"/>
          <w:shd w:val="clear" w:color="auto" w:fill="FFFFFF" w:themeFill="background1"/>
        </w:rPr>
        <w:t>ss of</w:t>
      </w:r>
      <w:r w:rsidR="007708FF">
        <w:rPr>
          <w:rFonts w:cstheme="minorHAnsi"/>
          <w:sz w:val="24"/>
          <w:shd w:val="clear" w:color="auto" w:fill="FFFFFF" w:themeFill="background1"/>
        </w:rPr>
        <w:t xml:space="preserve"> endowment income distributed for operations</w:t>
      </w:r>
      <w:r w:rsidR="00D2699A">
        <w:rPr>
          <w:rFonts w:cstheme="minorHAnsi"/>
          <w:sz w:val="24"/>
          <w:shd w:val="clear" w:color="auto" w:fill="FFFFFF" w:themeFill="background1"/>
        </w:rPr>
        <w:t xml:space="preserve">, </w:t>
      </w:r>
      <w:r w:rsidR="007708FF">
        <w:rPr>
          <w:rFonts w:cstheme="minorHAnsi"/>
          <w:sz w:val="24"/>
          <w:shd w:val="clear" w:color="auto" w:fill="FFFFFF" w:themeFill="background1"/>
        </w:rPr>
        <w:t xml:space="preserve">plus a </w:t>
      </w:r>
      <w:r w:rsidR="00794171" w:rsidRPr="00BE2B5B">
        <w:rPr>
          <w:rFonts w:cstheme="minorHAnsi"/>
          <w:sz w:val="24"/>
          <w:shd w:val="clear" w:color="auto" w:fill="FFFFFF" w:themeFill="background1"/>
        </w:rPr>
        <w:t>$</w:t>
      </w:r>
      <w:r w:rsidR="00794171">
        <w:rPr>
          <w:rFonts w:cstheme="minorHAnsi"/>
          <w:sz w:val="24"/>
          <w:shd w:val="clear" w:color="auto" w:fill="FFFFFF" w:themeFill="background1"/>
        </w:rPr>
        <w:t xml:space="preserve">2 </w:t>
      </w:r>
      <w:r w:rsidR="00176BF3" w:rsidRPr="00BE2B5B">
        <w:rPr>
          <w:rFonts w:cstheme="minorHAnsi"/>
          <w:sz w:val="24"/>
          <w:shd w:val="clear" w:color="auto" w:fill="FFFFFF" w:themeFill="background1"/>
        </w:rPr>
        <w:t xml:space="preserve">million increase </w:t>
      </w:r>
      <w:r w:rsidR="00176BF3" w:rsidRPr="007557AB">
        <w:rPr>
          <w:rFonts w:cstheme="minorHAnsi"/>
          <w:color w:val="000000" w:themeColor="text1"/>
          <w:sz w:val="24"/>
          <w:shd w:val="clear" w:color="auto" w:fill="FFFFFF" w:themeFill="background1"/>
        </w:rPr>
        <w:t xml:space="preserve">in </w:t>
      </w:r>
      <w:r w:rsidR="00176BF3">
        <w:rPr>
          <w:rFonts w:cstheme="minorHAnsi"/>
          <w:color w:val="000000" w:themeColor="text1"/>
          <w:sz w:val="24"/>
          <w:shd w:val="clear" w:color="auto" w:fill="FFFFFF" w:themeFill="background1"/>
        </w:rPr>
        <w:t xml:space="preserve">unspent </w:t>
      </w:r>
      <w:r w:rsidR="00176BF3" w:rsidRPr="007557AB">
        <w:rPr>
          <w:rFonts w:cstheme="minorHAnsi"/>
          <w:color w:val="000000" w:themeColor="text1"/>
          <w:sz w:val="24"/>
          <w:shd w:val="clear" w:color="auto" w:fill="FFFFFF" w:themeFill="background1"/>
        </w:rPr>
        <w:t>restricted gift</w:t>
      </w:r>
      <w:r w:rsidR="00176BF3">
        <w:rPr>
          <w:rFonts w:cstheme="minorHAnsi"/>
          <w:color w:val="000000" w:themeColor="text1"/>
          <w:sz w:val="24"/>
          <w:shd w:val="clear" w:color="auto" w:fill="FFFFFF" w:themeFill="background1"/>
        </w:rPr>
        <w:t xml:space="preserve"> balances</w:t>
      </w:r>
      <w:r w:rsidR="00794171">
        <w:rPr>
          <w:rFonts w:cstheme="minorHAnsi"/>
          <w:color w:val="000000" w:themeColor="text1"/>
          <w:sz w:val="24"/>
          <w:shd w:val="clear" w:color="auto" w:fill="FFFFFF" w:themeFill="background1"/>
        </w:rPr>
        <w:t>,</w:t>
      </w:r>
      <w:r w:rsidR="007708FF">
        <w:rPr>
          <w:rFonts w:cstheme="minorHAnsi"/>
          <w:color w:val="000000" w:themeColor="text1"/>
          <w:sz w:val="24"/>
          <w:shd w:val="clear" w:color="auto" w:fill="FFFFFF" w:themeFill="background1"/>
        </w:rPr>
        <w:t xml:space="preserve"> a $</w:t>
      </w:r>
      <w:r w:rsidR="00794171">
        <w:rPr>
          <w:rFonts w:cstheme="minorHAnsi"/>
          <w:color w:val="000000" w:themeColor="text1"/>
          <w:sz w:val="24"/>
          <w:shd w:val="clear" w:color="auto" w:fill="FFFFFF" w:themeFill="background1"/>
        </w:rPr>
        <w:t>1</w:t>
      </w:r>
      <w:r w:rsidR="007708FF">
        <w:rPr>
          <w:rFonts w:cstheme="minorHAnsi"/>
          <w:color w:val="000000" w:themeColor="text1"/>
          <w:sz w:val="24"/>
          <w:shd w:val="clear" w:color="auto" w:fill="FFFFFF" w:themeFill="background1"/>
        </w:rPr>
        <w:t xml:space="preserve"> million increase in MEIF funds</w:t>
      </w:r>
      <w:r w:rsidR="008005D8">
        <w:rPr>
          <w:rFonts w:cstheme="minorHAnsi"/>
          <w:color w:val="000000" w:themeColor="text1"/>
          <w:sz w:val="24"/>
          <w:shd w:val="clear" w:color="auto" w:fill="FFFFFF" w:themeFill="background1"/>
        </w:rPr>
        <w:t xml:space="preserve"> and </w:t>
      </w:r>
      <w:r w:rsidR="00794171">
        <w:rPr>
          <w:rFonts w:cstheme="minorHAnsi"/>
          <w:color w:val="000000" w:themeColor="text1"/>
          <w:sz w:val="24"/>
          <w:shd w:val="clear" w:color="auto" w:fill="FFFFFF" w:themeFill="background1"/>
        </w:rPr>
        <w:t xml:space="preserve">a </w:t>
      </w:r>
      <w:r w:rsidR="008005D8">
        <w:rPr>
          <w:rFonts w:cstheme="minorHAnsi"/>
          <w:color w:val="000000" w:themeColor="text1"/>
          <w:sz w:val="24"/>
          <w:shd w:val="clear" w:color="auto" w:fill="FFFFFF" w:themeFill="background1"/>
        </w:rPr>
        <w:t>net $1 million increase from other managed restricted-expendable funds.</w:t>
      </w:r>
    </w:p>
    <w:p w14:paraId="07B3D119" w14:textId="77777777" w:rsidR="00D37B7A" w:rsidRPr="00DE50BF" w:rsidRDefault="00D37B7A" w:rsidP="00E7511E">
      <w:pPr>
        <w:tabs>
          <w:tab w:val="left" w:pos="630"/>
        </w:tabs>
        <w:rPr>
          <w:rFonts w:cstheme="minorHAnsi"/>
          <w:color w:val="000000" w:themeColor="text1"/>
          <w:sz w:val="20"/>
          <w:szCs w:val="20"/>
          <w:shd w:val="clear" w:color="auto" w:fill="FFFFFF" w:themeFill="background1"/>
        </w:rPr>
      </w:pPr>
    </w:p>
    <w:p w14:paraId="2FC189A0" w14:textId="1B79C152" w:rsidR="00E7511E" w:rsidRDefault="00E7511E" w:rsidP="00E7511E">
      <w:pPr>
        <w:tabs>
          <w:tab w:val="left" w:pos="630"/>
        </w:tabs>
        <w:rPr>
          <w:rFonts w:cstheme="minorHAnsi"/>
          <w:color w:val="000000" w:themeColor="text1"/>
          <w:sz w:val="24"/>
          <w:shd w:val="clear" w:color="auto" w:fill="FFFFFF" w:themeFill="background1"/>
        </w:rPr>
      </w:pPr>
      <w:r>
        <w:rPr>
          <w:rFonts w:cstheme="minorHAnsi"/>
          <w:color w:val="000000" w:themeColor="text1"/>
          <w:sz w:val="24"/>
          <w:shd w:val="clear" w:color="auto" w:fill="FFFFFF" w:themeFill="background1"/>
        </w:rPr>
        <w:t xml:space="preserve">The FY20 net decrease of $1 million, or 1%, is primarily attributable to a </w:t>
      </w:r>
      <w:r w:rsidRPr="007557AB">
        <w:rPr>
          <w:rFonts w:cstheme="minorHAnsi"/>
          <w:color w:val="000000" w:themeColor="text1"/>
          <w:sz w:val="24"/>
          <w:shd w:val="clear" w:color="auto" w:fill="FFFFFF" w:themeFill="background1"/>
        </w:rPr>
        <w:t xml:space="preserve">$4 million increase in </w:t>
      </w:r>
      <w:r w:rsidR="00752087">
        <w:rPr>
          <w:rFonts w:cstheme="minorHAnsi"/>
          <w:color w:val="000000" w:themeColor="text1"/>
          <w:sz w:val="24"/>
          <w:shd w:val="clear" w:color="auto" w:fill="FFFFFF" w:themeFill="background1"/>
        </w:rPr>
        <w:t xml:space="preserve">unspent </w:t>
      </w:r>
      <w:r w:rsidRPr="007557AB">
        <w:rPr>
          <w:rFonts w:cstheme="minorHAnsi"/>
          <w:color w:val="000000" w:themeColor="text1"/>
          <w:sz w:val="24"/>
          <w:shd w:val="clear" w:color="auto" w:fill="FFFFFF" w:themeFill="background1"/>
        </w:rPr>
        <w:t>restricted gift</w:t>
      </w:r>
      <w:r w:rsidR="00752087">
        <w:rPr>
          <w:rFonts w:cstheme="minorHAnsi"/>
          <w:color w:val="000000" w:themeColor="text1"/>
          <w:sz w:val="24"/>
          <w:shd w:val="clear" w:color="auto" w:fill="FFFFFF" w:themeFill="background1"/>
        </w:rPr>
        <w:t xml:space="preserve"> balances</w:t>
      </w:r>
      <w:r w:rsidRPr="007557AB">
        <w:rPr>
          <w:rFonts w:cstheme="minorHAnsi"/>
          <w:color w:val="000000" w:themeColor="text1"/>
          <w:sz w:val="24"/>
          <w:shd w:val="clear" w:color="auto" w:fill="FFFFFF" w:themeFill="background1"/>
        </w:rPr>
        <w:t xml:space="preserve"> offset by a $3 million decrease in endowment values as endowment income distributed for operations exceeded actual investment performance.</w:t>
      </w:r>
    </w:p>
    <w:p w14:paraId="28AAB514" w14:textId="64372A70" w:rsidR="00E7511E" w:rsidRPr="00DE50BF" w:rsidRDefault="00E7511E" w:rsidP="00E7511E">
      <w:pPr>
        <w:tabs>
          <w:tab w:val="left" w:pos="630"/>
        </w:tabs>
        <w:ind w:right="288"/>
        <w:rPr>
          <w:rFonts w:cstheme="minorHAnsi"/>
          <w:color w:val="000000" w:themeColor="text1"/>
          <w:sz w:val="20"/>
          <w:szCs w:val="20"/>
          <w:shd w:val="clear" w:color="auto" w:fill="FFFFFF" w:themeFill="background1"/>
        </w:rPr>
      </w:pPr>
    </w:p>
    <w:p w14:paraId="06F7366F" w14:textId="1EFC5F54" w:rsidR="00E7511E" w:rsidRDefault="00E7511E" w:rsidP="00E7511E">
      <w:pPr>
        <w:rPr>
          <w:rFonts w:cstheme="minorHAnsi"/>
          <w:color w:val="000000" w:themeColor="text1"/>
          <w:sz w:val="24"/>
        </w:rPr>
      </w:pPr>
      <w:r>
        <w:rPr>
          <w:rFonts w:cstheme="minorHAnsi"/>
          <w:b/>
          <w:color w:val="000000" w:themeColor="text1"/>
          <w:sz w:val="24"/>
        </w:rPr>
        <w:t>Unrestricted net position</w:t>
      </w:r>
      <w:r>
        <w:rPr>
          <w:rFonts w:cstheme="minorHAnsi"/>
          <w:color w:val="000000" w:themeColor="text1"/>
          <w:sz w:val="24"/>
        </w:rPr>
        <w:t xml:space="preserve"> is not subject to externally imposed stipulations; however, these resources are critical for the financial stability of the UMS and have been designated by management for specific areas, including operational and capital needs, compensating for operating investment and other budget fluctuations, and benefits costs including covering the risks associated with self-insured plans. Given both the physical and financial size of the System, funds must be readily available to cover various situations including emergency and other unforeseen expenditures, strategic priorities, operating losses, over-expenditures on budgeted items, and benefits costs.</w:t>
      </w:r>
    </w:p>
    <w:p w14:paraId="1A5AB62A" w14:textId="03715CAE" w:rsidR="0069623F" w:rsidRDefault="0069623F" w:rsidP="00E7511E">
      <w:pPr>
        <w:rPr>
          <w:rFonts w:cstheme="minorHAnsi"/>
          <w:color w:val="000000" w:themeColor="text1"/>
          <w:sz w:val="24"/>
        </w:rPr>
      </w:pPr>
    </w:p>
    <w:p w14:paraId="2EFD365C" w14:textId="52E1D7B5" w:rsidR="0069623F" w:rsidRDefault="0069623F" w:rsidP="00E7511E">
      <w:pPr>
        <w:rPr>
          <w:rFonts w:eastAsia="Times New Roman" w:cstheme="minorHAnsi"/>
          <w:iCs/>
          <w:smallCaps/>
          <w:noProof/>
          <w:color w:val="000000" w:themeColor="text1"/>
          <w:sz w:val="24"/>
        </w:rPr>
      </w:pPr>
      <w:r>
        <w:rPr>
          <w:rFonts w:cstheme="minorHAnsi"/>
          <w:color w:val="000000" w:themeColor="text1"/>
          <w:sz w:val="24"/>
        </w:rPr>
        <w:t xml:space="preserve">The balance of </w:t>
      </w:r>
      <w:r w:rsidRPr="00A316AD">
        <w:rPr>
          <w:rFonts w:cstheme="minorHAnsi"/>
          <w:sz w:val="24"/>
        </w:rPr>
        <w:t>$</w:t>
      </w:r>
      <w:r>
        <w:rPr>
          <w:rFonts w:cstheme="minorHAnsi"/>
          <w:sz w:val="24"/>
        </w:rPr>
        <w:t>182</w:t>
      </w:r>
      <w:r>
        <w:rPr>
          <w:rFonts w:cstheme="minorHAnsi"/>
          <w:color w:val="000000" w:themeColor="text1"/>
          <w:sz w:val="24"/>
        </w:rPr>
        <w:t xml:space="preserve"> million at June 30, 2021 increased by </w:t>
      </w:r>
      <w:r w:rsidRPr="00A316AD">
        <w:rPr>
          <w:rFonts w:cstheme="minorHAnsi"/>
          <w:sz w:val="24"/>
        </w:rPr>
        <w:t>$</w:t>
      </w:r>
      <w:r>
        <w:rPr>
          <w:rFonts w:cstheme="minorHAnsi"/>
          <w:sz w:val="24"/>
        </w:rPr>
        <w:t>79</w:t>
      </w:r>
      <w:r>
        <w:rPr>
          <w:rFonts w:cstheme="minorHAnsi"/>
          <w:color w:val="000000" w:themeColor="text1"/>
          <w:sz w:val="24"/>
        </w:rPr>
        <w:t xml:space="preserve"> million, or 77</w:t>
      </w:r>
      <w:r w:rsidRPr="00A316AD">
        <w:rPr>
          <w:rFonts w:cstheme="minorHAnsi"/>
          <w:sz w:val="24"/>
        </w:rPr>
        <w:t>%</w:t>
      </w:r>
      <w:r>
        <w:rPr>
          <w:rFonts w:cstheme="minorHAnsi"/>
          <w:color w:val="000000" w:themeColor="text1"/>
          <w:sz w:val="24"/>
        </w:rPr>
        <w:t>, from the FY20 year-end balance of $103 million. For FY20, unrestricted net position increased $9 million, or 10%, from the FY19 year-end balance of $94 million.</w:t>
      </w:r>
    </w:p>
    <w:p w14:paraId="43BEC17F" w14:textId="77777777" w:rsidR="006140D5" w:rsidRDefault="006140D5">
      <w:pPr>
        <w:spacing w:after="160" w:line="259" w:lineRule="auto"/>
        <w:rPr>
          <w:rFonts w:eastAsia="Times New Roman" w:cstheme="minorHAnsi"/>
          <w:b/>
          <w:i/>
          <w:iCs/>
          <w:smallCaps/>
          <w:noProof/>
          <w:color w:val="000000" w:themeColor="text1"/>
          <w:sz w:val="32"/>
          <w:szCs w:val="28"/>
          <w:u w:color="5B9BD5"/>
        </w:rPr>
      </w:pPr>
      <w:r>
        <w:rPr>
          <w:rFonts w:eastAsia="Times New Roman" w:cstheme="minorHAnsi"/>
        </w:rPr>
        <w:br w:type="page"/>
      </w:r>
    </w:p>
    <w:p w14:paraId="54EFFC31" w14:textId="65BDF722" w:rsidR="00E7511E" w:rsidRDefault="00E7511E" w:rsidP="00E7511E">
      <w:pPr>
        <w:pStyle w:val="AFR2"/>
        <w:rPr>
          <w:rFonts w:eastAsia="Times New Roman" w:cstheme="minorHAnsi"/>
        </w:rPr>
      </w:pPr>
      <w:r>
        <w:rPr>
          <w:rFonts w:eastAsia="Times New Roman" w:cstheme="minorHAnsi"/>
        </w:rPr>
        <w:lastRenderedPageBreak/>
        <w:t>Statements of Revenues, Expenses, and Changes in Net Position</w:t>
      </w:r>
    </w:p>
    <w:p w14:paraId="15AAC2AA" w14:textId="77777777" w:rsidR="00E7511E" w:rsidRDefault="00E7511E" w:rsidP="00E7511E">
      <w:pPr>
        <w:rPr>
          <w:rFonts w:cstheme="minorHAnsi"/>
          <w:color w:val="000000"/>
          <w:sz w:val="24"/>
        </w:rPr>
      </w:pPr>
      <w:r>
        <w:rPr>
          <w:rFonts w:cstheme="minorHAnsi"/>
          <w:sz w:val="24"/>
        </w:rPr>
        <w:t>The</w:t>
      </w:r>
      <w:r>
        <w:rPr>
          <w:rFonts w:cstheme="minorHAnsi"/>
          <w:color w:val="000000"/>
          <w:sz w:val="24"/>
        </w:rPr>
        <w:t xml:space="preserve"> Statements of Revenues, Expenses, and Changes in Net Position reports operating revenues, operating expenses, nonoperating revenues (expenses), other changes in net position, and the resulting change in net position for the fiscal year. </w:t>
      </w:r>
    </w:p>
    <w:p w14:paraId="3243A05C" w14:textId="217FC86B" w:rsidR="00BE2B5B" w:rsidRDefault="00A22B34" w:rsidP="00BE2B5B">
      <w:pPr>
        <w:pStyle w:val="AFR3"/>
      </w:pPr>
      <w:r>
        <w:t xml:space="preserve">Reclassification </w:t>
      </w:r>
      <w:r w:rsidR="00BE2B5B">
        <w:t>of Prior Year</w:t>
      </w:r>
      <w:r>
        <w:t xml:space="preserve"> Revenues</w:t>
      </w:r>
    </w:p>
    <w:p w14:paraId="676BC941" w14:textId="031ABE54" w:rsidR="00BE2B5B" w:rsidRDefault="00BE2B5B" w:rsidP="00BE2B5B">
      <w:pPr>
        <w:pStyle w:val="AFR3"/>
        <w:rPr>
          <w:rFonts w:ascii="Calibri" w:hAnsi="Calibri" w:cs="Tahoma"/>
          <w:b w:val="0"/>
          <w:i w:val="0"/>
          <w:sz w:val="24"/>
          <w:u w:val="none"/>
        </w:rPr>
      </w:pPr>
      <w:r>
        <w:rPr>
          <w:rFonts w:ascii="Calibri" w:hAnsi="Calibri" w:cs="Tahoma"/>
          <w:b w:val="0"/>
          <w:i w:val="0"/>
          <w:sz w:val="24"/>
          <w:u w:val="none"/>
        </w:rPr>
        <w:t xml:space="preserve">The FY20 financial statements have been restated to reflect a correction in the reporting of grant revenue from the federal Pell student financial aid program. FY20 revenue in the amount of $37.8 million has been moved from the operating revenues section to the nonoperating revenues (expenses) section of the Statements of </w:t>
      </w:r>
      <w:r w:rsidRPr="00BE2B5B">
        <w:rPr>
          <w:rFonts w:ascii="Calibri" w:hAnsi="Calibri" w:cs="Tahoma"/>
          <w:b w:val="0"/>
          <w:i w:val="0"/>
          <w:sz w:val="24"/>
          <w:u w:val="none"/>
        </w:rPr>
        <w:t>Revenues, Expenses, and Changes in Net Position</w:t>
      </w:r>
      <w:r>
        <w:rPr>
          <w:rFonts w:ascii="Calibri" w:hAnsi="Calibri" w:cs="Tahoma"/>
          <w:b w:val="0"/>
          <w:i w:val="0"/>
          <w:sz w:val="24"/>
          <w:u w:val="none"/>
        </w:rPr>
        <w:t xml:space="preserve">. This classification correction has also been made to the 2019, 2018, and 2017 columns of the </w:t>
      </w:r>
      <w:r w:rsidRPr="00BE2B5B">
        <w:rPr>
          <w:rFonts w:ascii="Calibri" w:hAnsi="Calibri" w:cs="Tahoma"/>
          <w:b w:val="0"/>
          <w:i w:val="0"/>
          <w:sz w:val="24"/>
          <w:u w:val="none"/>
        </w:rPr>
        <w:t>Condensed Statements of Revenues, Expenses, and Changes in Net Position</w:t>
      </w:r>
      <w:r>
        <w:rPr>
          <w:rFonts w:ascii="Calibri" w:hAnsi="Calibri" w:cs="Tahoma"/>
          <w:b w:val="0"/>
          <w:i w:val="0"/>
          <w:sz w:val="24"/>
          <w:u w:val="none"/>
        </w:rPr>
        <w:t xml:space="preserve"> shown in Table 5. </w:t>
      </w:r>
    </w:p>
    <w:p w14:paraId="7EDD41E3" w14:textId="32B91C4F" w:rsidR="00BE2B5B" w:rsidRPr="00F84C1C" w:rsidRDefault="00F84C1C" w:rsidP="007531FB">
      <w:pPr>
        <w:spacing w:before="240" w:after="120"/>
        <w:rPr>
          <w:b/>
          <w:i/>
          <w:sz w:val="26"/>
          <w:u w:val="single" w:color="000000" w:themeColor="text1"/>
        </w:rPr>
      </w:pPr>
      <w:r>
        <w:rPr>
          <w:b/>
          <w:i/>
          <w:sz w:val="26"/>
          <w:u w:val="single" w:color="000000" w:themeColor="text1"/>
        </w:rPr>
        <w:t>Overview of Condensed Statements of Revenues, Expenses, and Changes in Net Position</w:t>
      </w:r>
    </w:p>
    <w:p w14:paraId="63F3ED73" w14:textId="46F99191" w:rsidR="003F2737" w:rsidRDefault="00E7511E" w:rsidP="00975B97">
      <w:pPr>
        <w:spacing w:after="120"/>
        <w:rPr>
          <w:rFonts w:cstheme="minorHAnsi"/>
          <w:color w:val="000000"/>
          <w:sz w:val="24"/>
        </w:rPr>
      </w:pPr>
      <w:r>
        <w:rPr>
          <w:rFonts w:cstheme="minorHAnsi"/>
          <w:color w:val="000000"/>
          <w:sz w:val="24"/>
        </w:rPr>
        <w:t xml:space="preserve">Table 5, on the </w:t>
      </w:r>
      <w:r w:rsidRPr="00831AE2">
        <w:rPr>
          <w:rFonts w:cstheme="minorHAnsi"/>
          <w:color w:val="000000"/>
          <w:sz w:val="24"/>
        </w:rPr>
        <w:t>next</w:t>
      </w:r>
      <w:r>
        <w:rPr>
          <w:rFonts w:cstheme="minorHAnsi"/>
          <w:color w:val="000000"/>
          <w:sz w:val="24"/>
        </w:rPr>
        <w:t xml:space="preserve"> page, shows Condensed Statements of Revenues, Expenses, and Changes in Net Position for the past five fiscal years ended June 30. </w:t>
      </w:r>
      <w:r w:rsidR="00F57162">
        <w:rPr>
          <w:rFonts w:cstheme="minorHAnsi"/>
          <w:color w:val="000000"/>
          <w:sz w:val="24"/>
        </w:rPr>
        <w:t>The FY21 change in net position of $113 million was signi</w:t>
      </w:r>
      <w:r w:rsidR="000438AF">
        <w:rPr>
          <w:rFonts w:cstheme="minorHAnsi"/>
          <w:color w:val="000000"/>
          <w:sz w:val="24"/>
        </w:rPr>
        <w:t>fi</w:t>
      </w:r>
      <w:r w:rsidR="00F57162">
        <w:rPr>
          <w:rFonts w:cstheme="minorHAnsi"/>
          <w:color w:val="000000"/>
          <w:sz w:val="24"/>
        </w:rPr>
        <w:t>cantly improved over the FY20 change in net position of $14 million. Primary factors in this shift include</w:t>
      </w:r>
      <w:r w:rsidR="00A544E1">
        <w:rPr>
          <w:rFonts w:cstheme="minorHAnsi"/>
          <w:color w:val="000000"/>
          <w:sz w:val="24"/>
        </w:rPr>
        <w:t xml:space="preserve"> the following</w:t>
      </w:r>
      <w:r w:rsidR="003F2737">
        <w:rPr>
          <w:rFonts w:cstheme="minorHAnsi"/>
          <w:color w:val="000000"/>
          <w:sz w:val="24"/>
        </w:rPr>
        <w:t>:</w:t>
      </w:r>
    </w:p>
    <w:p w14:paraId="2155F626" w14:textId="0B96A8B0" w:rsidR="003F2737" w:rsidRPr="00975B97" w:rsidRDefault="00845692" w:rsidP="00975B97">
      <w:pPr>
        <w:pStyle w:val="ListParagraph"/>
        <w:numPr>
          <w:ilvl w:val="0"/>
          <w:numId w:val="56"/>
        </w:numPr>
        <w:rPr>
          <w:rFonts w:asciiTheme="minorHAnsi" w:eastAsiaTheme="minorHAnsi" w:hAnsiTheme="minorHAnsi" w:cstheme="minorHAnsi"/>
          <w:color w:val="000000"/>
          <w:szCs w:val="22"/>
        </w:rPr>
      </w:pPr>
      <w:r w:rsidRPr="00975B97">
        <w:rPr>
          <w:rFonts w:asciiTheme="minorHAnsi" w:eastAsiaTheme="minorHAnsi" w:hAnsiTheme="minorHAnsi" w:cstheme="minorHAnsi"/>
          <w:color w:val="000000"/>
          <w:szCs w:val="22"/>
        </w:rPr>
        <w:t xml:space="preserve">$46 million in OPEB </w:t>
      </w:r>
      <w:r w:rsidR="003F2737">
        <w:rPr>
          <w:rFonts w:asciiTheme="minorHAnsi" w:eastAsiaTheme="minorHAnsi" w:hAnsiTheme="minorHAnsi" w:cstheme="minorHAnsi"/>
          <w:color w:val="000000"/>
          <w:szCs w:val="22"/>
        </w:rPr>
        <w:t>i</w:t>
      </w:r>
      <w:r w:rsidRPr="00975B97">
        <w:rPr>
          <w:rFonts w:asciiTheme="minorHAnsi" w:eastAsiaTheme="minorHAnsi" w:hAnsiTheme="minorHAnsi" w:cstheme="minorHAnsi"/>
          <w:color w:val="000000"/>
          <w:szCs w:val="22"/>
        </w:rPr>
        <w:t>ncome</w:t>
      </w:r>
      <w:r w:rsidR="003F2737">
        <w:rPr>
          <w:rFonts w:asciiTheme="minorHAnsi" w:eastAsiaTheme="minorHAnsi" w:hAnsiTheme="minorHAnsi" w:cstheme="minorHAnsi"/>
          <w:color w:val="000000"/>
          <w:szCs w:val="22"/>
        </w:rPr>
        <w:t>,</w:t>
      </w:r>
      <w:r w:rsidR="003F2737" w:rsidRPr="00975B97">
        <w:rPr>
          <w:rFonts w:asciiTheme="minorHAnsi" w:eastAsiaTheme="minorHAnsi" w:hAnsiTheme="minorHAnsi" w:cstheme="minorHAnsi"/>
          <w:color w:val="000000"/>
          <w:szCs w:val="22"/>
        </w:rPr>
        <w:t xml:space="preserve"> </w:t>
      </w:r>
      <w:r w:rsidRPr="00975B97">
        <w:rPr>
          <w:rFonts w:asciiTheme="minorHAnsi" w:eastAsiaTheme="minorHAnsi" w:hAnsiTheme="minorHAnsi" w:cstheme="minorHAnsi"/>
          <w:color w:val="000000"/>
          <w:szCs w:val="22"/>
        </w:rPr>
        <w:t xml:space="preserve">including </w:t>
      </w:r>
      <w:r w:rsidR="00F57162" w:rsidRPr="00975B97">
        <w:rPr>
          <w:rFonts w:asciiTheme="minorHAnsi" w:eastAsiaTheme="minorHAnsi" w:hAnsiTheme="minorHAnsi" w:cstheme="minorHAnsi"/>
          <w:color w:val="000000"/>
          <w:szCs w:val="22"/>
        </w:rPr>
        <w:t xml:space="preserve">a one-time </w:t>
      </w:r>
      <w:r w:rsidR="00136C79" w:rsidRPr="00975B97">
        <w:rPr>
          <w:rFonts w:asciiTheme="minorHAnsi" w:eastAsiaTheme="minorHAnsi" w:hAnsiTheme="minorHAnsi" w:cstheme="minorHAnsi"/>
          <w:color w:val="000000"/>
          <w:szCs w:val="22"/>
        </w:rPr>
        <w:t>reduction in expense</w:t>
      </w:r>
      <w:r w:rsidR="00F57162" w:rsidRPr="00975B97">
        <w:rPr>
          <w:rFonts w:asciiTheme="minorHAnsi" w:eastAsiaTheme="minorHAnsi" w:hAnsiTheme="minorHAnsi" w:cstheme="minorHAnsi"/>
          <w:color w:val="000000"/>
          <w:szCs w:val="22"/>
        </w:rPr>
        <w:t xml:space="preserve"> of $49 million </w:t>
      </w:r>
      <w:r w:rsidR="00F172B5" w:rsidRPr="00975B97">
        <w:rPr>
          <w:rFonts w:asciiTheme="minorHAnsi" w:eastAsiaTheme="minorHAnsi" w:hAnsiTheme="minorHAnsi" w:cstheme="minorHAnsi"/>
          <w:color w:val="000000"/>
          <w:szCs w:val="22"/>
        </w:rPr>
        <w:t>from</w:t>
      </w:r>
      <w:r w:rsidR="00F57162" w:rsidRPr="00975B97">
        <w:rPr>
          <w:rFonts w:asciiTheme="minorHAnsi" w:eastAsiaTheme="minorHAnsi" w:hAnsiTheme="minorHAnsi" w:cstheme="minorHAnsi"/>
          <w:color w:val="000000"/>
          <w:szCs w:val="22"/>
        </w:rPr>
        <w:t xml:space="preserve"> a change in </w:t>
      </w:r>
      <w:r w:rsidR="00176B6C" w:rsidRPr="00975B97">
        <w:rPr>
          <w:rFonts w:asciiTheme="minorHAnsi" w:eastAsiaTheme="minorHAnsi" w:hAnsiTheme="minorHAnsi" w:cstheme="minorHAnsi"/>
          <w:color w:val="000000"/>
          <w:szCs w:val="22"/>
        </w:rPr>
        <w:t>benefit</w:t>
      </w:r>
      <w:r w:rsidR="00136C79" w:rsidRPr="00975B97">
        <w:rPr>
          <w:rFonts w:asciiTheme="minorHAnsi" w:eastAsiaTheme="minorHAnsi" w:hAnsiTheme="minorHAnsi" w:cstheme="minorHAnsi"/>
          <w:color w:val="000000"/>
          <w:szCs w:val="22"/>
        </w:rPr>
        <w:t xml:space="preserve"> term</w:t>
      </w:r>
      <w:r w:rsidR="00176B6C" w:rsidRPr="00975B97">
        <w:rPr>
          <w:rFonts w:asciiTheme="minorHAnsi" w:eastAsiaTheme="minorHAnsi" w:hAnsiTheme="minorHAnsi" w:cstheme="minorHAnsi"/>
          <w:color w:val="000000"/>
          <w:szCs w:val="22"/>
        </w:rPr>
        <w:t>s</w:t>
      </w:r>
      <w:r w:rsidR="003F2737">
        <w:rPr>
          <w:rFonts w:asciiTheme="minorHAnsi" w:eastAsiaTheme="minorHAnsi" w:hAnsiTheme="minorHAnsi" w:cstheme="minorHAnsi"/>
          <w:color w:val="000000"/>
          <w:szCs w:val="22"/>
        </w:rPr>
        <w:t xml:space="preserve">, </w:t>
      </w:r>
      <w:r w:rsidR="003F2737" w:rsidRPr="00975B97">
        <w:rPr>
          <w:rFonts w:asciiTheme="minorHAnsi" w:eastAsiaTheme="minorHAnsi" w:hAnsiTheme="minorHAnsi" w:cstheme="minorHAnsi"/>
          <w:color w:val="000000"/>
          <w:szCs w:val="22"/>
        </w:rPr>
        <w:t>for FY21 compared with OPEB expense of $9.5 million for FY22</w:t>
      </w:r>
      <w:r w:rsidR="00A544E1">
        <w:rPr>
          <w:rFonts w:asciiTheme="minorHAnsi" w:eastAsiaTheme="minorHAnsi" w:hAnsiTheme="minorHAnsi" w:cstheme="minorHAnsi"/>
          <w:color w:val="000000"/>
          <w:szCs w:val="22"/>
        </w:rPr>
        <w:t>;</w:t>
      </w:r>
    </w:p>
    <w:p w14:paraId="4EDFB0CA" w14:textId="7B8FFED7" w:rsidR="003F2737" w:rsidRDefault="00A544E1" w:rsidP="00975B97">
      <w:pPr>
        <w:pStyle w:val="ListParagraph"/>
        <w:numPr>
          <w:ilvl w:val="0"/>
          <w:numId w:val="56"/>
        </w:numPr>
        <w:rPr>
          <w:rFonts w:asciiTheme="minorHAnsi" w:eastAsiaTheme="minorHAnsi" w:hAnsiTheme="minorHAnsi" w:cstheme="minorHAnsi"/>
          <w:color w:val="000000"/>
          <w:szCs w:val="22"/>
        </w:rPr>
      </w:pPr>
      <w:r>
        <w:rPr>
          <w:rFonts w:asciiTheme="minorHAnsi" w:eastAsiaTheme="minorHAnsi" w:hAnsiTheme="minorHAnsi" w:cstheme="minorHAnsi"/>
          <w:color w:val="000000"/>
          <w:szCs w:val="22"/>
        </w:rPr>
        <w:t>$</w:t>
      </w:r>
      <w:r w:rsidR="00F57162" w:rsidRPr="00975B97">
        <w:rPr>
          <w:rFonts w:asciiTheme="minorHAnsi" w:eastAsiaTheme="minorHAnsi" w:hAnsiTheme="minorHAnsi" w:cstheme="minorHAnsi"/>
          <w:color w:val="000000"/>
          <w:szCs w:val="22"/>
        </w:rPr>
        <w:t>1</w:t>
      </w:r>
      <w:r>
        <w:rPr>
          <w:rFonts w:asciiTheme="minorHAnsi" w:eastAsiaTheme="minorHAnsi" w:hAnsiTheme="minorHAnsi" w:cstheme="minorHAnsi"/>
          <w:color w:val="000000"/>
          <w:szCs w:val="22"/>
        </w:rPr>
        <w:t>3</w:t>
      </w:r>
      <w:r w:rsidR="00F57162" w:rsidRPr="00975B97">
        <w:rPr>
          <w:rFonts w:asciiTheme="minorHAnsi" w:eastAsiaTheme="minorHAnsi" w:hAnsiTheme="minorHAnsi" w:cstheme="minorHAnsi"/>
          <w:color w:val="000000"/>
          <w:szCs w:val="22"/>
        </w:rPr>
        <w:t xml:space="preserve"> million </w:t>
      </w:r>
      <w:r w:rsidR="003F2737" w:rsidRPr="00975B97">
        <w:rPr>
          <w:rFonts w:asciiTheme="minorHAnsi" w:eastAsiaTheme="minorHAnsi" w:hAnsiTheme="minorHAnsi" w:cstheme="minorHAnsi"/>
          <w:color w:val="000000"/>
          <w:szCs w:val="22"/>
        </w:rPr>
        <w:t xml:space="preserve">increase </w:t>
      </w:r>
      <w:r w:rsidR="00F57162" w:rsidRPr="00975B97">
        <w:rPr>
          <w:rFonts w:asciiTheme="minorHAnsi" w:eastAsiaTheme="minorHAnsi" w:hAnsiTheme="minorHAnsi" w:cstheme="minorHAnsi"/>
          <w:color w:val="000000"/>
          <w:szCs w:val="22"/>
        </w:rPr>
        <w:t xml:space="preserve">in </w:t>
      </w:r>
      <w:r w:rsidR="00845692" w:rsidRPr="00975B97">
        <w:rPr>
          <w:rFonts w:asciiTheme="minorHAnsi" w:eastAsiaTheme="minorHAnsi" w:hAnsiTheme="minorHAnsi" w:cstheme="minorHAnsi"/>
          <w:color w:val="000000"/>
          <w:szCs w:val="22"/>
        </w:rPr>
        <w:t xml:space="preserve">net </w:t>
      </w:r>
      <w:r w:rsidR="00F57162" w:rsidRPr="00975B97">
        <w:rPr>
          <w:rFonts w:asciiTheme="minorHAnsi" w:eastAsiaTheme="minorHAnsi" w:hAnsiTheme="minorHAnsi" w:cstheme="minorHAnsi"/>
          <w:color w:val="000000"/>
          <w:szCs w:val="22"/>
        </w:rPr>
        <w:t xml:space="preserve"> operating investment</w:t>
      </w:r>
      <w:r w:rsidR="009D01E4" w:rsidRPr="00975B97">
        <w:rPr>
          <w:rFonts w:asciiTheme="minorHAnsi" w:eastAsiaTheme="minorHAnsi" w:hAnsiTheme="minorHAnsi" w:cstheme="minorHAnsi"/>
          <w:color w:val="000000"/>
          <w:szCs w:val="22"/>
        </w:rPr>
        <w:t xml:space="preserve"> income</w:t>
      </w:r>
      <w:r>
        <w:rPr>
          <w:rFonts w:asciiTheme="minorHAnsi" w:eastAsiaTheme="minorHAnsi" w:hAnsiTheme="minorHAnsi" w:cstheme="minorHAnsi"/>
          <w:color w:val="000000"/>
          <w:szCs w:val="22"/>
        </w:rPr>
        <w:t>;</w:t>
      </w:r>
      <w:r w:rsidR="00E80B47">
        <w:rPr>
          <w:rFonts w:asciiTheme="minorHAnsi" w:eastAsiaTheme="minorHAnsi" w:hAnsiTheme="minorHAnsi" w:cstheme="minorHAnsi"/>
          <w:color w:val="000000"/>
          <w:szCs w:val="22"/>
        </w:rPr>
        <w:t xml:space="preserve"> and </w:t>
      </w:r>
    </w:p>
    <w:p w14:paraId="756821DC" w14:textId="7621EEDC" w:rsidR="00176B6C" w:rsidRPr="00975B97" w:rsidRDefault="00F57162" w:rsidP="00975B97">
      <w:pPr>
        <w:pStyle w:val="ListParagraph"/>
        <w:numPr>
          <w:ilvl w:val="0"/>
          <w:numId w:val="56"/>
        </w:numPr>
        <w:rPr>
          <w:rFonts w:asciiTheme="minorHAnsi" w:eastAsiaTheme="minorHAnsi" w:hAnsiTheme="minorHAnsi" w:cstheme="minorHAnsi"/>
          <w:color w:val="000000"/>
          <w:szCs w:val="22"/>
        </w:rPr>
      </w:pPr>
      <w:r w:rsidRPr="00975B97">
        <w:rPr>
          <w:rFonts w:asciiTheme="minorHAnsi" w:eastAsiaTheme="minorHAnsi" w:hAnsiTheme="minorHAnsi" w:cstheme="minorHAnsi"/>
          <w:color w:val="000000"/>
          <w:szCs w:val="22"/>
        </w:rPr>
        <w:t>$3</w:t>
      </w:r>
      <w:r w:rsidR="00A544E1">
        <w:rPr>
          <w:rFonts w:asciiTheme="minorHAnsi" w:eastAsiaTheme="minorHAnsi" w:hAnsiTheme="minorHAnsi" w:cstheme="minorHAnsi"/>
          <w:color w:val="000000"/>
          <w:szCs w:val="22"/>
        </w:rPr>
        <w:t>4</w:t>
      </w:r>
      <w:r w:rsidRPr="00975B97">
        <w:rPr>
          <w:rFonts w:asciiTheme="minorHAnsi" w:eastAsiaTheme="minorHAnsi" w:hAnsiTheme="minorHAnsi" w:cstheme="minorHAnsi"/>
          <w:color w:val="000000"/>
          <w:szCs w:val="22"/>
        </w:rPr>
        <w:t xml:space="preserve"> million </w:t>
      </w:r>
      <w:r w:rsidR="00A544E1">
        <w:rPr>
          <w:rFonts w:asciiTheme="minorHAnsi" w:eastAsiaTheme="minorHAnsi" w:hAnsiTheme="minorHAnsi" w:cstheme="minorHAnsi"/>
          <w:color w:val="000000"/>
          <w:szCs w:val="22"/>
        </w:rPr>
        <w:t xml:space="preserve">increase </w:t>
      </w:r>
      <w:r w:rsidRPr="00975B97">
        <w:rPr>
          <w:rFonts w:asciiTheme="minorHAnsi" w:eastAsiaTheme="minorHAnsi" w:hAnsiTheme="minorHAnsi" w:cstheme="minorHAnsi"/>
          <w:color w:val="000000"/>
          <w:szCs w:val="22"/>
        </w:rPr>
        <w:t xml:space="preserve">in market returns for endowment investments. </w:t>
      </w:r>
    </w:p>
    <w:p w14:paraId="0E791495" w14:textId="77777777" w:rsidR="005C6B19" w:rsidRDefault="005C6B19" w:rsidP="001A18A6">
      <w:pPr>
        <w:rPr>
          <w:rFonts w:cstheme="minorHAnsi"/>
          <w:color w:val="000000"/>
          <w:sz w:val="24"/>
        </w:rPr>
      </w:pPr>
    </w:p>
    <w:p w14:paraId="3BB7C27C" w14:textId="21FF73BB" w:rsidR="00043371" w:rsidRDefault="00176B6C" w:rsidP="001A18A6">
      <w:pPr>
        <w:rPr>
          <w:rFonts w:cstheme="minorHAnsi"/>
          <w:b/>
          <w:color w:val="000000"/>
          <w:sz w:val="24"/>
          <w:szCs w:val="24"/>
        </w:rPr>
      </w:pPr>
      <w:r>
        <w:rPr>
          <w:rFonts w:cstheme="minorHAnsi"/>
          <w:color w:val="000000"/>
          <w:sz w:val="24"/>
        </w:rPr>
        <w:t>The FY20 increase in net position of $14 million was up $10 million over that for FY19. The coronavirus relief funding of $15 million was a major factor in this increase, helping to compensate for room and board revenues lost from sending students home early in the spring semester due to the world-wide pandemic</w:t>
      </w:r>
      <w:r w:rsidR="00317AEC">
        <w:rPr>
          <w:rFonts w:cstheme="minorHAnsi"/>
          <w:color w:val="000000"/>
          <w:sz w:val="24"/>
        </w:rPr>
        <w:t xml:space="preserve">. </w:t>
      </w:r>
      <w:r w:rsidR="00043371">
        <w:rPr>
          <w:rFonts w:cstheme="minorHAnsi"/>
          <w:b/>
          <w:color w:val="000000"/>
          <w:sz w:val="24"/>
          <w:szCs w:val="24"/>
        </w:rPr>
        <w:br w:type="page"/>
      </w:r>
    </w:p>
    <w:p w14:paraId="5B0E20A4" w14:textId="122BF737" w:rsidR="00043371" w:rsidRPr="001A18A6" w:rsidRDefault="00043371" w:rsidP="001A18A6">
      <w:pPr>
        <w:spacing w:before="240"/>
        <w:jc w:val="center"/>
        <w:rPr>
          <w:rFonts w:cstheme="minorHAnsi"/>
          <w:b/>
          <w:color w:val="000000"/>
          <w:sz w:val="24"/>
          <w:szCs w:val="24"/>
        </w:rPr>
      </w:pPr>
      <w:r w:rsidRPr="001A18A6">
        <w:rPr>
          <w:rFonts w:cstheme="minorHAnsi"/>
          <w:b/>
          <w:color w:val="000000"/>
          <w:sz w:val="24"/>
          <w:szCs w:val="24"/>
        </w:rPr>
        <w:lastRenderedPageBreak/>
        <w:t>Table 5: Condensed Statements of Revenues, Expenses, and Changes in Net Position</w:t>
      </w:r>
    </w:p>
    <w:p w14:paraId="6CDF2574" w14:textId="77777777" w:rsidR="00043371" w:rsidRPr="001A18A6" w:rsidRDefault="00043371" w:rsidP="001A18A6">
      <w:pPr>
        <w:jc w:val="center"/>
        <w:rPr>
          <w:rFonts w:cstheme="minorHAnsi"/>
          <w:b/>
          <w:color w:val="000000"/>
          <w:sz w:val="24"/>
          <w:szCs w:val="24"/>
        </w:rPr>
      </w:pPr>
      <w:r w:rsidRPr="001A18A6">
        <w:rPr>
          <w:rFonts w:cstheme="minorHAnsi"/>
          <w:b/>
          <w:color w:val="000000"/>
          <w:sz w:val="24"/>
          <w:szCs w:val="24"/>
        </w:rPr>
        <w:t>Years Ended June 30</w:t>
      </w:r>
    </w:p>
    <w:p w14:paraId="0A1C341B" w14:textId="7239862A" w:rsidR="00043371" w:rsidRDefault="00043371" w:rsidP="001A18A6">
      <w:pPr>
        <w:jc w:val="center"/>
        <w:rPr>
          <w:rFonts w:cstheme="minorHAnsi"/>
          <w:b/>
          <w:color w:val="000000"/>
          <w:sz w:val="20"/>
          <w:szCs w:val="24"/>
        </w:rPr>
      </w:pPr>
      <w:r w:rsidRPr="001A18A6">
        <w:rPr>
          <w:rFonts w:cstheme="minorHAnsi"/>
          <w:b/>
          <w:color w:val="000000"/>
          <w:sz w:val="20"/>
          <w:szCs w:val="24"/>
        </w:rPr>
        <w:t>(In millions)</w:t>
      </w:r>
    </w:p>
    <w:p w14:paraId="23DCFE7B" w14:textId="77777777" w:rsidR="00C83249" w:rsidRDefault="00C83249" w:rsidP="001A18A6">
      <w:pPr>
        <w:jc w:val="center"/>
        <w:rPr>
          <w:rFonts w:cstheme="minorHAnsi"/>
          <w:b/>
          <w:color w:val="000000"/>
          <w:sz w:val="20"/>
          <w:szCs w:val="24"/>
        </w:rPr>
      </w:pPr>
    </w:p>
    <w:p w14:paraId="2C03A886" w14:textId="1D45981C" w:rsidR="00C83249" w:rsidRDefault="00FC48DB" w:rsidP="00751601">
      <w:pPr>
        <w:rPr>
          <w:rFonts w:cstheme="minorHAnsi"/>
          <w:b/>
          <w:color w:val="000000"/>
          <w:sz w:val="20"/>
          <w:szCs w:val="24"/>
        </w:rPr>
      </w:pPr>
      <w:r w:rsidRPr="00FC48DB">
        <w:rPr>
          <w:rFonts w:cstheme="minorHAnsi"/>
          <w:b/>
          <w:color w:val="000000"/>
          <w:sz w:val="20"/>
          <w:szCs w:val="24"/>
        </w:rPr>
        <w:t xml:space="preserve"> </w:t>
      </w:r>
      <w:r w:rsidRPr="00FC48DB">
        <w:rPr>
          <w:noProof/>
        </w:rPr>
        <w:drawing>
          <wp:inline distT="0" distB="0" distL="0" distR="0" wp14:anchorId="3D55AB75" wp14:editId="78CC7406">
            <wp:extent cx="5943600" cy="4928839"/>
            <wp:effectExtent l="0" t="0" r="0" b="5715"/>
            <wp:docPr id="24" name="Picture 24" descr=" 2021 Restated 2020 2019 2018 2017&#10;Operating Revenues     &#10;Net student fees  $239   $248   $264   $256   $245 &#10;Grants, contracts and recovery of indirect costs  136   121   113   110   112 &#10;Other operating revenues  30   44   53   52   53 &#10;Total Operating Revenues  405   413   430   418   410 &#10;Operating Expenses  (679)  (716)  (724)  (692)  (668)&#10;Operating Loss  (274)  (303)  (294)  (274)  (258)&#10;Nonoperating Revenues (Expenses)     &#10;Noncapital State of Maine appropriations  218   220   212   211   212 &#10;Federal Pell grants  35   38   40   40   38 &#10;Coronavirus relief funding  37   15   -   -   - &#10;Gifts currently expendable  19   19   16   14   13 &#10;Endowment return used for operations  6   6   6   6   6 &#10;Investment income  22   9   12   7   10 &#10;Interest expense, net  (4)  (4)  (4)  (4)  (5)&#10;Net Nonoperating Revenues (Expenses)  333   303   282   274   274 &#10;Income (Loss) Before Other Changes in Net Position  59   -   (12)  -   16 &#10;Other Changes in Net Position     &#10;State of Maine capital appropriations  16   14   6   8   5 &#10;Capital grants and gifts  8   3   4   4   3 &#10;Endow. return, net of amount used for operations   29   (4)  (2)  3   8 &#10;Other  1   1   8   1   1 &#10;Total Other Changes in Net Position  54   14   16   16   17 &#10;Change in Net Position  $113   $14   $4   $16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928839"/>
                    </a:xfrm>
                    <a:prstGeom prst="rect">
                      <a:avLst/>
                    </a:prstGeom>
                    <a:noFill/>
                    <a:ln>
                      <a:noFill/>
                    </a:ln>
                  </pic:spPr>
                </pic:pic>
              </a:graphicData>
            </a:graphic>
          </wp:inline>
        </w:drawing>
      </w:r>
    </w:p>
    <w:p w14:paraId="259E7B63" w14:textId="77777777" w:rsidR="00E7511E" w:rsidRDefault="00E7511E" w:rsidP="007531FB">
      <w:pPr>
        <w:pStyle w:val="AFR3"/>
        <w:rPr>
          <w:rFonts w:cstheme="minorHAnsi"/>
        </w:rPr>
      </w:pPr>
      <w:r>
        <w:rPr>
          <w:rFonts w:cstheme="minorHAnsi"/>
        </w:rPr>
        <w:t>Operating and Nonoperating Revenue</w:t>
      </w:r>
    </w:p>
    <w:p w14:paraId="3EAC2858" w14:textId="09202926" w:rsidR="00DD5896" w:rsidRDefault="00DD5896" w:rsidP="00790AF8">
      <w:pPr>
        <w:spacing w:after="120"/>
        <w:rPr>
          <w:rFonts w:eastAsia="Times New Roman" w:cstheme="minorHAnsi"/>
          <w:sz w:val="24"/>
        </w:rPr>
      </w:pPr>
      <w:r>
        <w:rPr>
          <w:rFonts w:eastAsia="Times New Roman" w:cstheme="minorHAnsi"/>
          <w:sz w:val="24"/>
        </w:rPr>
        <w:t>UMS revenues and expenses are categorized as either operating or nonoperating.</w:t>
      </w:r>
    </w:p>
    <w:p w14:paraId="4BF05870" w14:textId="0A4BDFB7" w:rsidR="00E7511E" w:rsidRDefault="00E7511E" w:rsidP="00790AF8">
      <w:pPr>
        <w:pStyle w:val="ListParagraph"/>
        <w:numPr>
          <w:ilvl w:val="0"/>
          <w:numId w:val="49"/>
        </w:numPr>
        <w:spacing w:after="120"/>
        <w:contextualSpacing w:val="0"/>
        <w:rPr>
          <w:rFonts w:cstheme="minorHAnsi"/>
        </w:rPr>
      </w:pPr>
      <w:r w:rsidRPr="00790AF8">
        <w:rPr>
          <w:rFonts w:asciiTheme="minorHAnsi" w:hAnsiTheme="minorHAnsi" w:cstheme="minorHAnsi"/>
          <w:szCs w:val="22"/>
        </w:rPr>
        <w:t xml:space="preserve">In addition to tuition and fees, the System receives </w:t>
      </w:r>
      <w:r w:rsidR="00DD5896">
        <w:rPr>
          <w:rFonts w:asciiTheme="minorHAnsi" w:hAnsiTheme="minorHAnsi" w:cstheme="minorHAnsi"/>
          <w:szCs w:val="22"/>
        </w:rPr>
        <w:t xml:space="preserve">operating </w:t>
      </w:r>
      <w:r w:rsidRPr="00790AF8">
        <w:rPr>
          <w:rFonts w:asciiTheme="minorHAnsi" w:hAnsiTheme="minorHAnsi" w:cstheme="minorHAnsi"/>
          <w:szCs w:val="22"/>
        </w:rPr>
        <w:t>revenue from other sources such as governmental and privately funded grants and contracts; gifts from individuals, foundations, and corporations; state appropriations; and investment income.</w:t>
      </w:r>
    </w:p>
    <w:p w14:paraId="13506236" w14:textId="372E69A7" w:rsidR="00E7511E" w:rsidRPr="00796CA3" w:rsidRDefault="00E7511E" w:rsidP="00790AF8">
      <w:pPr>
        <w:pStyle w:val="ListParagraph"/>
        <w:numPr>
          <w:ilvl w:val="0"/>
          <w:numId w:val="49"/>
        </w:numPr>
        <w:contextualSpacing w:val="0"/>
        <w:rPr>
          <w:rFonts w:cstheme="minorHAnsi"/>
        </w:rPr>
      </w:pPr>
      <w:r w:rsidRPr="00790AF8">
        <w:rPr>
          <w:rFonts w:asciiTheme="minorHAnsi" w:hAnsiTheme="minorHAnsi" w:cstheme="minorHAnsi"/>
          <w:szCs w:val="22"/>
        </w:rPr>
        <w:t>Certain significant recurring revenues and expenses are considered nonoperating including state noncapital appropriations,</w:t>
      </w:r>
      <w:r w:rsidR="00591780" w:rsidRPr="00790AF8">
        <w:rPr>
          <w:rFonts w:asciiTheme="minorHAnsi" w:hAnsiTheme="minorHAnsi" w:cstheme="minorHAnsi"/>
          <w:szCs w:val="22"/>
        </w:rPr>
        <w:t xml:space="preserve"> </w:t>
      </w:r>
      <w:r w:rsidR="0033170E" w:rsidRPr="00790AF8">
        <w:rPr>
          <w:rFonts w:asciiTheme="minorHAnsi" w:hAnsiTheme="minorHAnsi" w:cstheme="minorHAnsi"/>
          <w:szCs w:val="22"/>
        </w:rPr>
        <w:t xml:space="preserve">federal Pell grants, </w:t>
      </w:r>
      <w:r w:rsidR="002E46E5" w:rsidRPr="00790AF8">
        <w:rPr>
          <w:rFonts w:asciiTheme="minorHAnsi" w:hAnsiTheme="minorHAnsi" w:cstheme="minorHAnsi"/>
          <w:szCs w:val="22"/>
        </w:rPr>
        <w:t>c</w:t>
      </w:r>
      <w:r w:rsidR="002B4DAC" w:rsidRPr="00790AF8">
        <w:rPr>
          <w:rFonts w:asciiTheme="minorHAnsi" w:hAnsiTheme="minorHAnsi" w:cstheme="minorHAnsi"/>
          <w:szCs w:val="22"/>
        </w:rPr>
        <w:t xml:space="preserve">oronavirus </w:t>
      </w:r>
      <w:r w:rsidR="002E46E5" w:rsidRPr="00790AF8">
        <w:rPr>
          <w:rFonts w:asciiTheme="minorHAnsi" w:hAnsiTheme="minorHAnsi" w:cstheme="minorHAnsi"/>
          <w:szCs w:val="22"/>
        </w:rPr>
        <w:t>r</w:t>
      </w:r>
      <w:r w:rsidR="002B4DAC" w:rsidRPr="00790AF8">
        <w:rPr>
          <w:rFonts w:asciiTheme="minorHAnsi" w:hAnsiTheme="minorHAnsi" w:cstheme="minorHAnsi"/>
          <w:szCs w:val="22"/>
        </w:rPr>
        <w:t>elief</w:t>
      </w:r>
      <w:r w:rsidR="00591780" w:rsidRPr="00790AF8">
        <w:rPr>
          <w:rFonts w:asciiTheme="minorHAnsi" w:hAnsiTheme="minorHAnsi" w:cstheme="minorHAnsi"/>
          <w:szCs w:val="22"/>
        </w:rPr>
        <w:t xml:space="preserve"> funding,</w:t>
      </w:r>
      <w:r w:rsidRPr="00790AF8">
        <w:rPr>
          <w:rFonts w:asciiTheme="minorHAnsi" w:hAnsiTheme="minorHAnsi" w:cstheme="minorHAnsi"/>
          <w:szCs w:val="22"/>
        </w:rPr>
        <w:t xml:space="preserve"> gifts, endowment return used for operations, investment income, and interest expense.</w:t>
      </w:r>
    </w:p>
    <w:p w14:paraId="0DD460D3" w14:textId="77777777" w:rsidR="00E7511E" w:rsidRDefault="00E7511E" w:rsidP="00E7511E">
      <w:pPr>
        <w:ind w:left="360"/>
        <w:rPr>
          <w:rFonts w:eastAsia="Times New Roman" w:cstheme="minorHAnsi"/>
        </w:rPr>
      </w:pPr>
    </w:p>
    <w:p w14:paraId="0291C5F1" w14:textId="698BF05D" w:rsidR="004E330C" w:rsidRDefault="00E7511E" w:rsidP="00A74468">
      <w:pPr>
        <w:rPr>
          <w:rFonts w:eastAsia="Times New Roman" w:cstheme="minorHAnsi"/>
          <w:sz w:val="24"/>
        </w:rPr>
      </w:pPr>
      <w:r>
        <w:rPr>
          <w:rFonts w:eastAsia="Times New Roman" w:cstheme="minorHAnsi"/>
          <w:sz w:val="24"/>
        </w:rPr>
        <w:lastRenderedPageBreak/>
        <w:t>The following pie charts illustrate the total operating and net nonoperating revenue sources used to fund the System’s activities for FY</w:t>
      </w:r>
      <w:r w:rsidR="00D37B7A">
        <w:rPr>
          <w:rFonts w:eastAsia="Times New Roman" w:cstheme="minorHAnsi"/>
          <w:sz w:val="24"/>
        </w:rPr>
        <w:t>21</w:t>
      </w:r>
      <w:r>
        <w:rPr>
          <w:rFonts w:eastAsia="Times New Roman" w:cstheme="minorHAnsi"/>
          <w:sz w:val="24"/>
        </w:rPr>
        <w:t xml:space="preserve"> and FY</w:t>
      </w:r>
      <w:r w:rsidR="00D37B7A">
        <w:rPr>
          <w:rFonts w:eastAsia="Times New Roman" w:cstheme="minorHAnsi"/>
          <w:sz w:val="24"/>
        </w:rPr>
        <w:t>20</w:t>
      </w:r>
      <w:r>
        <w:rPr>
          <w:rFonts w:eastAsia="Times New Roman" w:cstheme="minorHAnsi"/>
          <w:sz w:val="24"/>
        </w:rPr>
        <w:t>.</w:t>
      </w:r>
    </w:p>
    <w:p w14:paraId="3891168C" w14:textId="77777777" w:rsidR="000544FC" w:rsidRPr="00B73AEE" w:rsidRDefault="000544FC" w:rsidP="00A74468">
      <w:pPr>
        <w:rPr>
          <w:rFonts w:eastAsia="Times New Roman" w:cstheme="minorHAnsi"/>
          <w:b/>
          <w:color w:val="0D0D0D" w:themeColor="text1" w:themeTint="F2"/>
          <w:sz w:val="24"/>
          <w:szCs w:val="28"/>
        </w:rPr>
      </w:pPr>
    </w:p>
    <w:p w14:paraId="54978B42" w14:textId="1BED8847" w:rsidR="00E7511E" w:rsidRDefault="00E7511E" w:rsidP="00E7511E">
      <w:pPr>
        <w:ind w:left="360"/>
        <w:jc w:val="center"/>
        <w:rPr>
          <w:rFonts w:eastAsia="Times New Roman" w:cstheme="minorHAnsi"/>
          <w:b/>
          <w:color w:val="0D0D0D" w:themeColor="text1" w:themeTint="F2"/>
          <w:sz w:val="28"/>
          <w:szCs w:val="28"/>
        </w:rPr>
      </w:pPr>
      <w:r>
        <w:rPr>
          <w:rFonts w:eastAsia="Times New Roman" w:cstheme="minorHAnsi"/>
          <w:b/>
          <w:color w:val="0D0D0D" w:themeColor="text1" w:themeTint="F2"/>
          <w:sz w:val="28"/>
          <w:szCs w:val="28"/>
        </w:rPr>
        <w:t>Chart 8: Total Operating and Net Nonoperating Revenue</w:t>
      </w:r>
    </w:p>
    <w:p w14:paraId="46785FF4" w14:textId="77777777" w:rsidR="007706DF" w:rsidRDefault="007706DF" w:rsidP="001A18A6">
      <w:pPr>
        <w:spacing w:before="240" w:after="240"/>
        <w:ind w:left="360"/>
        <w:jc w:val="center"/>
        <w:rPr>
          <w:rFonts w:eastAsia="Times New Roman" w:cstheme="minorHAnsi"/>
          <w:color w:val="0D0D0D" w:themeColor="text1" w:themeTint="F2"/>
          <w:sz w:val="20"/>
          <w:szCs w:val="20"/>
        </w:rPr>
      </w:pPr>
      <w:r>
        <w:rPr>
          <w:noProof/>
        </w:rPr>
        <w:drawing>
          <wp:inline distT="0" distB="0" distL="0" distR="0" wp14:anchorId="1EA6910F" wp14:editId="551F4812">
            <wp:extent cx="5211451" cy="3108960"/>
            <wp:effectExtent l="0" t="0" r="0" b="0"/>
            <wp:docPr id="34" name="Picture 5" descr="Net Student Fees  239 32%&#10;Grants &amp; Contracts  119 16%&#10;Indirect Cost Recovery  17 2%&#10;Educ. Sales &amp; Services/Aux. Enterprises 30 4%&#10;Noncapital State Appropriation  218 30%&#10;Federal Pell Grants 35 5%&#10;Coronavirus Relief Funding 37 5%&#10;Other Nonoperating Revenues Net  43 6%&#10; 738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1"/>
                    <a:srcRect b="8520"/>
                    <a:stretch/>
                  </pic:blipFill>
                  <pic:spPr bwMode="auto">
                    <a:xfrm>
                      <a:off x="0" y="0"/>
                      <a:ext cx="5212080" cy="3109335"/>
                    </a:xfrm>
                    <a:prstGeom prst="rect">
                      <a:avLst/>
                    </a:prstGeom>
                    <a:ln>
                      <a:noFill/>
                    </a:ln>
                    <a:extLst>
                      <a:ext uri="{53640926-AAD7-44D8-BBD7-CCE9431645EC}">
                        <a14:shadowObscured xmlns:a14="http://schemas.microsoft.com/office/drawing/2010/main"/>
                      </a:ext>
                    </a:extLst>
                  </pic:spPr>
                </pic:pic>
              </a:graphicData>
            </a:graphic>
          </wp:inline>
        </w:drawing>
      </w:r>
    </w:p>
    <w:p w14:paraId="558D9EC9" w14:textId="5301CAF8" w:rsidR="00E7511E" w:rsidRDefault="00E7511E" w:rsidP="001A18A6">
      <w:pPr>
        <w:spacing w:before="240" w:after="240"/>
        <w:ind w:left="360"/>
        <w:jc w:val="center"/>
        <w:rPr>
          <w:rFonts w:eastAsia="Times New Roman" w:cstheme="minorHAnsi"/>
          <w:color w:val="0D0D0D" w:themeColor="text1" w:themeTint="F2"/>
          <w:sz w:val="20"/>
          <w:szCs w:val="20"/>
        </w:rPr>
      </w:pPr>
    </w:p>
    <w:p w14:paraId="1E1E11AF" w14:textId="6445A1E4" w:rsidR="00512350" w:rsidRPr="00DE50BF" w:rsidRDefault="007706DF" w:rsidP="001A18A6">
      <w:pPr>
        <w:spacing w:before="240" w:after="240"/>
        <w:ind w:left="360"/>
        <w:jc w:val="center"/>
        <w:rPr>
          <w:rFonts w:eastAsia="Times New Roman" w:cstheme="minorHAnsi"/>
          <w:color w:val="0D0D0D" w:themeColor="text1" w:themeTint="F2"/>
          <w:sz w:val="20"/>
          <w:szCs w:val="20"/>
        </w:rPr>
      </w:pPr>
      <w:r>
        <w:rPr>
          <w:rFonts w:eastAsia="Times New Roman" w:cstheme="minorHAnsi"/>
          <w:noProof/>
          <w:color w:val="0D0D0D" w:themeColor="text1" w:themeTint="F2"/>
          <w:sz w:val="20"/>
          <w:szCs w:val="20"/>
        </w:rPr>
        <w:drawing>
          <wp:inline distT="0" distB="0" distL="0" distR="0" wp14:anchorId="40F63001" wp14:editId="4B7F7FD6">
            <wp:extent cx="5212080" cy="3398814"/>
            <wp:effectExtent l="0" t="0" r="0" b="0"/>
            <wp:docPr id="37" name="Picture 37" descr="Net Student Fees  248 35%&#10;Grants &amp; Contracts  106 15%&#10;Indirect Cost Recovery  15 2%&#10;Educ. Sales &amp; Services/Aux. Enterprises 44 6%&#10;Noncapital State Appropriation  220 31%&#10;Federal Pell Grants 38 5%&#10;Coronavirus Relief Funding 15 2%&#10;Other Nonoperating Revenues Net  30 4%&#10; 716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2080" cy="3398814"/>
                    </a:xfrm>
                    <a:prstGeom prst="rect">
                      <a:avLst/>
                    </a:prstGeom>
                    <a:noFill/>
                  </pic:spPr>
                </pic:pic>
              </a:graphicData>
            </a:graphic>
          </wp:inline>
        </w:drawing>
      </w:r>
    </w:p>
    <w:p w14:paraId="0FC4C385" w14:textId="49EE73AA" w:rsidR="004A3FBC" w:rsidRPr="00790AF8" w:rsidRDefault="004A3FBC" w:rsidP="00790AF8">
      <w:pPr>
        <w:pStyle w:val="AFR3"/>
      </w:pPr>
      <w:r w:rsidRPr="000C35A5">
        <w:lastRenderedPageBreak/>
        <w:t>Net Student Fees Revenue</w:t>
      </w:r>
    </w:p>
    <w:p w14:paraId="6F302766" w14:textId="27821E46" w:rsidR="00F1727A" w:rsidRDefault="00E7511E" w:rsidP="00E7511E">
      <w:pPr>
        <w:spacing w:after="160" w:line="256" w:lineRule="auto"/>
        <w:rPr>
          <w:rFonts w:eastAsia="Times New Roman" w:cstheme="minorHAnsi"/>
          <w:sz w:val="24"/>
        </w:rPr>
      </w:pPr>
      <w:r>
        <w:rPr>
          <w:rFonts w:eastAsia="Times New Roman" w:cstheme="minorHAnsi"/>
          <w:sz w:val="24"/>
        </w:rPr>
        <w:t xml:space="preserve">Net student fees of </w:t>
      </w:r>
      <w:r w:rsidRPr="00A316AD">
        <w:rPr>
          <w:rFonts w:eastAsia="Times New Roman" w:cstheme="minorHAnsi"/>
          <w:sz w:val="24"/>
        </w:rPr>
        <w:t>$</w:t>
      </w:r>
      <w:r w:rsidR="007706DF">
        <w:rPr>
          <w:rFonts w:eastAsia="Times New Roman" w:cstheme="minorHAnsi"/>
          <w:sz w:val="24"/>
        </w:rPr>
        <w:t>239</w:t>
      </w:r>
      <w:r w:rsidRPr="007706DF">
        <w:rPr>
          <w:rFonts w:eastAsia="Times New Roman" w:cstheme="minorHAnsi"/>
          <w:sz w:val="24"/>
        </w:rPr>
        <w:t xml:space="preserve"> </w:t>
      </w:r>
      <w:r>
        <w:rPr>
          <w:rFonts w:eastAsia="Times New Roman" w:cstheme="minorHAnsi"/>
          <w:sz w:val="24"/>
        </w:rPr>
        <w:t>million for FY</w:t>
      </w:r>
      <w:r w:rsidR="00D37B7A">
        <w:rPr>
          <w:rFonts w:eastAsia="Times New Roman" w:cstheme="minorHAnsi"/>
          <w:sz w:val="24"/>
        </w:rPr>
        <w:t>21</w:t>
      </w:r>
      <w:r>
        <w:rPr>
          <w:rFonts w:eastAsia="Times New Roman" w:cstheme="minorHAnsi"/>
          <w:sz w:val="24"/>
        </w:rPr>
        <w:t xml:space="preserve"> are the </w:t>
      </w:r>
      <w:r w:rsidR="00591780">
        <w:rPr>
          <w:rFonts w:eastAsia="Times New Roman" w:cstheme="minorHAnsi"/>
          <w:sz w:val="24"/>
        </w:rPr>
        <w:t xml:space="preserve">largest </w:t>
      </w:r>
      <w:r>
        <w:rPr>
          <w:rFonts w:eastAsia="Times New Roman" w:cstheme="minorHAnsi"/>
          <w:sz w:val="24"/>
        </w:rPr>
        <w:t xml:space="preserve">source of revenues used to fund operating expenses, representing </w:t>
      </w:r>
      <w:r w:rsidR="007706DF">
        <w:rPr>
          <w:rFonts w:eastAsia="Times New Roman" w:cstheme="minorHAnsi"/>
          <w:sz w:val="24"/>
        </w:rPr>
        <w:t>32</w:t>
      </w:r>
      <w:r w:rsidRPr="00A316AD">
        <w:rPr>
          <w:rFonts w:eastAsia="Times New Roman" w:cstheme="minorHAnsi"/>
          <w:sz w:val="24"/>
        </w:rPr>
        <w:t>%</w:t>
      </w:r>
      <w:r>
        <w:rPr>
          <w:rFonts w:eastAsia="Times New Roman" w:cstheme="minorHAnsi"/>
          <w:sz w:val="24"/>
        </w:rPr>
        <w:t xml:space="preserve"> of total operating and net nonoperating revenues</w:t>
      </w:r>
      <w:r w:rsidR="00EC4201">
        <w:rPr>
          <w:rFonts w:eastAsia="Times New Roman" w:cstheme="minorHAnsi"/>
          <w:sz w:val="24"/>
        </w:rPr>
        <w:t>.</w:t>
      </w:r>
      <w:r>
        <w:rPr>
          <w:rFonts w:eastAsia="Times New Roman" w:cstheme="minorHAnsi"/>
          <w:sz w:val="24"/>
        </w:rPr>
        <w:t xml:space="preserve"> Net student fees </w:t>
      </w:r>
      <w:r w:rsidR="00F172B5">
        <w:rPr>
          <w:rFonts w:eastAsia="Times New Roman" w:cstheme="minorHAnsi"/>
          <w:sz w:val="24"/>
        </w:rPr>
        <w:t xml:space="preserve">of $248 million for FY20 </w:t>
      </w:r>
      <w:r>
        <w:rPr>
          <w:rFonts w:eastAsia="Times New Roman" w:cstheme="minorHAnsi"/>
          <w:sz w:val="24"/>
        </w:rPr>
        <w:t xml:space="preserve">represented </w:t>
      </w:r>
      <w:r w:rsidR="00D37B7A">
        <w:rPr>
          <w:rFonts w:eastAsia="Times New Roman" w:cstheme="minorHAnsi"/>
          <w:sz w:val="24"/>
        </w:rPr>
        <w:t>35</w:t>
      </w:r>
      <w:r>
        <w:rPr>
          <w:rFonts w:eastAsia="Times New Roman" w:cstheme="minorHAnsi"/>
          <w:sz w:val="24"/>
        </w:rPr>
        <w:t>% of th</w:t>
      </w:r>
      <w:r w:rsidR="00F172B5">
        <w:rPr>
          <w:rFonts w:eastAsia="Times New Roman" w:cstheme="minorHAnsi"/>
          <w:sz w:val="24"/>
        </w:rPr>
        <w:t>at year’s</w:t>
      </w:r>
      <w:r>
        <w:rPr>
          <w:rFonts w:eastAsia="Times New Roman" w:cstheme="minorHAnsi"/>
          <w:sz w:val="24"/>
        </w:rPr>
        <w:t xml:space="preserve"> total operating and net nonoperating revenues</w:t>
      </w:r>
      <w:r w:rsidR="00820F9A">
        <w:rPr>
          <w:rFonts w:eastAsia="Times New Roman" w:cstheme="minorHAnsi"/>
          <w:sz w:val="24"/>
        </w:rPr>
        <w:t>.</w:t>
      </w:r>
    </w:p>
    <w:p w14:paraId="5978DD12" w14:textId="50402320" w:rsidR="00F1727A" w:rsidRDefault="00E7511E" w:rsidP="00F1727A">
      <w:pPr>
        <w:spacing w:after="160" w:line="256" w:lineRule="auto"/>
        <w:rPr>
          <w:rFonts w:eastAsia="Times New Roman" w:cstheme="minorHAnsi"/>
          <w:sz w:val="24"/>
        </w:rPr>
      </w:pPr>
      <w:r>
        <w:rPr>
          <w:rFonts w:eastAsia="Times New Roman" w:cstheme="minorHAnsi"/>
          <w:sz w:val="24"/>
        </w:rPr>
        <w:t>Net student fees revenue is comprised of tuition and fees and residence and dining fees less scholarship allowances:</w:t>
      </w:r>
    </w:p>
    <w:p w14:paraId="68B3E371" w14:textId="28328DCE" w:rsidR="00E7511E" w:rsidRPr="000F4BEA" w:rsidRDefault="003273B3" w:rsidP="00DE50BF">
      <w:pPr>
        <w:pStyle w:val="ListParagraph"/>
        <w:numPr>
          <w:ilvl w:val="0"/>
          <w:numId w:val="38"/>
        </w:numPr>
        <w:spacing w:after="160" w:line="256" w:lineRule="auto"/>
        <w:rPr>
          <w:rFonts w:cstheme="minorHAnsi"/>
        </w:rPr>
      </w:pPr>
      <w:r w:rsidRPr="00DE50BF">
        <w:rPr>
          <w:rFonts w:asciiTheme="minorHAnsi" w:hAnsiTheme="minorHAnsi" w:cstheme="minorHAnsi"/>
          <w:szCs w:val="22"/>
        </w:rPr>
        <w:t xml:space="preserve">Tuition and fees totaled </w:t>
      </w:r>
      <w:r w:rsidRPr="00A316AD">
        <w:rPr>
          <w:rFonts w:asciiTheme="minorHAnsi" w:hAnsiTheme="minorHAnsi" w:cstheme="minorHAnsi"/>
          <w:szCs w:val="22"/>
        </w:rPr>
        <w:t>$</w:t>
      </w:r>
      <w:r w:rsidR="00CA04B1">
        <w:rPr>
          <w:rFonts w:asciiTheme="minorHAnsi" w:hAnsiTheme="minorHAnsi" w:cstheme="minorHAnsi"/>
          <w:szCs w:val="22"/>
        </w:rPr>
        <w:t>321</w:t>
      </w:r>
      <w:r w:rsidR="00E7511E" w:rsidRPr="007706DF">
        <w:rPr>
          <w:rFonts w:asciiTheme="minorHAnsi" w:hAnsiTheme="minorHAnsi" w:cstheme="minorHAnsi"/>
          <w:szCs w:val="22"/>
        </w:rPr>
        <w:t xml:space="preserve"> </w:t>
      </w:r>
      <w:r w:rsidR="00E7511E" w:rsidRPr="00DE50BF">
        <w:rPr>
          <w:rFonts w:asciiTheme="minorHAnsi" w:hAnsiTheme="minorHAnsi" w:cstheme="minorHAnsi"/>
          <w:szCs w:val="22"/>
        </w:rPr>
        <w:t xml:space="preserve">million in </w:t>
      </w:r>
      <w:r w:rsidR="00E7511E" w:rsidRPr="00D37B7A">
        <w:rPr>
          <w:rFonts w:asciiTheme="minorHAnsi" w:hAnsiTheme="minorHAnsi" w:cstheme="minorHAnsi"/>
          <w:szCs w:val="22"/>
        </w:rPr>
        <w:t>FY</w:t>
      </w:r>
      <w:r w:rsidR="00D37B7A" w:rsidRPr="00D37B7A">
        <w:rPr>
          <w:rFonts w:asciiTheme="minorHAnsi" w:hAnsiTheme="minorHAnsi" w:cstheme="minorHAnsi"/>
          <w:szCs w:val="22"/>
        </w:rPr>
        <w:t>21</w:t>
      </w:r>
      <w:r w:rsidR="00E7511E" w:rsidRPr="00DE50BF">
        <w:rPr>
          <w:rFonts w:asciiTheme="minorHAnsi" w:hAnsiTheme="minorHAnsi" w:cstheme="minorHAnsi"/>
          <w:szCs w:val="22"/>
        </w:rPr>
        <w:t xml:space="preserve">, </w:t>
      </w:r>
      <w:r w:rsidRPr="00A316AD">
        <w:rPr>
          <w:rFonts w:asciiTheme="minorHAnsi" w:hAnsiTheme="minorHAnsi" w:cstheme="minorHAnsi"/>
          <w:szCs w:val="22"/>
        </w:rPr>
        <w:t>increasing</w:t>
      </w:r>
      <w:r w:rsidR="00E7511E" w:rsidRPr="00CA04B1">
        <w:rPr>
          <w:rFonts w:asciiTheme="minorHAnsi" w:hAnsiTheme="minorHAnsi" w:cstheme="minorHAnsi"/>
          <w:szCs w:val="22"/>
        </w:rPr>
        <w:t xml:space="preserve"> </w:t>
      </w:r>
      <w:r w:rsidR="00E7511E" w:rsidRPr="00A316AD">
        <w:rPr>
          <w:rFonts w:asciiTheme="minorHAnsi" w:hAnsiTheme="minorHAnsi" w:cstheme="minorHAnsi"/>
          <w:szCs w:val="22"/>
        </w:rPr>
        <w:t>$</w:t>
      </w:r>
      <w:r w:rsidR="00CA04B1">
        <w:rPr>
          <w:rFonts w:asciiTheme="minorHAnsi" w:hAnsiTheme="minorHAnsi" w:cstheme="minorHAnsi"/>
          <w:szCs w:val="22"/>
        </w:rPr>
        <w:t>2</w:t>
      </w:r>
      <w:r w:rsidR="00E7511E" w:rsidRPr="00DE50BF">
        <w:rPr>
          <w:rFonts w:asciiTheme="minorHAnsi" w:hAnsiTheme="minorHAnsi" w:cstheme="minorHAnsi"/>
          <w:szCs w:val="22"/>
        </w:rPr>
        <w:t xml:space="preserve"> million, or </w:t>
      </w:r>
      <w:r w:rsidR="00CA04B1">
        <w:rPr>
          <w:rFonts w:asciiTheme="minorHAnsi" w:hAnsiTheme="minorHAnsi" w:cstheme="minorHAnsi"/>
          <w:szCs w:val="22"/>
        </w:rPr>
        <w:t>less than 1</w:t>
      </w:r>
      <w:r w:rsidR="00E7511E" w:rsidRPr="00A316AD">
        <w:rPr>
          <w:rFonts w:asciiTheme="minorHAnsi" w:hAnsiTheme="minorHAnsi" w:cstheme="minorHAnsi"/>
          <w:szCs w:val="22"/>
        </w:rPr>
        <w:t>%</w:t>
      </w:r>
      <w:r w:rsidR="00E7511E" w:rsidRPr="00DE50BF">
        <w:rPr>
          <w:rFonts w:asciiTheme="minorHAnsi" w:hAnsiTheme="minorHAnsi" w:cstheme="minorHAnsi"/>
          <w:szCs w:val="22"/>
        </w:rPr>
        <w:t>, from the prior year. FY</w:t>
      </w:r>
      <w:r w:rsidR="00737CDE">
        <w:rPr>
          <w:rFonts w:asciiTheme="minorHAnsi" w:hAnsiTheme="minorHAnsi" w:cstheme="minorHAnsi"/>
          <w:szCs w:val="22"/>
        </w:rPr>
        <w:t>20</w:t>
      </w:r>
      <w:r w:rsidR="00E7511E" w:rsidRPr="00DE50BF">
        <w:rPr>
          <w:rFonts w:asciiTheme="minorHAnsi" w:hAnsiTheme="minorHAnsi" w:cstheme="minorHAnsi"/>
          <w:szCs w:val="22"/>
        </w:rPr>
        <w:t xml:space="preserve"> revenues increased $</w:t>
      </w:r>
      <w:r w:rsidR="00D37B7A">
        <w:rPr>
          <w:rFonts w:asciiTheme="minorHAnsi" w:hAnsiTheme="minorHAnsi" w:cstheme="minorHAnsi"/>
          <w:szCs w:val="22"/>
        </w:rPr>
        <w:t>6</w:t>
      </w:r>
      <w:r w:rsidR="00E7511E" w:rsidRPr="00DE50BF">
        <w:rPr>
          <w:rFonts w:asciiTheme="minorHAnsi" w:hAnsiTheme="minorHAnsi" w:cstheme="minorHAnsi"/>
          <w:szCs w:val="22"/>
        </w:rPr>
        <w:t xml:space="preserve"> million, or </w:t>
      </w:r>
      <w:r w:rsidR="00D37B7A">
        <w:rPr>
          <w:rFonts w:asciiTheme="minorHAnsi" w:hAnsiTheme="minorHAnsi" w:cstheme="minorHAnsi"/>
          <w:szCs w:val="22"/>
        </w:rPr>
        <w:t>2</w:t>
      </w:r>
      <w:r w:rsidR="00E7511E" w:rsidRPr="00DE50BF">
        <w:rPr>
          <w:rFonts w:asciiTheme="minorHAnsi" w:hAnsiTheme="minorHAnsi" w:cstheme="minorHAnsi"/>
          <w:szCs w:val="22"/>
        </w:rPr>
        <w:t>%, from FY</w:t>
      </w:r>
      <w:r w:rsidR="00D37B7A">
        <w:rPr>
          <w:rFonts w:asciiTheme="minorHAnsi" w:hAnsiTheme="minorHAnsi" w:cstheme="minorHAnsi"/>
          <w:szCs w:val="22"/>
        </w:rPr>
        <w:t>19</w:t>
      </w:r>
      <w:r w:rsidR="00820F9A">
        <w:rPr>
          <w:rFonts w:asciiTheme="minorHAnsi" w:hAnsiTheme="minorHAnsi" w:cstheme="minorHAnsi"/>
          <w:szCs w:val="22"/>
        </w:rPr>
        <w:t>.</w:t>
      </w:r>
    </w:p>
    <w:p w14:paraId="2A5DD57C" w14:textId="77777777" w:rsidR="003C75F4" w:rsidRDefault="00E7511E" w:rsidP="00790AF8">
      <w:pPr>
        <w:numPr>
          <w:ilvl w:val="0"/>
          <w:numId w:val="30"/>
        </w:numPr>
        <w:ind w:left="720"/>
        <w:rPr>
          <w:rFonts w:eastAsia="Times New Roman" w:cstheme="minorHAnsi"/>
          <w:sz w:val="24"/>
        </w:rPr>
      </w:pPr>
      <w:r w:rsidRPr="00065387">
        <w:rPr>
          <w:rFonts w:eastAsia="Times New Roman" w:cstheme="minorHAnsi"/>
          <w:sz w:val="24"/>
        </w:rPr>
        <w:t>Residence and dining fees of $</w:t>
      </w:r>
      <w:r w:rsidR="00CA04B1" w:rsidRPr="00065387">
        <w:rPr>
          <w:rFonts w:eastAsia="Times New Roman" w:cstheme="minorHAnsi"/>
          <w:sz w:val="24"/>
        </w:rPr>
        <w:t>40</w:t>
      </w:r>
      <w:r w:rsidRPr="00065387">
        <w:rPr>
          <w:rFonts w:eastAsia="Times New Roman" w:cstheme="minorHAnsi"/>
          <w:sz w:val="24"/>
        </w:rPr>
        <w:t xml:space="preserve"> million in FY</w:t>
      </w:r>
      <w:r w:rsidR="00371D48" w:rsidRPr="00065387">
        <w:rPr>
          <w:rFonts w:eastAsia="Times New Roman" w:cstheme="minorHAnsi"/>
          <w:sz w:val="24"/>
        </w:rPr>
        <w:t>21</w:t>
      </w:r>
      <w:r w:rsidRPr="00065387">
        <w:rPr>
          <w:rFonts w:eastAsia="Times New Roman" w:cstheme="minorHAnsi"/>
          <w:sz w:val="24"/>
        </w:rPr>
        <w:t xml:space="preserve"> were down $</w:t>
      </w:r>
      <w:r w:rsidR="00CA04B1" w:rsidRPr="00065387">
        <w:rPr>
          <w:rFonts w:eastAsia="Times New Roman" w:cstheme="minorHAnsi"/>
          <w:sz w:val="24"/>
        </w:rPr>
        <w:t>12</w:t>
      </w:r>
      <w:r w:rsidRPr="00065387">
        <w:rPr>
          <w:rFonts w:eastAsia="Times New Roman" w:cstheme="minorHAnsi"/>
          <w:sz w:val="24"/>
        </w:rPr>
        <w:t xml:space="preserve"> million, or </w:t>
      </w:r>
      <w:r w:rsidR="00CA04B1" w:rsidRPr="00065387">
        <w:rPr>
          <w:rFonts w:eastAsia="Times New Roman" w:cstheme="minorHAnsi"/>
          <w:sz w:val="24"/>
        </w:rPr>
        <w:t>23</w:t>
      </w:r>
      <w:r w:rsidRPr="00065387">
        <w:rPr>
          <w:rFonts w:eastAsia="Times New Roman" w:cstheme="minorHAnsi"/>
          <w:sz w:val="24"/>
        </w:rPr>
        <w:t>%, compared with FY</w:t>
      </w:r>
      <w:r w:rsidR="00371D48" w:rsidRPr="00065387">
        <w:rPr>
          <w:rFonts w:eastAsia="Times New Roman" w:cstheme="minorHAnsi"/>
          <w:sz w:val="24"/>
        </w:rPr>
        <w:t>20</w:t>
      </w:r>
      <w:r w:rsidR="00A006C8" w:rsidRPr="00065387">
        <w:rPr>
          <w:rFonts w:eastAsia="Times New Roman" w:cstheme="minorHAnsi"/>
          <w:sz w:val="24"/>
        </w:rPr>
        <w:t xml:space="preserve"> as the COVID-19 pandemic that began in late FY20 continued to impact operations</w:t>
      </w:r>
      <w:r w:rsidR="00222565" w:rsidRPr="00065387">
        <w:rPr>
          <w:rFonts w:eastAsia="Times New Roman" w:cstheme="minorHAnsi"/>
          <w:sz w:val="24"/>
        </w:rPr>
        <w:t xml:space="preserve">. </w:t>
      </w:r>
      <w:r w:rsidR="00A006C8" w:rsidRPr="00065387">
        <w:rPr>
          <w:rFonts w:eastAsia="Times New Roman" w:cstheme="minorHAnsi"/>
          <w:sz w:val="24"/>
        </w:rPr>
        <w:t xml:space="preserve">The System limited the number of students allowed to live on campus during FY21 as part of its emergency response to the continuing pandemic. </w:t>
      </w:r>
    </w:p>
    <w:p w14:paraId="41E74FBE" w14:textId="5BD81A98" w:rsidR="00737CDE" w:rsidRPr="00065387" w:rsidRDefault="00D37B7A" w:rsidP="00790AF8">
      <w:pPr>
        <w:spacing w:before="120" w:after="160"/>
        <w:ind w:left="720"/>
        <w:rPr>
          <w:rFonts w:eastAsia="Times New Roman" w:cstheme="minorHAnsi"/>
          <w:sz w:val="24"/>
        </w:rPr>
      </w:pPr>
      <w:r w:rsidRPr="00065387">
        <w:rPr>
          <w:rFonts w:eastAsia="Times New Roman" w:cstheme="minorHAnsi"/>
          <w:sz w:val="24"/>
        </w:rPr>
        <w:t>FY</w:t>
      </w:r>
      <w:r w:rsidR="00371D48" w:rsidRPr="00065387">
        <w:rPr>
          <w:rFonts w:eastAsia="Times New Roman" w:cstheme="minorHAnsi"/>
          <w:sz w:val="24"/>
        </w:rPr>
        <w:t xml:space="preserve">20 </w:t>
      </w:r>
      <w:r w:rsidR="00737CDE" w:rsidRPr="00065387">
        <w:rPr>
          <w:rFonts w:eastAsia="Times New Roman" w:cstheme="minorHAnsi"/>
          <w:sz w:val="24"/>
        </w:rPr>
        <w:t xml:space="preserve">residence and dining fees </w:t>
      </w:r>
      <w:r w:rsidRPr="00065387">
        <w:rPr>
          <w:rFonts w:eastAsia="Times New Roman" w:cstheme="minorHAnsi"/>
          <w:sz w:val="24"/>
        </w:rPr>
        <w:t>decrease</w:t>
      </w:r>
      <w:r w:rsidR="00371D48" w:rsidRPr="00065387">
        <w:rPr>
          <w:rFonts w:eastAsia="Times New Roman" w:cstheme="minorHAnsi"/>
          <w:sz w:val="24"/>
        </w:rPr>
        <w:t>d $13 million, or 20%</w:t>
      </w:r>
      <w:r w:rsidR="00737CDE" w:rsidRPr="00065387">
        <w:rPr>
          <w:rFonts w:eastAsia="Times New Roman" w:cstheme="minorHAnsi"/>
          <w:sz w:val="24"/>
        </w:rPr>
        <w:t>, compared with FY19</w:t>
      </w:r>
      <w:r w:rsidR="00371D48" w:rsidRPr="00065387">
        <w:rPr>
          <w:rFonts w:eastAsia="Times New Roman" w:cstheme="minorHAnsi"/>
          <w:sz w:val="24"/>
        </w:rPr>
        <w:t xml:space="preserve">, </w:t>
      </w:r>
      <w:r w:rsidRPr="00065387">
        <w:rPr>
          <w:rFonts w:eastAsia="Times New Roman" w:cstheme="minorHAnsi"/>
          <w:sz w:val="24"/>
        </w:rPr>
        <w:t>primarily attributable to sending students home early during the spring semester as part of the UMS’ emergency response to the world-wide COVID-19 pandemic. Approximately 46%, or $13 million, of the spring semester room and board charge</w:t>
      </w:r>
      <w:r w:rsidR="00371D48" w:rsidRPr="00065387">
        <w:rPr>
          <w:rFonts w:eastAsia="Times New Roman" w:cstheme="minorHAnsi"/>
          <w:sz w:val="24"/>
        </w:rPr>
        <w:t>s were refunded to the student</w:t>
      </w:r>
      <w:r w:rsidR="00737CDE" w:rsidRPr="00065387">
        <w:rPr>
          <w:rFonts w:eastAsia="Times New Roman" w:cstheme="minorHAnsi"/>
          <w:sz w:val="24"/>
        </w:rPr>
        <w:t>s</w:t>
      </w:r>
      <w:r w:rsidR="00371D48" w:rsidRPr="00065387">
        <w:rPr>
          <w:rFonts w:eastAsia="Times New Roman" w:cstheme="minorHAnsi"/>
          <w:sz w:val="24"/>
        </w:rPr>
        <w:t xml:space="preserve">. </w:t>
      </w:r>
    </w:p>
    <w:p w14:paraId="45FFCBE6" w14:textId="1A52F7A5" w:rsidR="00E7511E" w:rsidRDefault="00E7511E" w:rsidP="00E7511E">
      <w:pPr>
        <w:numPr>
          <w:ilvl w:val="0"/>
          <w:numId w:val="30"/>
        </w:numPr>
        <w:ind w:left="720"/>
        <w:rPr>
          <w:rFonts w:eastAsia="Times New Roman" w:cstheme="minorHAnsi"/>
          <w:sz w:val="24"/>
        </w:rPr>
      </w:pPr>
      <w:r>
        <w:rPr>
          <w:rFonts w:eastAsia="Times New Roman" w:cstheme="minorHAnsi"/>
          <w:sz w:val="24"/>
        </w:rPr>
        <w:t xml:space="preserve">Scholarship allowances totaled </w:t>
      </w:r>
      <w:r w:rsidRPr="00A316AD">
        <w:rPr>
          <w:rFonts w:eastAsia="Times New Roman" w:cstheme="minorHAnsi"/>
          <w:sz w:val="24"/>
        </w:rPr>
        <w:t>$</w:t>
      </w:r>
      <w:r w:rsidR="00CA04B1">
        <w:rPr>
          <w:rFonts w:eastAsia="Times New Roman" w:cstheme="minorHAnsi"/>
          <w:sz w:val="24"/>
        </w:rPr>
        <w:t>122</w:t>
      </w:r>
      <w:r>
        <w:rPr>
          <w:rFonts w:eastAsia="Times New Roman" w:cstheme="minorHAnsi"/>
          <w:sz w:val="24"/>
        </w:rPr>
        <w:t xml:space="preserve"> million in FY</w:t>
      </w:r>
      <w:r w:rsidR="00D37B7A">
        <w:rPr>
          <w:rFonts w:eastAsia="Times New Roman" w:cstheme="minorHAnsi"/>
          <w:sz w:val="24"/>
        </w:rPr>
        <w:t>21</w:t>
      </w:r>
      <w:r>
        <w:rPr>
          <w:rFonts w:eastAsia="Times New Roman" w:cstheme="minorHAnsi"/>
          <w:sz w:val="24"/>
        </w:rPr>
        <w:t xml:space="preserve">, </w:t>
      </w:r>
      <w:r w:rsidR="00CA04B1">
        <w:rPr>
          <w:rFonts w:eastAsia="Times New Roman" w:cstheme="minorHAnsi"/>
          <w:sz w:val="24"/>
        </w:rPr>
        <w:t>de</w:t>
      </w:r>
      <w:r w:rsidRPr="00A316AD">
        <w:rPr>
          <w:rFonts w:eastAsia="Times New Roman" w:cstheme="minorHAnsi"/>
          <w:sz w:val="24"/>
        </w:rPr>
        <w:t>creasing $</w:t>
      </w:r>
      <w:r w:rsidR="00CA04B1">
        <w:rPr>
          <w:rFonts w:eastAsia="Times New Roman" w:cstheme="minorHAnsi"/>
          <w:sz w:val="24"/>
        </w:rPr>
        <w:t>1</w:t>
      </w:r>
      <w:r>
        <w:rPr>
          <w:rFonts w:eastAsia="Times New Roman" w:cstheme="minorHAnsi"/>
          <w:sz w:val="24"/>
        </w:rPr>
        <w:t xml:space="preserve"> million, or </w:t>
      </w:r>
      <w:r w:rsidR="00CA04B1">
        <w:rPr>
          <w:rFonts w:eastAsia="Times New Roman" w:cstheme="minorHAnsi"/>
          <w:sz w:val="24"/>
        </w:rPr>
        <w:t xml:space="preserve">less than </w:t>
      </w:r>
      <w:r w:rsidR="00CA04B1" w:rsidRPr="00CA04B1">
        <w:rPr>
          <w:rFonts w:eastAsia="Times New Roman" w:cstheme="minorHAnsi"/>
          <w:sz w:val="24"/>
        </w:rPr>
        <w:t>1</w:t>
      </w:r>
      <w:r w:rsidRPr="00A316AD">
        <w:rPr>
          <w:rFonts w:eastAsia="Times New Roman" w:cstheme="minorHAnsi"/>
          <w:sz w:val="24"/>
        </w:rPr>
        <w:t>%</w:t>
      </w:r>
      <w:r w:rsidRPr="00CA04B1">
        <w:rPr>
          <w:rFonts w:eastAsia="Times New Roman" w:cstheme="minorHAnsi"/>
          <w:sz w:val="24"/>
        </w:rPr>
        <w:t xml:space="preserve">, </w:t>
      </w:r>
      <w:r>
        <w:rPr>
          <w:rFonts w:eastAsia="Times New Roman" w:cstheme="minorHAnsi"/>
          <w:sz w:val="24"/>
        </w:rPr>
        <w:t>from the prior year.  The FY</w:t>
      </w:r>
      <w:r w:rsidR="00D37B7A">
        <w:rPr>
          <w:rFonts w:eastAsia="Times New Roman" w:cstheme="minorHAnsi"/>
          <w:sz w:val="24"/>
        </w:rPr>
        <w:t>20</w:t>
      </w:r>
      <w:r>
        <w:rPr>
          <w:rFonts w:eastAsia="Times New Roman" w:cstheme="minorHAnsi"/>
          <w:sz w:val="24"/>
        </w:rPr>
        <w:t xml:space="preserve"> scholarship allowances increased $</w:t>
      </w:r>
      <w:r w:rsidR="00D37B7A">
        <w:rPr>
          <w:rFonts w:eastAsia="Times New Roman" w:cstheme="minorHAnsi"/>
          <w:sz w:val="24"/>
        </w:rPr>
        <w:t>9</w:t>
      </w:r>
      <w:r>
        <w:rPr>
          <w:rFonts w:eastAsia="Times New Roman" w:cstheme="minorHAnsi"/>
          <w:sz w:val="24"/>
        </w:rPr>
        <w:t xml:space="preserve"> million, or </w:t>
      </w:r>
      <w:r w:rsidR="00D37B7A">
        <w:rPr>
          <w:rFonts w:eastAsia="Times New Roman" w:cstheme="minorHAnsi"/>
          <w:sz w:val="24"/>
        </w:rPr>
        <w:t>8</w:t>
      </w:r>
      <w:r>
        <w:rPr>
          <w:rFonts w:eastAsia="Times New Roman" w:cstheme="minorHAnsi"/>
          <w:sz w:val="24"/>
        </w:rPr>
        <w:t>%, from FY</w:t>
      </w:r>
      <w:r w:rsidR="00D37B7A">
        <w:rPr>
          <w:rFonts w:eastAsia="Times New Roman" w:cstheme="minorHAnsi"/>
          <w:sz w:val="24"/>
        </w:rPr>
        <w:t>19</w:t>
      </w:r>
      <w:r w:rsidR="00820F9A">
        <w:rPr>
          <w:rFonts w:eastAsia="Times New Roman" w:cstheme="minorHAnsi"/>
          <w:sz w:val="24"/>
        </w:rPr>
        <w:t>.</w:t>
      </w:r>
    </w:p>
    <w:p w14:paraId="013E1545" w14:textId="77777777" w:rsidR="00E7511E" w:rsidRDefault="00E7511E" w:rsidP="00E7511E">
      <w:pPr>
        <w:pStyle w:val="AFR3"/>
        <w:rPr>
          <w:rFonts w:cstheme="minorHAnsi"/>
        </w:rPr>
      </w:pPr>
      <w:r>
        <w:rPr>
          <w:rFonts w:cstheme="minorHAnsi"/>
        </w:rPr>
        <w:t>Student Financial Aid</w:t>
      </w:r>
    </w:p>
    <w:p w14:paraId="45C29BF5" w14:textId="0C813142" w:rsidR="00E7511E" w:rsidRDefault="00E7511E" w:rsidP="00E7511E">
      <w:pPr>
        <w:tabs>
          <w:tab w:val="left" w:pos="540"/>
        </w:tabs>
        <w:spacing w:after="160"/>
        <w:rPr>
          <w:rFonts w:eastAsia="Times New Roman" w:cstheme="minorHAnsi"/>
          <w:sz w:val="24"/>
        </w:rPr>
      </w:pPr>
      <w:r>
        <w:rPr>
          <w:rFonts w:eastAsia="Times New Roman" w:cstheme="minorHAnsi"/>
          <w:sz w:val="24"/>
        </w:rPr>
        <w:t xml:space="preserve">Student financial aid awards are made from a variety of sources including federal, state, private, and university funds. </w:t>
      </w:r>
      <w:r w:rsidR="004B2924">
        <w:rPr>
          <w:rFonts w:eastAsia="Times New Roman" w:cstheme="minorHAnsi"/>
          <w:sz w:val="24"/>
        </w:rPr>
        <w:t>Funding r</w:t>
      </w:r>
      <w:r>
        <w:rPr>
          <w:rFonts w:eastAsia="Times New Roman" w:cstheme="minorHAnsi"/>
          <w:sz w:val="24"/>
        </w:rPr>
        <w:t xml:space="preserve">eceived </w:t>
      </w:r>
      <w:r w:rsidR="004B2924">
        <w:rPr>
          <w:rFonts w:eastAsia="Times New Roman" w:cstheme="minorHAnsi"/>
          <w:sz w:val="24"/>
        </w:rPr>
        <w:t xml:space="preserve">by the UMS </w:t>
      </w:r>
      <w:r>
        <w:rPr>
          <w:rFonts w:eastAsia="Times New Roman" w:cstheme="minorHAnsi"/>
          <w:sz w:val="24"/>
        </w:rPr>
        <w:t>from third parties is recognized as grants and contracts revenue</w:t>
      </w:r>
      <w:r w:rsidR="003C75F4">
        <w:rPr>
          <w:rFonts w:eastAsia="Times New Roman" w:cstheme="minorHAnsi"/>
          <w:sz w:val="24"/>
        </w:rPr>
        <w:t xml:space="preserve"> (operating), federal Pell grants revenue (nonoperating) </w:t>
      </w:r>
      <w:r w:rsidR="004B2924">
        <w:rPr>
          <w:rFonts w:eastAsia="Times New Roman" w:cstheme="minorHAnsi"/>
          <w:sz w:val="24"/>
        </w:rPr>
        <w:t xml:space="preserve">or </w:t>
      </w:r>
      <w:r w:rsidR="00A064CC">
        <w:rPr>
          <w:rFonts w:eastAsia="Times New Roman" w:cstheme="minorHAnsi"/>
          <w:sz w:val="24"/>
        </w:rPr>
        <w:t xml:space="preserve">gift revenue </w:t>
      </w:r>
      <w:r w:rsidR="003C75F4">
        <w:rPr>
          <w:rFonts w:eastAsia="Times New Roman" w:cstheme="minorHAnsi"/>
          <w:sz w:val="24"/>
        </w:rPr>
        <w:t xml:space="preserve">(nonoperating) </w:t>
      </w:r>
      <w:r>
        <w:rPr>
          <w:rFonts w:eastAsia="Times New Roman" w:cstheme="minorHAnsi"/>
          <w:sz w:val="24"/>
        </w:rPr>
        <w:t>on the Statements of Revenues, Expenses, and Changes in Net Position while the distribution of aid from all sources is shown as one of two components:</w:t>
      </w:r>
    </w:p>
    <w:p w14:paraId="55E5E011" w14:textId="534DF7C8" w:rsidR="00E7511E" w:rsidRDefault="00E7511E" w:rsidP="00E7511E">
      <w:pPr>
        <w:numPr>
          <w:ilvl w:val="2"/>
          <w:numId w:val="31"/>
        </w:numPr>
        <w:tabs>
          <w:tab w:val="left" w:pos="990"/>
        </w:tabs>
        <w:spacing w:after="160"/>
        <w:ind w:left="720"/>
        <w:rPr>
          <w:rFonts w:eastAsia="Times New Roman" w:cstheme="minorHAnsi"/>
          <w:sz w:val="24"/>
        </w:rPr>
      </w:pPr>
      <w:r>
        <w:rPr>
          <w:rFonts w:eastAsia="Times New Roman" w:cstheme="minorHAnsi"/>
          <w:sz w:val="24"/>
        </w:rPr>
        <w:t>Scholarship Allowances – financial aid retained by the System to cover students’ tuition, fees, and on-campus housing and meals. These amounts are reported as a direct offset to operating revenues</w:t>
      </w:r>
      <w:r w:rsidR="003C75F4">
        <w:rPr>
          <w:rFonts w:eastAsia="Times New Roman" w:cstheme="minorHAnsi"/>
          <w:sz w:val="24"/>
        </w:rPr>
        <w:t xml:space="preserve"> as a component of the net student fees revenue line</w:t>
      </w:r>
      <w:r>
        <w:rPr>
          <w:rFonts w:eastAsia="Times New Roman" w:cstheme="minorHAnsi"/>
          <w:sz w:val="24"/>
        </w:rPr>
        <w:t>.</w:t>
      </w:r>
    </w:p>
    <w:p w14:paraId="6ED1DE37" w14:textId="77777777" w:rsidR="00E7511E" w:rsidRDefault="00E7511E" w:rsidP="00E7511E">
      <w:pPr>
        <w:numPr>
          <w:ilvl w:val="2"/>
          <w:numId w:val="31"/>
        </w:numPr>
        <w:tabs>
          <w:tab w:val="left" w:pos="990"/>
        </w:tabs>
        <w:ind w:left="720"/>
        <w:rPr>
          <w:rFonts w:eastAsia="Times New Roman" w:cstheme="minorHAnsi"/>
          <w:sz w:val="24"/>
        </w:rPr>
      </w:pPr>
      <w:r>
        <w:rPr>
          <w:rFonts w:eastAsia="Times New Roman" w:cstheme="minorHAnsi"/>
          <w:sz w:val="24"/>
        </w:rPr>
        <w:t>Student Aid Expense – financial aid refunded to students to cover off-campus living costs, books, and other personal living expenses. These amounts are reported as operating expense.</w:t>
      </w:r>
    </w:p>
    <w:p w14:paraId="0446CF5B" w14:textId="77777777" w:rsidR="00E7511E" w:rsidRPr="00DE50BF" w:rsidRDefault="00E7511E" w:rsidP="00E7511E">
      <w:pPr>
        <w:tabs>
          <w:tab w:val="left" w:pos="540"/>
        </w:tabs>
        <w:ind w:left="900"/>
        <w:rPr>
          <w:rFonts w:eastAsia="Times New Roman" w:cstheme="minorHAnsi"/>
          <w:sz w:val="20"/>
        </w:rPr>
      </w:pPr>
    </w:p>
    <w:p w14:paraId="7EB743D9" w14:textId="612F3607" w:rsidR="00DB2B71" w:rsidRDefault="00E7511E" w:rsidP="00DE50BF">
      <w:pPr>
        <w:tabs>
          <w:tab w:val="left" w:pos="540"/>
        </w:tabs>
        <w:spacing w:after="160"/>
        <w:rPr>
          <w:rFonts w:eastAsia="Times New Roman" w:cstheme="minorHAnsi"/>
          <w:sz w:val="24"/>
        </w:rPr>
      </w:pPr>
      <w:r>
        <w:rPr>
          <w:rFonts w:eastAsia="Times New Roman" w:cstheme="minorHAnsi"/>
          <w:sz w:val="24"/>
        </w:rPr>
        <w:t>Federal financial aid awards are based on a student’s financial need considering their total cost of education which includes tuition and fees, housing and meals (both on and off campus), books, and other personal living expenses.</w:t>
      </w:r>
    </w:p>
    <w:p w14:paraId="6B38A725" w14:textId="51142768" w:rsidR="00B2522E" w:rsidRDefault="00094530" w:rsidP="00A316AD">
      <w:pPr>
        <w:tabs>
          <w:tab w:val="left" w:pos="540"/>
        </w:tabs>
        <w:spacing w:after="160"/>
        <w:jc w:val="center"/>
        <w:rPr>
          <w:rFonts w:eastAsia="Times New Roman" w:cstheme="minorHAnsi"/>
          <w:sz w:val="24"/>
        </w:rPr>
      </w:pPr>
      <w:r>
        <w:rPr>
          <w:noProof/>
        </w:rPr>
        <w:lastRenderedPageBreak/>
        <w:drawing>
          <wp:inline distT="0" distB="0" distL="0" distR="0" wp14:anchorId="0D389E5F" wp14:editId="49DE0B88">
            <wp:extent cx="4572000" cy="2743200"/>
            <wp:effectExtent l="0" t="0" r="0" b="0"/>
            <wp:docPr id="60" name="Chart 60">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F8BA0A" w14:textId="0339341D" w:rsidR="00E7511E" w:rsidRPr="00C86CAD" w:rsidRDefault="00E7511E" w:rsidP="00E7511E">
      <w:pPr>
        <w:tabs>
          <w:tab w:val="left" w:pos="540"/>
        </w:tabs>
        <w:rPr>
          <w:rFonts w:eastAsia="Times New Roman" w:cstheme="minorHAnsi"/>
          <w:sz w:val="24"/>
        </w:rPr>
      </w:pPr>
      <w:r>
        <w:rPr>
          <w:rFonts w:eastAsia="Times New Roman" w:cstheme="minorHAnsi"/>
          <w:sz w:val="24"/>
        </w:rPr>
        <w:t>During FY</w:t>
      </w:r>
      <w:r w:rsidR="00371D48">
        <w:rPr>
          <w:rFonts w:eastAsia="Times New Roman" w:cstheme="minorHAnsi"/>
          <w:sz w:val="24"/>
        </w:rPr>
        <w:t>21</w:t>
      </w:r>
      <w:r>
        <w:rPr>
          <w:rFonts w:eastAsia="Times New Roman" w:cstheme="minorHAnsi"/>
          <w:sz w:val="24"/>
        </w:rPr>
        <w:t xml:space="preserve">, total financial aid provided to students was </w:t>
      </w:r>
      <w:r w:rsidR="00F338E8">
        <w:rPr>
          <w:rFonts w:eastAsia="Times New Roman" w:cstheme="minorHAnsi"/>
          <w:sz w:val="24"/>
        </w:rPr>
        <w:t>$162</w:t>
      </w:r>
      <w:r>
        <w:rPr>
          <w:rFonts w:eastAsia="Times New Roman" w:cstheme="minorHAnsi"/>
          <w:sz w:val="24"/>
        </w:rPr>
        <w:t xml:space="preserve"> million, </w:t>
      </w:r>
      <w:r w:rsidR="00F338E8">
        <w:rPr>
          <w:rFonts w:eastAsia="Times New Roman" w:cstheme="minorHAnsi"/>
          <w:sz w:val="24"/>
        </w:rPr>
        <w:t>de</w:t>
      </w:r>
      <w:r w:rsidRPr="00A316AD">
        <w:rPr>
          <w:rFonts w:eastAsia="Times New Roman" w:cstheme="minorHAnsi"/>
          <w:sz w:val="24"/>
        </w:rPr>
        <w:t>creasing $</w:t>
      </w:r>
      <w:r w:rsidR="00F338E8">
        <w:rPr>
          <w:rFonts w:eastAsia="Times New Roman" w:cstheme="minorHAnsi"/>
          <w:sz w:val="24"/>
        </w:rPr>
        <w:t>1</w:t>
      </w:r>
      <w:r>
        <w:rPr>
          <w:rFonts w:eastAsia="Times New Roman" w:cstheme="minorHAnsi"/>
          <w:sz w:val="24"/>
        </w:rPr>
        <w:t xml:space="preserve"> million, or </w:t>
      </w:r>
      <w:r w:rsidR="00F338E8">
        <w:rPr>
          <w:rFonts w:eastAsia="Times New Roman" w:cstheme="minorHAnsi"/>
          <w:sz w:val="24"/>
        </w:rPr>
        <w:t>less than 1</w:t>
      </w:r>
      <w:r w:rsidRPr="00A316AD">
        <w:rPr>
          <w:rFonts w:eastAsia="Times New Roman" w:cstheme="minorHAnsi"/>
          <w:sz w:val="24"/>
        </w:rPr>
        <w:t>%</w:t>
      </w:r>
      <w:r>
        <w:rPr>
          <w:rFonts w:eastAsia="Times New Roman" w:cstheme="minorHAnsi"/>
          <w:sz w:val="24"/>
        </w:rPr>
        <w:t xml:space="preserve">, </w:t>
      </w:r>
      <w:r w:rsidR="003C75F4">
        <w:rPr>
          <w:rFonts w:eastAsia="Times New Roman" w:cstheme="minorHAnsi"/>
          <w:sz w:val="24"/>
        </w:rPr>
        <w:t xml:space="preserve">from </w:t>
      </w:r>
      <w:r>
        <w:rPr>
          <w:rFonts w:eastAsia="Times New Roman" w:cstheme="minorHAnsi"/>
          <w:sz w:val="24"/>
        </w:rPr>
        <w:t>FY</w:t>
      </w:r>
      <w:r w:rsidR="00371D48">
        <w:rPr>
          <w:rFonts w:eastAsia="Times New Roman" w:cstheme="minorHAnsi"/>
          <w:sz w:val="24"/>
        </w:rPr>
        <w:t>20</w:t>
      </w:r>
      <w:r>
        <w:rPr>
          <w:rFonts w:eastAsia="Times New Roman" w:cstheme="minorHAnsi"/>
          <w:sz w:val="24"/>
        </w:rPr>
        <w:t xml:space="preserve"> financial aid of $</w:t>
      </w:r>
      <w:r w:rsidR="00371D48">
        <w:rPr>
          <w:rFonts w:eastAsia="Times New Roman" w:cstheme="minorHAnsi"/>
          <w:sz w:val="24"/>
        </w:rPr>
        <w:t>163</w:t>
      </w:r>
      <w:r>
        <w:rPr>
          <w:rFonts w:eastAsia="Times New Roman" w:cstheme="minorHAnsi"/>
          <w:sz w:val="24"/>
        </w:rPr>
        <w:t xml:space="preserve"> million. The </w:t>
      </w:r>
      <w:r w:rsidR="00C86CAD">
        <w:rPr>
          <w:rFonts w:eastAsia="Times New Roman" w:cstheme="minorHAnsi"/>
          <w:sz w:val="24"/>
        </w:rPr>
        <w:t>decrease</w:t>
      </w:r>
      <w:r w:rsidRPr="00C86CAD">
        <w:rPr>
          <w:rFonts w:eastAsia="Times New Roman" w:cstheme="minorHAnsi"/>
          <w:sz w:val="24"/>
        </w:rPr>
        <w:t xml:space="preserve"> includes </w:t>
      </w:r>
      <w:r w:rsidR="00C86CAD">
        <w:rPr>
          <w:rFonts w:eastAsia="Times New Roman" w:cstheme="minorHAnsi"/>
          <w:sz w:val="24"/>
        </w:rPr>
        <w:t xml:space="preserve">a $3 million decrease in </w:t>
      </w:r>
      <w:r w:rsidR="0000569A">
        <w:rPr>
          <w:rFonts w:eastAsia="Times New Roman" w:cstheme="minorHAnsi"/>
          <w:sz w:val="24"/>
        </w:rPr>
        <w:t xml:space="preserve">Pell awards and an </w:t>
      </w:r>
      <w:r w:rsidR="00C86CAD">
        <w:rPr>
          <w:rFonts w:eastAsia="Times New Roman" w:cstheme="minorHAnsi"/>
          <w:sz w:val="24"/>
        </w:rPr>
        <w:t xml:space="preserve">increase </w:t>
      </w:r>
      <w:r w:rsidR="00451314">
        <w:rPr>
          <w:rFonts w:eastAsia="Times New Roman" w:cstheme="minorHAnsi"/>
          <w:sz w:val="24"/>
        </w:rPr>
        <w:t>of $</w:t>
      </w:r>
      <w:r w:rsidR="0000569A">
        <w:rPr>
          <w:rFonts w:eastAsia="Times New Roman" w:cstheme="minorHAnsi"/>
          <w:sz w:val="24"/>
        </w:rPr>
        <w:t>1</w:t>
      </w:r>
      <w:r w:rsidR="00451314">
        <w:rPr>
          <w:rFonts w:eastAsia="Times New Roman" w:cstheme="minorHAnsi"/>
          <w:sz w:val="24"/>
        </w:rPr>
        <w:t xml:space="preserve"> million </w:t>
      </w:r>
      <w:r w:rsidR="00C86CAD">
        <w:rPr>
          <w:rFonts w:eastAsia="Times New Roman" w:cstheme="minorHAnsi"/>
          <w:sz w:val="24"/>
        </w:rPr>
        <w:t xml:space="preserve">in </w:t>
      </w:r>
      <w:r w:rsidR="00451314">
        <w:rPr>
          <w:rFonts w:eastAsia="Times New Roman" w:cstheme="minorHAnsi"/>
          <w:sz w:val="24"/>
        </w:rPr>
        <w:t xml:space="preserve">FY21 funding from the federal </w:t>
      </w:r>
      <w:r w:rsidR="00C86CAD">
        <w:rPr>
          <w:rFonts w:eastAsia="Times New Roman" w:cstheme="minorHAnsi"/>
          <w:sz w:val="24"/>
        </w:rPr>
        <w:t>Coronavir</w:t>
      </w:r>
      <w:r w:rsidR="0000569A">
        <w:rPr>
          <w:rFonts w:eastAsia="Times New Roman" w:cstheme="minorHAnsi"/>
          <w:sz w:val="24"/>
        </w:rPr>
        <w:t>us</w:t>
      </w:r>
      <w:r w:rsidR="00C86CAD">
        <w:rPr>
          <w:rFonts w:eastAsia="Times New Roman" w:cstheme="minorHAnsi"/>
          <w:sz w:val="24"/>
        </w:rPr>
        <w:t xml:space="preserve"> Relief funds</w:t>
      </w:r>
      <w:r w:rsidR="003C75F4">
        <w:rPr>
          <w:rFonts w:eastAsia="Times New Roman" w:cstheme="minorHAnsi"/>
          <w:sz w:val="24"/>
        </w:rPr>
        <w:t xml:space="preserve"> which were received</w:t>
      </w:r>
      <w:r w:rsidR="0098593C">
        <w:rPr>
          <w:rFonts w:eastAsia="Times New Roman" w:cstheme="minorHAnsi"/>
          <w:sz w:val="24"/>
        </w:rPr>
        <w:t xml:space="preserve"> for the first time in FY20</w:t>
      </w:r>
      <w:r w:rsidR="00451314">
        <w:rPr>
          <w:rFonts w:eastAsia="Times New Roman" w:cstheme="minorHAnsi"/>
          <w:sz w:val="24"/>
        </w:rPr>
        <w:t>.</w:t>
      </w:r>
      <w:r w:rsidR="00C86CAD">
        <w:rPr>
          <w:rFonts w:eastAsia="Times New Roman" w:cstheme="minorHAnsi"/>
          <w:sz w:val="24"/>
        </w:rPr>
        <w:t xml:space="preserve"> </w:t>
      </w:r>
    </w:p>
    <w:p w14:paraId="7A05F1C3" w14:textId="5F07552B" w:rsidR="00E7511E" w:rsidRDefault="00E7511E" w:rsidP="00E7511E">
      <w:pPr>
        <w:tabs>
          <w:tab w:val="left" w:pos="540"/>
        </w:tabs>
        <w:rPr>
          <w:rFonts w:eastAsia="Times New Roman" w:cstheme="minorHAnsi"/>
          <w:sz w:val="20"/>
          <w:szCs w:val="20"/>
        </w:rPr>
      </w:pPr>
    </w:p>
    <w:p w14:paraId="375B3D05" w14:textId="5272ED15" w:rsidR="00371D48" w:rsidRDefault="00371D48" w:rsidP="00E7511E">
      <w:pPr>
        <w:tabs>
          <w:tab w:val="left" w:pos="540"/>
        </w:tabs>
        <w:rPr>
          <w:rFonts w:eastAsia="Times New Roman" w:cstheme="minorHAnsi"/>
          <w:sz w:val="20"/>
          <w:szCs w:val="20"/>
        </w:rPr>
      </w:pPr>
      <w:r>
        <w:rPr>
          <w:rFonts w:eastAsia="Times New Roman" w:cstheme="minorHAnsi"/>
          <w:sz w:val="24"/>
        </w:rPr>
        <w:t xml:space="preserve">During FY20, total financial aid provided to students was $163 million, increasing $13 million, or 9%, over FY19 financial aid of $150 million. The increase includes $8 million in FY20 funding from the federal </w:t>
      </w:r>
      <w:r w:rsidRPr="00F1727A">
        <w:rPr>
          <w:rFonts w:eastAsia="Times New Roman" w:cstheme="minorHAnsi"/>
          <w:sz w:val="24"/>
        </w:rPr>
        <w:t>Coronavirus Aid, Relief, and Economic Security Act</w:t>
      </w:r>
      <w:r>
        <w:rPr>
          <w:rFonts w:eastAsia="Times New Roman" w:cstheme="minorHAnsi"/>
          <w:sz w:val="24"/>
        </w:rPr>
        <w:t xml:space="preserve"> in response to the COVID-19 pandemic, an increase of $7 million in institutional unrestricted aid, and a decrease of $2 million in Pell awards.</w:t>
      </w:r>
    </w:p>
    <w:p w14:paraId="4A02DDDA" w14:textId="77777777" w:rsidR="006140D5" w:rsidRDefault="006140D5">
      <w:pPr>
        <w:spacing w:after="160" w:line="259" w:lineRule="auto"/>
        <w:rPr>
          <w:rFonts w:cstheme="minorHAnsi"/>
          <w:b/>
          <w:i/>
          <w:sz w:val="26"/>
          <w:u w:val="single" w:color="000000" w:themeColor="text1"/>
        </w:rPr>
      </w:pPr>
      <w:r>
        <w:rPr>
          <w:rFonts w:cstheme="minorHAnsi"/>
        </w:rPr>
        <w:br w:type="page"/>
      </w:r>
    </w:p>
    <w:p w14:paraId="42E0A092" w14:textId="02747D98" w:rsidR="00E7511E" w:rsidRDefault="00E7511E" w:rsidP="00E7511E">
      <w:pPr>
        <w:pStyle w:val="AFR3"/>
        <w:rPr>
          <w:rFonts w:cstheme="minorHAnsi"/>
        </w:rPr>
      </w:pPr>
      <w:r>
        <w:rPr>
          <w:rFonts w:cstheme="minorHAnsi"/>
        </w:rPr>
        <w:lastRenderedPageBreak/>
        <w:t>Grants, Contracts, and Indirect Cost Recovery</w:t>
      </w:r>
    </w:p>
    <w:p w14:paraId="091160C9" w14:textId="4A8E19F7" w:rsidR="00C4556B" w:rsidRDefault="00E7511E" w:rsidP="00790AF8">
      <w:pPr>
        <w:tabs>
          <w:tab w:val="left" w:pos="540"/>
        </w:tabs>
        <w:spacing w:after="120"/>
        <w:rPr>
          <w:rFonts w:eastAsia="Times New Roman" w:cstheme="minorHAnsi"/>
          <w:sz w:val="24"/>
        </w:rPr>
      </w:pPr>
      <w:r>
        <w:rPr>
          <w:rFonts w:eastAsia="Times New Roman" w:cstheme="minorHAnsi"/>
          <w:sz w:val="24"/>
        </w:rPr>
        <w:t>Grants and contracts revenues are recognized to the extent of related expenses. Consequently, reported revenues will fluctuate based on the timing of expenses across fiscal years. The System receives funding from federal, state, and private sources with the majority of funding being provided by the federal government for research activities. State research and development funding is often used to leverage federal dollars.</w:t>
      </w:r>
    </w:p>
    <w:p w14:paraId="6A364592" w14:textId="34C06D32" w:rsidR="00BD7B73" w:rsidRDefault="00BD7B73" w:rsidP="00BD7B73">
      <w:pPr>
        <w:tabs>
          <w:tab w:val="left" w:pos="540"/>
          <w:tab w:val="left" w:pos="8280"/>
        </w:tabs>
        <w:spacing w:after="120"/>
        <w:jc w:val="center"/>
        <w:rPr>
          <w:rFonts w:eastAsia="Times New Roman" w:cstheme="minorHAnsi"/>
          <w:sz w:val="24"/>
        </w:rPr>
      </w:pPr>
      <w:r>
        <w:rPr>
          <w:rFonts w:eastAsia="Times New Roman" w:cstheme="minorHAnsi"/>
          <w:noProof/>
          <w:sz w:val="24"/>
        </w:rPr>
        <w:drawing>
          <wp:inline distT="0" distB="0" distL="0" distR="0" wp14:anchorId="4FE70794" wp14:editId="21E3AF80">
            <wp:extent cx="4629150" cy="2987040"/>
            <wp:effectExtent l="0" t="0" r="0" b="3810"/>
            <wp:docPr id="57" name="Picture 57" descr="Fiscal Year Federal, State, and Private Grants &amp; Contracts Indirect Cost Recovery Total&#10;FY17  $100   $12   $112 &#10;FY18  $98   $12   $110 &#10;FY19  $99   $14   $113 &#10;FY20  $106   $15   $121 &#10;FY21  $119   $17   $1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9150" cy="2987040"/>
                    </a:xfrm>
                    <a:prstGeom prst="rect">
                      <a:avLst/>
                    </a:prstGeom>
                    <a:noFill/>
                  </pic:spPr>
                </pic:pic>
              </a:graphicData>
            </a:graphic>
          </wp:inline>
        </w:drawing>
      </w:r>
    </w:p>
    <w:p w14:paraId="6F7EA141" w14:textId="6E6FB16E" w:rsidR="00E7511E" w:rsidRPr="00D5048A" w:rsidRDefault="00E7511E" w:rsidP="00E7511E">
      <w:pPr>
        <w:tabs>
          <w:tab w:val="left" w:pos="540"/>
        </w:tabs>
        <w:rPr>
          <w:rFonts w:eastAsia="Times New Roman" w:cstheme="minorHAnsi"/>
          <w:sz w:val="24"/>
        </w:rPr>
      </w:pPr>
      <w:r>
        <w:rPr>
          <w:rFonts w:eastAsia="Times New Roman" w:cstheme="minorHAnsi"/>
          <w:sz w:val="24"/>
        </w:rPr>
        <w:t xml:space="preserve">Grants and contracts </w:t>
      </w:r>
      <w:r w:rsidR="00BD7B73">
        <w:rPr>
          <w:rFonts w:eastAsia="Times New Roman" w:cstheme="minorHAnsi"/>
          <w:sz w:val="24"/>
        </w:rPr>
        <w:t xml:space="preserve">operating </w:t>
      </w:r>
      <w:r>
        <w:rPr>
          <w:rFonts w:eastAsia="Times New Roman" w:cstheme="minorHAnsi"/>
          <w:sz w:val="24"/>
        </w:rPr>
        <w:t xml:space="preserve">revenues totaled </w:t>
      </w:r>
      <w:r w:rsidRPr="00A316AD">
        <w:rPr>
          <w:rFonts w:eastAsia="Times New Roman" w:cstheme="minorHAnsi"/>
          <w:sz w:val="24"/>
        </w:rPr>
        <w:t>$</w:t>
      </w:r>
      <w:r w:rsidR="00BD7B73">
        <w:rPr>
          <w:rFonts w:eastAsia="Times New Roman" w:cstheme="minorHAnsi"/>
          <w:sz w:val="24"/>
        </w:rPr>
        <w:t>119</w:t>
      </w:r>
      <w:r>
        <w:rPr>
          <w:rFonts w:eastAsia="Times New Roman" w:cstheme="minorHAnsi"/>
          <w:sz w:val="24"/>
        </w:rPr>
        <w:t xml:space="preserve"> million in FY</w:t>
      </w:r>
      <w:r w:rsidR="00371D48">
        <w:rPr>
          <w:rFonts w:eastAsia="Times New Roman" w:cstheme="minorHAnsi"/>
          <w:sz w:val="24"/>
        </w:rPr>
        <w:t>21</w:t>
      </w:r>
      <w:r>
        <w:rPr>
          <w:rFonts w:eastAsia="Times New Roman" w:cstheme="minorHAnsi"/>
          <w:sz w:val="24"/>
        </w:rPr>
        <w:t xml:space="preserve">, </w:t>
      </w:r>
      <w:r w:rsidRPr="00A316AD">
        <w:rPr>
          <w:rFonts w:eastAsia="Times New Roman" w:cstheme="minorHAnsi"/>
          <w:sz w:val="24"/>
        </w:rPr>
        <w:t>increasing $</w:t>
      </w:r>
      <w:r w:rsidR="00BD7B73">
        <w:rPr>
          <w:rFonts w:eastAsia="Times New Roman" w:cstheme="minorHAnsi"/>
          <w:sz w:val="24"/>
        </w:rPr>
        <w:t>13</w:t>
      </w:r>
      <w:r>
        <w:rPr>
          <w:rFonts w:eastAsia="Times New Roman" w:cstheme="minorHAnsi"/>
          <w:sz w:val="24"/>
        </w:rPr>
        <w:t xml:space="preserve"> million, or </w:t>
      </w:r>
      <w:r w:rsidR="00BD7B73">
        <w:rPr>
          <w:rFonts w:eastAsia="Times New Roman" w:cstheme="minorHAnsi"/>
          <w:sz w:val="24"/>
        </w:rPr>
        <w:t>12</w:t>
      </w:r>
      <w:r w:rsidRPr="00A316AD">
        <w:rPr>
          <w:rFonts w:eastAsia="Times New Roman" w:cstheme="minorHAnsi"/>
          <w:sz w:val="24"/>
        </w:rPr>
        <w:t>%</w:t>
      </w:r>
      <w:r>
        <w:rPr>
          <w:rFonts w:eastAsia="Times New Roman" w:cstheme="minorHAnsi"/>
          <w:sz w:val="24"/>
        </w:rPr>
        <w:t xml:space="preserve">, from </w:t>
      </w:r>
      <w:r w:rsidR="00D22F0C">
        <w:rPr>
          <w:rFonts w:eastAsia="Times New Roman" w:cstheme="minorHAnsi"/>
          <w:sz w:val="24"/>
        </w:rPr>
        <w:t>FY</w:t>
      </w:r>
      <w:r w:rsidR="00371D48">
        <w:rPr>
          <w:rFonts w:eastAsia="Times New Roman" w:cstheme="minorHAnsi"/>
          <w:sz w:val="24"/>
        </w:rPr>
        <w:t>20</w:t>
      </w:r>
      <w:r>
        <w:rPr>
          <w:rFonts w:eastAsia="Times New Roman" w:cstheme="minorHAnsi"/>
          <w:sz w:val="24"/>
        </w:rPr>
        <w:t xml:space="preserve">. </w:t>
      </w:r>
      <w:r w:rsidRPr="0064124A">
        <w:rPr>
          <w:rFonts w:eastAsia="Times New Roman" w:cstheme="minorHAnsi"/>
          <w:sz w:val="24"/>
        </w:rPr>
        <w:t>This</w:t>
      </w:r>
      <w:r w:rsidRPr="00A316AD">
        <w:rPr>
          <w:rFonts w:eastAsia="Times New Roman" w:cstheme="minorHAnsi"/>
          <w:sz w:val="24"/>
        </w:rPr>
        <w:t xml:space="preserve"> </w:t>
      </w:r>
      <w:r w:rsidR="001018F7" w:rsidRPr="00A316AD">
        <w:rPr>
          <w:rFonts w:eastAsia="Times New Roman" w:cstheme="minorHAnsi"/>
          <w:sz w:val="24"/>
        </w:rPr>
        <w:t>increase</w:t>
      </w:r>
      <w:r w:rsidR="001018F7" w:rsidRPr="0064124A">
        <w:rPr>
          <w:rFonts w:eastAsia="Times New Roman" w:cstheme="minorHAnsi"/>
          <w:sz w:val="24"/>
        </w:rPr>
        <w:t xml:space="preserve"> </w:t>
      </w:r>
      <w:r w:rsidR="001018F7">
        <w:rPr>
          <w:rFonts w:eastAsia="Times New Roman" w:cstheme="minorHAnsi"/>
          <w:sz w:val="24"/>
        </w:rPr>
        <w:t xml:space="preserve">is the net change in funding from over </w:t>
      </w:r>
      <w:r w:rsidR="00BD7B73">
        <w:rPr>
          <w:rFonts w:eastAsia="Times New Roman" w:cstheme="minorHAnsi"/>
          <w:sz w:val="24"/>
        </w:rPr>
        <w:t>430</w:t>
      </w:r>
      <w:r w:rsidR="001018F7">
        <w:rPr>
          <w:rFonts w:eastAsia="Times New Roman" w:cstheme="minorHAnsi"/>
          <w:sz w:val="24"/>
        </w:rPr>
        <w:t xml:space="preserve"> different sponsors. </w:t>
      </w:r>
      <w:r w:rsidR="001018F7" w:rsidRPr="00C86CAD">
        <w:rPr>
          <w:rFonts w:eastAsia="Times New Roman" w:cstheme="minorHAnsi"/>
          <w:sz w:val="24"/>
        </w:rPr>
        <w:t>The largest single funding increase was $</w:t>
      </w:r>
      <w:r w:rsidR="00BD7B73" w:rsidRPr="00C86CAD">
        <w:rPr>
          <w:rFonts w:eastAsia="Times New Roman" w:cstheme="minorHAnsi"/>
          <w:sz w:val="24"/>
        </w:rPr>
        <w:t>1.4</w:t>
      </w:r>
      <w:r w:rsidR="001018F7" w:rsidRPr="00C86CAD">
        <w:rPr>
          <w:rFonts w:eastAsia="Times New Roman" w:cstheme="minorHAnsi"/>
          <w:sz w:val="24"/>
        </w:rPr>
        <w:t xml:space="preserve"> million </w:t>
      </w:r>
      <w:r w:rsidR="00B846F1" w:rsidRPr="00C86CAD">
        <w:rPr>
          <w:rFonts w:eastAsia="Times New Roman" w:cstheme="minorHAnsi"/>
          <w:sz w:val="24"/>
        </w:rPr>
        <w:t xml:space="preserve">related to a corporate grant </w:t>
      </w:r>
      <w:r w:rsidR="00D5048A">
        <w:rPr>
          <w:rFonts w:eastAsia="Times New Roman" w:cstheme="minorHAnsi"/>
          <w:sz w:val="24"/>
        </w:rPr>
        <w:t>regarding</w:t>
      </w:r>
      <w:r w:rsidR="004A70C6" w:rsidRPr="00C86CAD">
        <w:rPr>
          <w:rFonts w:eastAsia="Times New Roman" w:cstheme="minorHAnsi"/>
          <w:sz w:val="24"/>
        </w:rPr>
        <w:t xml:space="preserve"> </w:t>
      </w:r>
      <w:r w:rsidR="00BD7B73" w:rsidRPr="00C86CAD">
        <w:rPr>
          <w:rFonts w:eastAsia="Times New Roman" w:cstheme="minorHAnsi"/>
          <w:sz w:val="24"/>
        </w:rPr>
        <w:t xml:space="preserve"> innovative manufacturing techniques </w:t>
      </w:r>
      <w:r w:rsidR="004A70C6" w:rsidRPr="00C86CAD">
        <w:rPr>
          <w:rFonts w:eastAsia="Times New Roman" w:cstheme="minorHAnsi"/>
          <w:sz w:val="24"/>
        </w:rPr>
        <w:t>related to composites.</w:t>
      </w:r>
      <w:r w:rsidR="00BD7B73" w:rsidRPr="00C86CAD">
        <w:rPr>
          <w:rFonts w:eastAsia="Times New Roman" w:cstheme="minorHAnsi"/>
          <w:sz w:val="24"/>
        </w:rPr>
        <w:t xml:space="preserve"> In all</w:t>
      </w:r>
      <w:r w:rsidR="00D5048A">
        <w:rPr>
          <w:rFonts w:eastAsia="Times New Roman" w:cstheme="minorHAnsi"/>
          <w:sz w:val="24"/>
        </w:rPr>
        <w:t>,</w:t>
      </w:r>
      <w:r w:rsidR="00BD7B73" w:rsidRPr="00C86CAD">
        <w:rPr>
          <w:rFonts w:eastAsia="Times New Roman" w:cstheme="minorHAnsi"/>
          <w:sz w:val="24"/>
        </w:rPr>
        <w:t xml:space="preserve"> direct non-SFA Federal funding increase</w:t>
      </w:r>
      <w:r w:rsidR="00D5048A" w:rsidRPr="00C86CAD">
        <w:rPr>
          <w:rFonts w:eastAsia="Times New Roman" w:cstheme="minorHAnsi"/>
          <w:sz w:val="24"/>
        </w:rPr>
        <w:t xml:space="preserve">d $6.1 million while direct and pass-through funding from the State increased by $3.6 million from FY20. </w:t>
      </w:r>
    </w:p>
    <w:p w14:paraId="733B34AF" w14:textId="34D672A4" w:rsidR="004A70C6" w:rsidRDefault="004A70C6" w:rsidP="00E7511E">
      <w:pPr>
        <w:tabs>
          <w:tab w:val="left" w:pos="540"/>
        </w:tabs>
        <w:rPr>
          <w:rFonts w:eastAsia="Times New Roman" w:cstheme="minorHAnsi"/>
          <w:sz w:val="20"/>
          <w:szCs w:val="20"/>
        </w:rPr>
      </w:pPr>
    </w:p>
    <w:p w14:paraId="123D9259" w14:textId="046DCD7F" w:rsidR="00371D48" w:rsidRPr="00CA04B1" w:rsidRDefault="00371D48" w:rsidP="00371D48">
      <w:pPr>
        <w:tabs>
          <w:tab w:val="left" w:pos="540"/>
        </w:tabs>
        <w:rPr>
          <w:rFonts w:eastAsia="Times New Roman" w:cstheme="minorHAnsi"/>
          <w:sz w:val="24"/>
        </w:rPr>
      </w:pPr>
      <w:r w:rsidRPr="00CA04B1">
        <w:rPr>
          <w:rFonts w:eastAsia="Times New Roman" w:cstheme="minorHAnsi"/>
          <w:sz w:val="24"/>
        </w:rPr>
        <w:t xml:space="preserve">FY20 </w:t>
      </w:r>
      <w:r w:rsidR="00D5048A">
        <w:rPr>
          <w:rFonts w:eastAsia="Times New Roman" w:cstheme="minorHAnsi"/>
          <w:sz w:val="24"/>
        </w:rPr>
        <w:t xml:space="preserve">operating </w:t>
      </w:r>
      <w:r w:rsidRPr="00CA04B1">
        <w:rPr>
          <w:rFonts w:eastAsia="Times New Roman" w:cstheme="minorHAnsi"/>
          <w:sz w:val="24"/>
        </w:rPr>
        <w:t>grants and contracts revenues totaled $</w:t>
      </w:r>
      <w:r w:rsidR="00D5048A">
        <w:rPr>
          <w:rFonts w:eastAsia="Times New Roman" w:cstheme="minorHAnsi"/>
          <w:sz w:val="24"/>
        </w:rPr>
        <w:t>106</w:t>
      </w:r>
      <w:r w:rsidRPr="00CA04B1">
        <w:rPr>
          <w:rFonts w:eastAsia="Times New Roman" w:cstheme="minorHAnsi"/>
          <w:sz w:val="24"/>
        </w:rPr>
        <w:t xml:space="preserve"> million, increasing $</w:t>
      </w:r>
      <w:r w:rsidR="00D5048A">
        <w:rPr>
          <w:rFonts w:eastAsia="Times New Roman" w:cstheme="minorHAnsi"/>
          <w:sz w:val="24"/>
        </w:rPr>
        <w:t>7</w:t>
      </w:r>
      <w:r w:rsidRPr="00CA04B1">
        <w:rPr>
          <w:rFonts w:eastAsia="Times New Roman" w:cstheme="minorHAnsi"/>
          <w:sz w:val="24"/>
        </w:rPr>
        <w:t xml:space="preserve"> million, or </w:t>
      </w:r>
      <w:r w:rsidR="00D5048A">
        <w:rPr>
          <w:rFonts w:eastAsia="Times New Roman" w:cstheme="minorHAnsi"/>
          <w:sz w:val="24"/>
        </w:rPr>
        <w:t>7</w:t>
      </w:r>
      <w:r w:rsidRPr="00CA04B1">
        <w:rPr>
          <w:rFonts w:eastAsia="Times New Roman" w:cstheme="minorHAnsi"/>
          <w:sz w:val="24"/>
        </w:rPr>
        <w:t xml:space="preserve">%, from FY19. This increase </w:t>
      </w:r>
      <w:r w:rsidR="00AF17E3" w:rsidRPr="00CA04B1">
        <w:rPr>
          <w:rFonts w:eastAsia="Times New Roman" w:cstheme="minorHAnsi"/>
          <w:sz w:val="24"/>
        </w:rPr>
        <w:t>was</w:t>
      </w:r>
      <w:r w:rsidRPr="00CA04B1">
        <w:rPr>
          <w:rFonts w:eastAsia="Times New Roman" w:cstheme="minorHAnsi"/>
          <w:sz w:val="24"/>
        </w:rPr>
        <w:t xml:space="preserve"> the net change in funding from over 400 different sponsors. The largest single funding increase was </w:t>
      </w:r>
      <w:r w:rsidR="00F172B5">
        <w:rPr>
          <w:rFonts w:eastAsia="Times New Roman" w:cstheme="minorHAnsi"/>
          <w:sz w:val="24"/>
        </w:rPr>
        <w:t xml:space="preserve">a </w:t>
      </w:r>
      <w:r w:rsidRPr="00CA04B1">
        <w:rPr>
          <w:rFonts w:eastAsia="Times New Roman" w:cstheme="minorHAnsi"/>
          <w:sz w:val="24"/>
        </w:rPr>
        <w:t>$2 million corporate grant regarding production capability related to composites.</w:t>
      </w:r>
    </w:p>
    <w:p w14:paraId="1832D159" w14:textId="2DEEEF0A" w:rsidR="00371D48" w:rsidRPr="00735A4C" w:rsidRDefault="00371D48" w:rsidP="00E7511E">
      <w:pPr>
        <w:tabs>
          <w:tab w:val="left" w:pos="540"/>
        </w:tabs>
        <w:rPr>
          <w:rFonts w:eastAsia="Times New Roman" w:cstheme="minorHAnsi"/>
          <w:sz w:val="20"/>
          <w:szCs w:val="20"/>
        </w:rPr>
      </w:pPr>
    </w:p>
    <w:p w14:paraId="48F43EA6" w14:textId="088BDF7B" w:rsidR="00E7511E" w:rsidRDefault="00E7511E" w:rsidP="00E7511E">
      <w:pPr>
        <w:tabs>
          <w:tab w:val="left" w:pos="540"/>
        </w:tabs>
        <w:rPr>
          <w:rFonts w:cstheme="minorHAnsi"/>
          <w:b/>
          <w:i/>
          <w:sz w:val="26"/>
          <w:u w:val="single" w:color="000000" w:themeColor="text1"/>
        </w:rPr>
      </w:pPr>
      <w:r>
        <w:rPr>
          <w:rFonts w:eastAsia="Times New Roman" w:cstheme="minorHAnsi"/>
          <w:sz w:val="24"/>
        </w:rPr>
        <w:t xml:space="preserve">In addition to providing for direct costs, grants and contracts sponsors provide for recovery of Facilities and Administrative (F&amp;A) costs, which are also known as indirect costs. The amount of allowable F&amp;A costs is calculated for each grant and contract using the applicable negotiated rate subject to specific sponsor limitations and other proposal and award conditions. </w:t>
      </w:r>
      <w:r w:rsidR="00F54F8E">
        <w:rPr>
          <w:rFonts w:eastAsia="Times New Roman" w:cstheme="minorHAnsi"/>
          <w:sz w:val="24"/>
        </w:rPr>
        <w:t xml:space="preserve">Recovery of indirect costs </w:t>
      </w:r>
      <w:r w:rsidR="00F54F8E" w:rsidRPr="00A316AD">
        <w:rPr>
          <w:rFonts w:eastAsia="Times New Roman" w:cstheme="minorHAnsi"/>
          <w:sz w:val="24"/>
        </w:rPr>
        <w:t>totaled $</w:t>
      </w:r>
      <w:r w:rsidR="008E177D" w:rsidRPr="00A316AD">
        <w:rPr>
          <w:rFonts w:eastAsia="Times New Roman" w:cstheme="minorHAnsi"/>
          <w:sz w:val="24"/>
        </w:rPr>
        <w:t xml:space="preserve">17 </w:t>
      </w:r>
      <w:r w:rsidR="00F54F8E" w:rsidRPr="00A316AD">
        <w:rPr>
          <w:rFonts w:eastAsia="Times New Roman" w:cstheme="minorHAnsi"/>
          <w:sz w:val="24"/>
        </w:rPr>
        <w:t xml:space="preserve">million </w:t>
      </w:r>
      <w:r w:rsidR="00F54F8E">
        <w:rPr>
          <w:rFonts w:eastAsia="Times New Roman" w:cstheme="minorHAnsi"/>
          <w:sz w:val="24"/>
        </w:rPr>
        <w:t xml:space="preserve">for FY21, </w:t>
      </w:r>
      <w:r w:rsidR="00F54F8E" w:rsidRPr="00A316AD">
        <w:rPr>
          <w:rFonts w:eastAsia="Times New Roman" w:cstheme="minorHAnsi"/>
          <w:sz w:val="24"/>
        </w:rPr>
        <w:t>increasing $</w:t>
      </w:r>
      <w:r w:rsidR="008E177D" w:rsidRPr="00A316AD">
        <w:rPr>
          <w:rFonts w:eastAsia="Times New Roman" w:cstheme="minorHAnsi"/>
          <w:sz w:val="24"/>
        </w:rPr>
        <w:t>2</w:t>
      </w:r>
      <w:r w:rsidR="00F54F8E" w:rsidRPr="00A316AD">
        <w:rPr>
          <w:rFonts w:eastAsia="Times New Roman" w:cstheme="minorHAnsi"/>
          <w:sz w:val="24"/>
        </w:rPr>
        <w:t xml:space="preserve"> million from FY20. </w:t>
      </w:r>
      <w:r w:rsidRPr="00A316AD">
        <w:rPr>
          <w:rFonts w:eastAsia="Times New Roman" w:cstheme="minorHAnsi"/>
          <w:sz w:val="24"/>
        </w:rPr>
        <w:t>Recovery of indirect costs totaled $15 million for FY20,</w:t>
      </w:r>
      <w:r w:rsidR="00F54F8E" w:rsidRPr="00A316AD">
        <w:rPr>
          <w:rFonts w:eastAsia="Times New Roman" w:cstheme="minorHAnsi"/>
          <w:sz w:val="24"/>
        </w:rPr>
        <w:t xml:space="preserve"> which was an</w:t>
      </w:r>
      <w:r w:rsidRPr="00A316AD">
        <w:rPr>
          <w:rFonts w:eastAsia="Times New Roman" w:cstheme="minorHAnsi"/>
          <w:sz w:val="24"/>
        </w:rPr>
        <w:t xml:space="preserve"> increas</w:t>
      </w:r>
      <w:r w:rsidR="00F54F8E" w:rsidRPr="00A316AD">
        <w:rPr>
          <w:rFonts w:eastAsia="Times New Roman" w:cstheme="minorHAnsi"/>
          <w:sz w:val="24"/>
        </w:rPr>
        <w:t>e</w:t>
      </w:r>
      <w:r w:rsidRPr="00A316AD">
        <w:rPr>
          <w:rFonts w:eastAsia="Times New Roman" w:cstheme="minorHAnsi"/>
          <w:sz w:val="24"/>
        </w:rPr>
        <w:t xml:space="preserve"> </w:t>
      </w:r>
      <w:r>
        <w:rPr>
          <w:rFonts w:eastAsia="Times New Roman" w:cstheme="minorHAnsi"/>
          <w:sz w:val="24"/>
        </w:rPr>
        <w:t xml:space="preserve">$1 million from FY19. </w:t>
      </w:r>
    </w:p>
    <w:p w14:paraId="7E8CD5B5" w14:textId="77777777" w:rsidR="006140D5" w:rsidRDefault="006140D5">
      <w:pPr>
        <w:spacing w:after="160" w:line="259" w:lineRule="auto"/>
        <w:rPr>
          <w:rFonts w:cstheme="minorHAnsi"/>
          <w:b/>
          <w:i/>
          <w:sz w:val="26"/>
          <w:u w:val="single" w:color="000000" w:themeColor="text1"/>
        </w:rPr>
      </w:pPr>
      <w:r>
        <w:rPr>
          <w:rFonts w:cstheme="minorHAnsi"/>
        </w:rPr>
        <w:br w:type="page"/>
      </w:r>
    </w:p>
    <w:p w14:paraId="5D1453C6" w14:textId="7B5171EF" w:rsidR="00E7511E" w:rsidRDefault="00E7511E" w:rsidP="00E7511E">
      <w:pPr>
        <w:pStyle w:val="AFR3"/>
        <w:rPr>
          <w:rFonts w:cstheme="minorHAnsi"/>
        </w:rPr>
      </w:pPr>
      <w:r>
        <w:rPr>
          <w:rFonts w:cstheme="minorHAnsi"/>
        </w:rPr>
        <w:lastRenderedPageBreak/>
        <w:t>Noncapital State of Maine Appropriations</w:t>
      </w:r>
    </w:p>
    <w:p w14:paraId="6FDEBB3A" w14:textId="7F82ACC1" w:rsidR="00E7511E" w:rsidRDefault="00E7511E" w:rsidP="00E7511E">
      <w:pPr>
        <w:tabs>
          <w:tab w:val="left" w:pos="540"/>
        </w:tabs>
        <w:rPr>
          <w:rFonts w:eastAsia="Times New Roman" w:cstheme="minorHAnsi"/>
          <w:sz w:val="24"/>
        </w:rPr>
      </w:pPr>
      <w:r>
        <w:rPr>
          <w:rFonts w:eastAsia="Times New Roman" w:cstheme="minorHAnsi"/>
          <w:sz w:val="24"/>
        </w:rPr>
        <w:t xml:space="preserve">State noncapital appropriation revenue includes amounts for general operations and amounts legislatively earmarked for research and development, financial aid, and various other areas. Although not considered operating revenue under GASB reporting requirements, the noncapital state appropriation was the second largest funding source for educational and general operations behind </w:t>
      </w:r>
      <w:r w:rsidR="004D2BF0">
        <w:rPr>
          <w:rFonts w:eastAsia="Times New Roman" w:cstheme="minorHAnsi"/>
          <w:sz w:val="24"/>
        </w:rPr>
        <w:t xml:space="preserve">net </w:t>
      </w:r>
      <w:r w:rsidR="000B0010">
        <w:rPr>
          <w:rFonts w:eastAsia="Times New Roman" w:cstheme="minorHAnsi"/>
          <w:sz w:val="24"/>
        </w:rPr>
        <w:t>s</w:t>
      </w:r>
      <w:r>
        <w:rPr>
          <w:rFonts w:eastAsia="Times New Roman" w:cstheme="minorHAnsi"/>
          <w:sz w:val="24"/>
        </w:rPr>
        <w:t xml:space="preserve">tudent </w:t>
      </w:r>
      <w:r w:rsidR="000B0010">
        <w:rPr>
          <w:rFonts w:eastAsia="Times New Roman" w:cstheme="minorHAnsi"/>
          <w:sz w:val="24"/>
        </w:rPr>
        <w:t>f</w:t>
      </w:r>
      <w:r>
        <w:rPr>
          <w:rFonts w:eastAsia="Times New Roman" w:cstheme="minorHAnsi"/>
          <w:sz w:val="24"/>
        </w:rPr>
        <w:t>ees.</w:t>
      </w:r>
    </w:p>
    <w:p w14:paraId="4EC19A47" w14:textId="77777777" w:rsidR="00E7511E" w:rsidRPr="00735A4C" w:rsidRDefault="00E7511E" w:rsidP="00E7511E">
      <w:pPr>
        <w:tabs>
          <w:tab w:val="left" w:pos="540"/>
        </w:tabs>
        <w:ind w:left="360"/>
        <w:rPr>
          <w:rFonts w:eastAsia="Times New Roman" w:cstheme="minorHAnsi"/>
          <w:sz w:val="20"/>
          <w:szCs w:val="20"/>
        </w:rPr>
      </w:pPr>
    </w:p>
    <w:p w14:paraId="74487985" w14:textId="6FB1E638" w:rsidR="00E7511E" w:rsidRDefault="00E7511E" w:rsidP="00E7511E">
      <w:pPr>
        <w:tabs>
          <w:tab w:val="left" w:pos="540"/>
        </w:tabs>
        <w:rPr>
          <w:rFonts w:eastAsia="Times New Roman" w:cstheme="minorHAnsi"/>
          <w:sz w:val="24"/>
        </w:rPr>
      </w:pPr>
      <w:r>
        <w:rPr>
          <w:rFonts w:eastAsia="Times New Roman" w:cstheme="minorHAnsi"/>
          <w:sz w:val="24"/>
        </w:rPr>
        <w:t xml:space="preserve">As shown in Chart 11, the System received </w:t>
      </w:r>
      <w:r w:rsidRPr="00A316AD">
        <w:rPr>
          <w:rFonts w:eastAsia="Times New Roman" w:cstheme="minorHAnsi"/>
          <w:sz w:val="24"/>
        </w:rPr>
        <w:t>$</w:t>
      </w:r>
      <w:r w:rsidR="00CA04B1">
        <w:rPr>
          <w:rFonts w:eastAsia="Times New Roman" w:cstheme="minorHAnsi"/>
          <w:sz w:val="24"/>
        </w:rPr>
        <w:t>218</w:t>
      </w:r>
      <w:r w:rsidRPr="00162FC5">
        <w:rPr>
          <w:rFonts w:eastAsia="Times New Roman" w:cstheme="minorHAnsi"/>
          <w:color w:val="FF0000"/>
          <w:sz w:val="24"/>
        </w:rPr>
        <w:t xml:space="preserve"> </w:t>
      </w:r>
      <w:r>
        <w:rPr>
          <w:rFonts w:eastAsia="Times New Roman" w:cstheme="minorHAnsi"/>
          <w:sz w:val="24"/>
        </w:rPr>
        <w:t>million in noncapital state appropriation revenue during FY</w:t>
      </w:r>
      <w:r w:rsidR="00F54F8E">
        <w:rPr>
          <w:rFonts w:eastAsia="Times New Roman" w:cstheme="minorHAnsi"/>
          <w:sz w:val="24"/>
        </w:rPr>
        <w:t>21</w:t>
      </w:r>
      <w:r>
        <w:rPr>
          <w:rFonts w:eastAsia="Times New Roman" w:cstheme="minorHAnsi"/>
          <w:sz w:val="24"/>
        </w:rPr>
        <w:t xml:space="preserve">, </w:t>
      </w:r>
      <w:r w:rsidR="00CA04B1">
        <w:rPr>
          <w:rFonts w:eastAsia="Times New Roman" w:cstheme="minorHAnsi"/>
          <w:sz w:val="24"/>
        </w:rPr>
        <w:t>down</w:t>
      </w:r>
      <w:r w:rsidRPr="00A316AD">
        <w:rPr>
          <w:rFonts w:eastAsia="Times New Roman" w:cstheme="minorHAnsi"/>
          <w:sz w:val="24"/>
        </w:rPr>
        <w:t xml:space="preserve"> $</w:t>
      </w:r>
      <w:r w:rsidR="00CA04B1">
        <w:rPr>
          <w:rFonts w:eastAsia="Times New Roman" w:cstheme="minorHAnsi"/>
          <w:sz w:val="24"/>
        </w:rPr>
        <w:t>2</w:t>
      </w:r>
      <w:r w:rsidRPr="00162FC5">
        <w:rPr>
          <w:rFonts w:eastAsia="Times New Roman" w:cstheme="minorHAnsi"/>
          <w:color w:val="FF0000"/>
          <w:sz w:val="24"/>
        </w:rPr>
        <w:t xml:space="preserve"> </w:t>
      </w:r>
      <w:r>
        <w:rPr>
          <w:rFonts w:eastAsia="Times New Roman" w:cstheme="minorHAnsi"/>
          <w:sz w:val="24"/>
        </w:rPr>
        <w:t xml:space="preserve">million, or </w:t>
      </w:r>
      <w:r w:rsidR="0064124A">
        <w:rPr>
          <w:rFonts w:eastAsia="Times New Roman" w:cstheme="minorHAnsi"/>
          <w:sz w:val="24"/>
        </w:rPr>
        <w:t>0.9</w:t>
      </w:r>
      <w:r w:rsidR="00AF17E3" w:rsidRPr="00CA04B1">
        <w:rPr>
          <w:rFonts w:eastAsia="Times New Roman" w:cstheme="minorHAnsi"/>
          <w:sz w:val="24"/>
        </w:rPr>
        <w:t>%</w:t>
      </w:r>
      <w:r>
        <w:rPr>
          <w:rFonts w:eastAsia="Times New Roman" w:cstheme="minorHAnsi"/>
          <w:sz w:val="24"/>
        </w:rPr>
        <w:t xml:space="preserve"> from FY</w:t>
      </w:r>
      <w:r w:rsidR="00F54F8E">
        <w:rPr>
          <w:rFonts w:eastAsia="Times New Roman" w:cstheme="minorHAnsi"/>
          <w:sz w:val="24"/>
        </w:rPr>
        <w:t>20</w:t>
      </w:r>
      <w:r>
        <w:rPr>
          <w:rFonts w:eastAsia="Times New Roman" w:cstheme="minorHAnsi"/>
          <w:sz w:val="24"/>
        </w:rPr>
        <w:t>. The System received $</w:t>
      </w:r>
      <w:r w:rsidR="00F54F8E">
        <w:rPr>
          <w:rFonts w:eastAsia="Times New Roman" w:cstheme="minorHAnsi"/>
          <w:sz w:val="24"/>
        </w:rPr>
        <w:t>220</w:t>
      </w:r>
      <w:r>
        <w:rPr>
          <w:rFonts w:eastAsia="Times New Roman" w:cstheme="minorHAnsi"/>
          <w:sz w:val="24"/>
        </w:rPr>
        <w:t xml:space="preserve"> million in noncapital state appropriation revenue during FY</w:t>
      </w:r>
      <w:r w:rsidR="00F54F8E">
        <w:rPr>
          <w:rFonts w:eastAsia="Times New Roman" w:cstheme="minorHAnsi"/>
          <w:sz w:val="24"/>
        </w:rPr>
        <w:t>20</w:t>
      </w:r>
      <w:r>
        <w:rPr>
          <w:rFonts w:eastAsia="Times New Roman" w:cstheme="minorHAnsi"/>
          <w:sz w:val="24"/>
        </w:rPr>
        <w:t>, up $</w:t>
      </w:r>
      <w:r w:rsidR="00F54F8E">
        <w:rPr>
          <w:rFonts w:eastAsia="Times New Roman" w:cstheme="minorHAnsi"/>
          <w:sz w:val="24"/>
        </w:rPr>
        <w:t>8</w:t>
      </w:r>
      <w:r>
        <w:rPr>
          <w:rFonts w:eastAsia="Times New Roman" w:cstheme="minorHAnsi"/>
          <w:sz w:val="24"/>
        </w:rPr>
        <w:t xml:space="preserve"> million, or </w:t>
      </w:r>
      <w:r w:rsidR="00F54F8E">
        <w:rPr>
          <w:rFonts w:eastAsia="Times New Roman" w:cstheme="minorHAnsi"/>
          <w:sz w:val="24"/>
        </w:rPr>
        <w:t>3.8</w:t>
      </w:r>
      <w:r>
        <w:rPr>
          <w:rFonts w:eastAsia="Times New Roman" w:cstheme="minorHAnsi"/>
          <w:sz w:val="24"/>
        </w:rPr>
        <w:t>%, from FY</w:t>
      </w:r>
      <w:r w:rsidR="00F54F8E">
        <w:rPr>
          <w:rFonts w:eastAsia="Times New Roman" w:cstheme="minorHAnsi"/>
          <w:sz w:val="24"/>
        </w:rPr>
        <w:t>19</w:t>
      </w:r>
      <w:r>
        <w:rPr>
          <w:rFonts w:eastAsia="Times New Roman" w:cstheme="minorHAnsi"/>
          <w:sz w:val="24"/>
        </w:rPr>
        <w:t>.</w:t>
      </w:r>
    </w:p>
    <w:p w14:paraId="1B6ADA74" w14:textId="77777777" w:rsidR="00E7511E" w:rsidRPr="00735A4C" w:rsidRDefault="00E7511E" w:rsidP="00E7511E">
      <w:pPr>
        <w:tabs>
          <w:tab w:val="left" w:pos="540"/>
        </w:tabs>
        <w:ind w:left="360"/>
        <w:rPr>
          <w:rFonts w:eastAsia="Times New Roman" w:cstheme="minorHAnsi"/>
          <w:sz w:val="20"/>
          <w:szCs w:val="20"/>
        </w:rPr>
      </w:pPr>
    </w:p>
    <w:p w14:paraId="6D4B66C9" w14:textId="1B612F14" w:rsidR="00E7511E" w:rsidRDefault="00E7511E" w:rsidP="00E7511E">
      <w:pPr>
        <w:tabs>
          <w:tab w:val="left" w:pos="540"/>
        </w:tabs>
        <w:rPr>
          <w:rFonts w:eastAsia="Times New Roman" w:cstheme="minorHAnsi"/>
          <w:sz w:val="24"/>
        </w:rPr>
      </w:pPr>
      <w:r>
        <w:rPr>
          <w:rFonts w:eastAsia="Times New Roman" w:cstheme="minorHAnsi"/>
          <w:sz w:val="24"/>
        </w:rPr>
        <w:t xml:space="preserve">At </w:t>
      </w:r>
      <w:r w:rsidRPr="00A316AD">
        <w:rPr>
          <w:rFonts w:eastAsia="Times New Roman" w:cstheme="minorHAnsi"/>
          <w:sz w:val="24"/>
        </w:rPr>
        <w:t>$</w:t>
      </w:r>
      <w:r w:rsidR="0064124A">
        <w:rPr>
          <w:rFonts w:eastAsia="Times New Roman" w:cstheme="minorHAnsi"/>
          <w:sz w:val="24"/>
        </w:rPr>
        <w:t>218</w:t>
      </w:r>
      <w:r>
        <w:rPr>
          <w:rFonts w:eastAsia="Times New Roman" w:cstheme="minorHAnsi"/>
          <w:sz w:val="24"/>
        </w:rPr>
        <w:t xml:space="preserve"> million, noncapital state appropriation revenue covered </w:t>
      </w:r>
      <w:r w:rsidR="002D081F">
        <w:rPr>
          <w:rFonts w:eastAsia="Times New Roman" w:cstheme="minorHAnsi"/>
          <w:sz w:val="24"/>
        </w:rPr>
        <w:t>80</w:t>
      </w:r>
      <w:r w:rsidRPr="00A316AD">
        <w:rPr>
          <w:rFonts w:eastAsia="Times New Roman" w:cstheme="minorHAnsi"/>
          <w:sz w:val="24"/>
        </w:rPr>
        <w:t>%</w:t>
      </w:r>
      <w:r>
        <w:rPr>
          <w:rFonts w:eastAsia="Times New Roman" w:cstheme="minorHAnsi"/>
          <w:sz w:val="24"/>
        </w:rPr>
        <w:t xml:space="preserve"> of the </w:t>
      </w:r>
      <w:r w:rsidRPr="00A316AD">
        <w:rPr>
          <w:rFonts w:eastAsia="Times New Roman" w:cstheme="minorHAnsi"/>
          <w:sz w:val="24"/>
        </w:rPr>
        <w:t>$</w:t>
      </w:r>
      <w:r w:rsidR="002D081F">
        <w:rPr>
          <w:rFonts w:eastAsia="Times New Roman" w:cstheme="minorHAnsi"/>
          <w:sz w:val="24"/>
        </w:rPr>
        <w:t>274</w:t>
      </w:r>
      <w:r>
        <w:rPr>
          <w:rFonts w:eastAsia="Times New Roman" w:cstheme="minorHAnsi"/>
          <w:sz w:val="24"/>
        </w:rPr>
        <w:t xml:space="preserve"> million operating loss in FY</w:t>
      </w:r>
      <w:r w:rsidR="00F54F8E">
        <w:rPr>
          <w:rFonts w:eastAsia="Times New Roman" w:cstheme="minorHAnsi"/>
          <w:sz w:val="24"/>
        </w:rPr>
        <w:t>21</w:t>
      </w:r>
      <w:r w:rsidR="002D081F">
        <w:rPr>
          <w:rFonts w:eastAsia="Times New Roman" w:cstheme="minorHAnsi"/>
          <w:sz w:val="24"/>
        </w:rPr>
        <w:t xml:space="preserve">, </w:t>
      </w:r>
      <w:r w:rsidR="00287205">
        <w:rPr>
          <w:rFonts w:eastAsia="Times New Roman" w:cstheme="minorHAnsi"/>
          <w:sz w:val="24"/>
        </w:rPr>
        <w:t xml:space="preserve">up </w:t>
      </w:r>
      <w:r w:rsidRPr="002D081F">
        <w:rPr>
          <w:rFonts w:eastAsia="Times New Roman" w:cstheme="minorHAnsi"/>
          <w:sz w:val="24"/>
        </w:rPr>
        <w:t xml:space="preserve">from the operating loss coverage level of </w:t>
      </w:r>
      <w:r w:rsidR="00287205">
        <w:rPr>
          <w:rFonts w:eastAsia="Times New Roman" w:cstheme="minorHAnsi"/>
          <w:sz w:val="24"/>
        </w:rPr>
        <w:t>7</w:t>
      </w:r>
      <w:r w:rsidR="00287205" w:rsidRPr="002D081F">
        <w:rPr>
          <w:rFonts w:eastAsia="Times New Roman" w:cstheme="minorHAnsi"/>
          <w:sz w:val="24"/>
        </w:rPr>
        <w:t>3</w:t>
      </w:r>
      <w:r w:rsidRPr="002D081F">
        <w:rPr>
          <w:rFonts w:eastAsia="Times New Roman" w:cstheme="minorHAnsi"/>
          <w:sz w:val="24"/>
        </w:rPr>
        <w:t>% in FY</w:t>
      </w:r>
      <w:r w:rsidR="00F54F8E" w:rsidRPr="002D081F">
        <w:rPr>
          <w:rFonts w:eastAsia="Times New Roman" w:cstheme="minorHAnsi"/>
          <w:sz w:val="24"/>
        </w:rPr>
        <w:t>20</w:t>
      </w:r>
      <w:r w:rsidRPr="002D081F">
        <w:rPr>
          <w:rFonts w:eastAsia="Times New Roman" w:cstheme="minorHAnsi"/>
          <w:sz w:val="24"/>
        </w:rPr>
        <w:t>.</w:t>
      </w:r>
    </w:p>
    <w:p w14:paraId="7AB10BC5" w14:textId="0144BD55" w:rsidR="00FE6467" w:rsidRDefault="00FE6467" w:rsidP="00E7511E">
      <w:pPr>
        <w:tabs>
          <w:tab w:val="left" w:pos="540"/>
        </w:tabs>
        <w:rPr>
          <w:rFonts w:eastAsia="Times New Roman" w:cstheme="minorHAnsi"/>
          <w:sz w:val="24"/>
        </w:rPr>
      </w:pPr>
    </w:p>
    <w:p w14:paraId="45201EAD" w14:textId="0DA6FC34" w:rsidR="00FE6467" w:rsidRPr="00FE6467" w:rsidRDefault="00094530" w:rsidP="00A316AD">
      <w:pPr>
        <w:tabs>
          <w:tab w:val="left" w:pos="540"/>
        </w:tabs>
        <w:jc w:val="center"/>
        <w:rPr>
          <w:rFonts w:eastAsia="Times New Roman" w:cstheme="minorHAnsi"/>
          <w:sz w:val="24"/>
        </w:rPr>
      </w:pPr>
      <w:r>
        <w:rPr>
          <w:noProof/>
        </w:rPr>
        <w:drawing>
          <wp:inline distT="0" distB="0" distL="0" distR="0" wp14:anchorId="5A261215" wp14:editId="666D4AA7">
            <wp:extent cx="4572000" cy="2743200"/>
            <wp:effectExtent l="0" t="0" r="0" b="0"/>
            <wp:docPr id="63" name="Chart 63">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44B5169" w14:textId="1CBC2167" w:rsidR="00D22F0C" w:rsidRDefault="00D22F0C" w:rsidP="007531FB">
      <w:pPr>
        <w:pStyle w:val="AFR3"/>
        <w:rPr>
          <w:rFonts w:cstheme="minorHAnsi"/>
        </w:rPr>
      </w:pPr>
      <w:r>
        <w:rPr>
          <w:rFonts w:cstheme="minorHAnsi"/>
        </w:rPr>
        <w:t>C</w:t>
      </w:r>
      <w:r w:rsidR="00512350">
        <w:rPr>
          <w:rFonts w:cstheme="minorHAnsi"/>
        </w:rPr>
        <w:t>oronavirus Relief</w:t>
      </w:r>
      <w:r>
        <w:rPr>
          <w:rFonts w:cstheme="minorHAnsi"/>
        </w:rPr>
        <w:t xml:space="preserve"> Funding</w:t>
      </w:r>
    </w:p>
    <w:p w14:paraId="707647E3" w14:textId="279BFCB7" w:rsidR="00FA491B" w:rsidRDefault="00FA491B" w:rsidP="00790AF8">
      <w:pPr>
        <w:spacing w:after="120"/>
        <w:rPr>
          <w:rFonts w:eastAsia="Times New Roman" w:cstheme="minorHAnsi"/>
          <w:sz w:val="24"/>
        </w:rPr>
      </w:pPr>
      <w:r>
        <w:rPr>
          <w:rFonts w:eastAsia="Times New Roman" w:cstheme="minorHAnsi"/>
          <w:sz w:val="24"/>
        </w:rPr>
        <w:t>The coronavirus relief funding of $36.6 million and $15.5 million for FY21 and FY20, respectively includes both a federal component and a state component.</w:t>
      </w:r>
    </w:p>
    <w:p w14:paraId="0377A9AA" w14:textId="7A57C2AB" w:rsidR="005D735A" w:rsidRPr="00790AF8" w:rsidRDefault="005D735A" w:rsidP="00790AF8">
      <w:pPr>
        <w:spacing w:after="120"/>
        <w:rPr>
          <w:rFonts w:eastAsia="Times New Roman" w:cstheme="minorHAnsi"/>
          <w:b/>
          <w:i/>
          <w:sz w:val="24"/>
        </w:rPr>
      </w:pPr>
      <w:r w:rsidRPr="00790AF8">
        <w:rPr>
          <w:rFonts w:eastAsia="Times New Roman" w:cstheme="minorHAnsi"/>
          <w:b/>
          <w:i/>
          <w:sz w:val="24"/>
        </w:rPr>
        <w:t xml:space="preserve">Federal </w:t>
      </w:r>
      <w:r w:rsidR="0000464C">
        <w:rPr>
          <w:rFonts w:eastAsia="Times New Roman" w:cstheme="minorHAnsi"/>
          <w:b/>
          <w:i/>
          <w:sz w:val="24"/>
        </w:rPr>
        <w:t>F</w:t>
      </w:r>
      <w:r w:rsidRPr="00790AF8">
        <w:rPr>
          <w:rFonts w:eastAsia="Times New Roman" w:cstheme="minorHAnsi"/>
          <w:b/>
          <w:i/>
          <w:sz w:val="24"/>
        </w:rPr>
        <w:t>unding</w:t>
      </w:r>
    </w:p>
    <w:p w14:paraId="479B8D17" w14:textId="13D40100" w:rsidR="00BB23C4" w:rsidRPr="000944F1" w:rsidRDefault="00D22F0C" w:rsidP="00790AF8">
      <w:pPr>
        <w:spacing w:after="160"/>
        <w:rPr>
          <w:rFonts w:eastAsia="Times New Roman" w:cstheme="minorHAnsi"/>
          <w:sz w:val="24"/>
        </w:rPr>
      </w:pPr>
      <w:r w:rsidRPr="00A316AD">
        <w:rPr>
          <w:rFonts w:eastAsia="Times New Roman" w:cstheme="minorHAnsi"/>
          <w:sz w:val="24"/>
        </w:rPr>
        <w:t xml:space="preserve">In response to the </w:t>
      </w:r>
      <w:r w:rsidRPr="000944F1">
        <w:rPr>
          <w:rFonts w:eastAsia="Times New Roman" w:cstheme="minorHAnsi"/>
          <w:sz w:val="24"/>
        </w:rPr>
        <w:t>COVID-19 pandemic</w:t>
      </w:r>
      <w:r w:rsidR="00AA0948" w:rsidRPr="000944F1">
        <w:rPr>
          <w:rFonts w:eastAsia="Times New Roman" w:cstheme="minorHAnsi"/>
          <w:sz w:val="24"/>
        </w:rPr>
        <w:t xml:space="preserve"> that began in March 2020</w:t>
      </w:r>
      <w:r w:rsidRPr="000944F1">
        <w:rPr>
          <w:rFonts w:eastAsia="Times New Roman" w:cstheme="minorHAnsi"/>
          <w:sz w:val="24"/>
        </w:rPr>
        <w:t xml:space="preserve">, the </w:t>
      </w:r>
      <w:r w:rsidR="00D0057E" w:rsidRPr="000944F1">
        <w:rPr>
          <w:rFonts w:eastAsia="Times New Roman" w:cstheme="minorHAnsi"/>
          <w:sz w:val="24"/>
        </w:rPr>
        <w:t xml:space="preserve">federal </w:t>
      </w:r>
      <w:r w:rsidR="004148DE" w:rsidRPr="000944F1">
        <w:rPr>
          <w:rFonts w:eastAsia="Times New Roman" w:cstheme="minorHAnsi"/>
          <w:sz w:val="24"/>
        </w:rPr>
        <w:t xml:space="preserve">government </w:t>
      </w:r>
      <w:r w:rsidRPr="000944F1">
        <w:rPr>
          <w:rFonts w:eastAsia="Times New Roman" w:cstheme="minorHAnsi"/>
          <w:sz w:val="24"/>
        </w:rPr>
        <w:t xml:space="preserve">signed into law </w:t>
      </w:r>
      <w:r w:rsidR="00BB23C4" w:rsidRPr="000944F1">
        <w:rPr>
          <w:rFonts w:eastAsia="Times New Roman" w:cstheme="minorHAnsi"/>
          <w:sz w:val="24"/>
        </w:rPr>
        <w:t>various acts</w:t>
      </w:r>
      <w:r w:rsidRPr="000944F1">
        <w:rPr>
          <w:rFonts w:eastAsia="Times New Roman" w:cstheme="minorHAnsi"/>
          <w:sz w:val="24"/>
        </w:rPr>
        <w:t xml:space="preserve"> </w:t>
      </w:r>
      <w:r w:rsidR="00D0057E" w:rsidRPr="000944F1">
        <w:rPr>
          <w:rFonts w:eastAsia="Times New Roman" w:cstheme="minorHAnsi"/>
          <w:sz w:val="24"/>
        </w:rPr>
        <w:t>to provide economic relief</w:t>
      </w:r>
      <w:r w:rsidR="00640ED5" w:rsidRPr="000944F1">
        <w:rPr>
          <w:rFonts w:eastAsia="Times New Roman" w:cstheme="minorHAnsi"/>
          <w:sz w:val="24"/>
        </w:rPr>
        <w:t xml:space="preserve"> to the nation, including higher education</w:t>
      </w:r>
      <w:r w:rsidR="00D0057E" w:rsidRPr="000944F1">
        <w:rPr>
          <w:rFonts w:eastAsia="Times New Roman" w:cstheme="minorHAnsi"/>
          <w:sz w:val="24"/>
        </w:rPr>
        <w:t xml:space="preserve">.  </w:t>
      </w:r>
      <w:r w:rsidR="000944F1" w:rsidRPr="000944F1">
        <w:rPr>
          <w:rFonts w:eastAsia="Times New Roman" w:cstheme="minorHAnsi"/>
          <w:sz w:val="24"/>
        </w:rPr>
        <w:t>T</w:t>
      </w:r>
      <w:r w:rsidR="00D56C81" w:rsidRPr="000944F1">
        <w:rPr>
          <w:rFonts w:eastAsia="Times New Roman" w:cstheme="minorHAnsi"/>
          <w:sz w:val="24"/>
        </w:rPr>
        <w:t>he U</w:t>
      </w:r>
      <w:r w:rsidR="00EA1AB1">
        <w:rPr>
          <w:rFonts w:eastAsia="Times New Roman" w:cstheme="minorHAnsi"/>
          <w:sz w:val="24"/>
        </w:rPr>
        <w:t>.</w:t>
      </w:r>
      <w:r w:rsidR="00D56C81" w:rsidRPr="000944F1">
        <w:rPr>
          <w:rFonts w:eastAsia="Times New Roman" w:cstheme="minorHAnsi"/>
          <w:sz w:val="24"/>
        </w:rPr>
        <w:t>S</w:t>
      </w:r>
      <w:r w:rsidR="00EA1AB1">
        <w:rPr>
          <w:rFonts w:eastAsia="Times New Roman" w:cstheme="minorHAnsi"/>
          <w:sz w:val="24"/>
        </w:rPr>
        <w:t>.</w:t>
      </w:r>
      <w:r w:rsidR="00D56C81" w:rsidRPr="000944F1">
        <w:rPr>
          <w:rFonts w:eastAsia="Times New Roman" w:cstheme="minorHAnsi"/>
          <w:sz w:val="24"/>
        </w:rPr>
        <w:t xml:space="preserve"> Department of Education </w:t>
      </w:r>
      <w:r w:rsidR="0000464C">
        <w:rPr>
          <w:rFonts w:eastAsia="Times New Roman" w:cstheme="minorHAnsi"/>
          <w:sz w:val="24"/>
        </w:rPr>
        <w:t xml:space="preserve">has </w:t>
      </w:r>
      <w:r w:rsidR="000944F1" w:rsidRPr="000944F1">
        <w:rPr>
          <w:rFonts w:eastAsia="Times New Roman" w:cstheme="minorHAnsi"/>
          <w:sz w:val="24"/>
        </w:rPr>
        <w:t xml:space="preserve">awarded the System a total of $103.7 million </w:t>
      </w:r>
      <w:r w:rsidR="00BB23C4" w:rsidRPr="000944F1">
        <w:rPr>
          <w:rFonts w:eastAsia="Times New Roman" w:cstheme="minorHAnsi"/>
          <w:sz w:val="24"/>
        </w:rPr>
        <w:t>under the following acts:</w:t>
      </w:r>
    </w:p>
    <w:p w14:paraId="06018807" w14:textId="47371F9C" w:rsidR="00BB23C4" w:rsidRPr="000944F1" w:rsidRDefault="00BB23C4" w:rsidP="00A316AD">
      <w:pPr>
        <w:pStyle w:val="ListParagraph"/>
        <w:numPr>
          <w:ilvl w:val="0"/>
          <w:numId w:val="46"/>
        </w:numPr>
        <w:rPr>
          <w:rFonts w:cstheme="minorHAnsi"/>
        </w:rPr>
      </w:pPr>
      <w:r w:rsidRPr="000944F1">
        <w:rPr>
          <w:rFonts w:asciiTheme="minorHAnsi" w:hAnsiTheme="minorHAnsi" w:cstheme="minorHAnsi"/>
          <w:szCs w:val="22"/>
        </w:rPr>
        <w:t>Coronavirus Aid, Relief and Economic Security (CARES) Act - $17.9 million awarded in FY2</w:t>
      </w:r>
      <w:r w:rsidR="00E952DE">
        <w:rPr>
          <w:rFonts w:asciiTheme="minorHAnsi" w:hAnsiTheme="minorHAnsi" w:cstheme="minorHAnsi"/>
          <w:szCs w:val="22"/>
        </w:rPr>
        <w:t>0</w:t>
      </w:r>
      <w:r w:rsidRPr="000944F1">
        <w:rPr>
          <w:rFonts w:asciiTheme="minorHAnsi" w:hAnsiTheme="minorHAnsi" w:cstheme="minorHAnsi"/>
          <w:szCs w:val="22"/>
        </w:rPr>
        <w:t>.</w:t>
      </w:r>
    </w:p>
    <w:p w14:paraId="2E3D6D6A" w14:textId="1910CFEA" w:rsidR="00BB23C4" w:rsidRPr="000944F1" w:rsidRDefault="00AA0948" w:rsidP="00A316AD">
      <w:pPr>
        <w:pStyle w:val="ListParagraph"/>
        <w:numPr>
          <w:ilvl w:val="0"/>
          <w:numId w:val="46"/>
        </w:numPr>
        <w:rPr>
          <w:rFonts w:cstheme="minorHAnsi"/>
        </w:rPr>
      </w:pPr>
      <w:r w:rsidRPr="000944F1">
        <w:rPr>
          <w:rFonts w:asciiTheme="minorHAnsi" w:hAnsiTheme="minorHAnsi" w:cstheme="minorHAnsi"/>
          <w:szCs w:val="22"/>
        </w:rPr>
        <w:t>Coronavirus Response and Relief Supplemental Appropriations (CRRSA) A</w:t>
      </w:r>
      <w:r w:rsidR="00BB23C4" w:rsidRPr="000944F1">
        <w:rPr>
          <w:rFonts w:asciiTheme="minorHAnsi" w:hAnsiTheme="minorHAnsi" w:cstheme="minorHAnsi"/>
          <w:szCs w:val="22"/>
        </w:rPr>
        <w:t>ct - $31.</w:t>
      </w:r>
      <w:r w:rsidR="00E66EE3" w:rsidRPr="000944F1">
        <w:rPr>
          <w:rFonts w:asciiTheme="minorHAnsi" w:hAnsiTheme="minorHAnsi" w:cstheme="minorHAnsi"/>
          <w:szCs w:val="22"/>
        </w:rPr>
        <w:t>7</w:t>
      </w:r>
      <w:r w:rsidR="00BB23C4" w:rsidRPr="000944F1">
        <w:rPr>
          <w:rFonts w:asciiTheme="minorHAnsi" w:hAnsiTheme="minorHAnsi" w:cstheme="minorHAnsi"/>
          <w:szCs w:val="22"/>
        </w:rPr>
        <w:t xml:space="preserve"> million awarded in FY21.</w:t>
      </w:r>
    </w:p>
    <w:p w14:paraId="14CBCF5B" w14:textId="6BD5C8C9" w:rsidR="00BB23C4" w:rsidRPr="000944F1" w:rsidRDefault="00AA0948" w:rsidP="00A316AD">
      <w:pPr>
        <w:pStyle w:val="ListParagraph"/>
        <w:numPr>
          <w:ilvl w:val="0"/>
          <w:numId w:val="46"/>
        </w:numPr>
        <w:rPr>
          <w:rFonts w:cstheme="minorHAnsi"/>
        </w:rPr>
      </w:pPr>
      <w:r w:rsidRPr="000944F1">
        <w:rPr>
          <w:rFonts w:asciiTheme="minorHAnsi" w:hAnsiTheme="minorHAnsi" w:cstheme="minorHAnsi"/>
          <w:szCs w:val="22"/>
        </w:rPr>
        <w:lastRenderedPageBreak/>
        <w:t>American Rescue Plan (</w:t>
      </w:r>
      <w:r w:rsidR="00BB23C4" w:rsidRPr="000944F1">
        <w:rPr>
          <w:rFonts w:asciiTheme="minorHAnsi" w:hAnsiTheme="minorHAnsi" w:cstheme="minorHAnsi"/>
          <w:szCs w:val="22"/>
        </w:rPr>
        <w:t>ARP</w:t>
      </w:r>
      <w:r w:rsidRPr="000944F1">
        <w:rPr>
          <w:rFonts w:asciiTheme="minorHAnsi" w:hAnsiTheme="minorHAnsi" w:cstheme="minorHAnsi"/>
          <w:szCs w:val="22"/>
        </w:rPr>
        <w:t>) Act</w:t>
      </w:r>
      <w:r w:rsidR="00BB23C4" w:rsidRPr="000944F1">
        <w:rPr>
          <w:rFonts w:asciiTheme="minorHAnsi" w:hAnsiTheme="minorHAnsi" w:cstheme="minorHAnsi"/>
          <w:szCs w:val="22"/>
        </w:rPr>
        <w:t xml:space="preserve"> - $54.1 million awarded in </w:t>
      </w:r>
      <w:r w:rsidR="007D2A81">
        <w:rPr>
          <w:rFonts w:asciiTheme="minorHAnsi" w:hAnsiTheme="minorHAnsi" w:cstheme="minorHAnsi"/>
          <w:szCs w:val="22"/>
        </w:rPr>
        <w:t xml:space="preserve">late </w:t>
      </w:r>
      <w:r w:rsidR="00BB23C4" w:rsidRPr="000944F1">
        <w:rPr>
          <w:rFonts w:asciiTheme="minorHAnsi" w:hAnsiTheme="minorHAnsi" w:cstheme="minorHAnsi"/>
          <w:szCs w:val="22"/>
        </w:rPr>
        <w:t>FY21.</w:t>
      </w:r>
    </w:p>
    <w:p w14:paraId="43A9CDD7" w14:textId="77777777" w:rsidR="00BB23C4" w:rsidRPr="000944F1" w:rsidRDefault="00BB23C4" w:rsidP="00640ED5">
      <w:pPr>
        <w:ind w:left="360"/>
        <w:rPr>
          <w:rFonts w:cstheme="minorHAnsi"/>
        </w:rPr>
      </w:pPr>
    </w:p>
    <w:p w14:paraId="670F39F0" w14:textId="3464DC6A" w:rsidR="007E307E" w:rsidRDefault="00D0057E" w:rsidP="00BB23C4">
      <w:pPr>
        <w:rPr>
          <w:rFonts w:cstheme="minorHAnsi"/>
          <w:sz w:val="24"/>
          <w:szCs w:val="24"/>
        </w:rPr>
      </w:pPr>
      <w:r w:rsidRPr="0055135D">
        <w:rPr>
          <w:rFonts w:cstheme="minorHAnsi"/>
          <w:sz w:val="24"/>
          <w:szCs w:val="24"/>
        </w:rPr>
        <w:t xml:space="preserve">Under </w:t>
      </w:r>
      <w:r w:rsidR="00BB23C4" w:rsidRPr="0055135D">
        <w:rPr>
          <w:rFonts w:cstheme="minorHAnsi"/>
          <w:sz w:val="24"/>
          <w:szCs w:val="24"/>
        </w:rPr>
        <w:t xml:space="preserve">these </w:t>
      </w:r>
      <w:r w:rsidRPr="0055135D">
        <w:rPr>
          <w:rFonts w:cstheme="minorHAnsi"/>
          <w:sz w:val="24"/>
          <w:szCs w:val="24"/>
        </w:rPr>
        <w:t>act</w:t>
      </w:r>
      <w:r w:rsidR="00BB23C4" w:rsidRPr="0055135D">
        <w:rPr>
          <w:rFonts w:cstheme="minorHAnsi"/>
          <w:sz w:val="24"/>
          <w:szCs w:val="24"/>
        </w:rPr>
        <w:t>s</w:t>
      </w:r>
      <w:r w:rsidRPr="0055135D">
        <w:rPr>
          <w:rFonts w:cstheme="minorHAnsi"/>
          <w:sz w:val="24"/>
          <w:szCs w:val="24"/>
        </w:rPr>
        <w:t xml:space="preserve">, the </w:t>
      </w:r>
      <w:r w:rsidR="00AA0948" w:rsidRPr="0055135D">
        <w:rPr>
          <w:rFonts w:cstheme="minorHAnsi"/>
          <w:sz w:val="24"/>
          <w:szCs w:val="24"/>
        </w:rPr>
        <w:t xml:space="preserve">System </w:t>
      </w:r>
      <w:r w:rsidR="007E307E">
        <w:rPr>
          <w:rFonts w:cstheme="minorHAnsi"/>
          <w:sz w:val="24"/>
          <w:szCs w:val="24"/>
        </w:rPr>
        <w:t>received total awards o</w:t>
      </w:r>
      <w:r w:rsidR="00AA0948" w:rsidRPr="0055135D">
        <w:rPr>
          <w:rFonts w:cstheme="minorHAnsi"/>
          <w:sz w:val="24"/>
          <w:szCs w:val="24"/>
        </w:rPr>
        <w:t>f $</w:t>
      </w:r>
      <w:r w:rsidR="00D56C81" w:rsidRPr="0055135D">
        <w:rPr>
          <w:rFonts w:cstheme="minorHAnsi"/>
          <w:sz w:val="24"/>
          <w:szCs w:val="24"/>
        </w:rPr>
        <w:t xml:space="preserve">44.7 million </w:t>
      </w:r>
      <w:r w:rsidRPr="0055135D">
        <w:rPr>
          <w:rFonts w:cstheme="minorHAnsi"/>
          <w:sz w:val="24"/>
          <w:szCs w:val="24"/>
        </w:rPr>
        <w:t>to use for emergency aid to students</w:t>
      </w:r>
      <w:r w:rsidR="00D56C81" w:rsidRPr="0055135D">
        <w:rPr>
          <w:rFonts w:cstheme="minorHAnsi"/>
          <w:sz w:val="24"/>
          <w:szCs w:val="24"/>
        </w:rPr>
        <w:t xml:space="preserve"> and </w:t>
      </w:r>
      <w:r w:rsidR="007E307E">
        <w:rPr>
          <w:rFonts w:cstheme="minorHAnsi"/>
          <w:sz w:val="24"/>
          <w:szCs w:val="24"/>
        </w:rPr>
        <w:t xml:space="preserve">total awards of </w:t>
      </w:r>
      <w:r w:rsidR="00D56C81" w:rsidRPr="0055135D">
        <w:rPr>
          <w:rFonts w:cstheme="minorHAnsi"/>
          <w:sz w:val="24"/>
          <w:szCs w:val="24"/>
        </w:rPr>
        <w:t xml:space="preserve">$59 million to use for various </w:t>
      </w:r>
      <w:r w:rsidR="007E307E">
        <w:rPr>
          <w:rFonts w:cstheme="minorHAnsi"/>
          <w:sz w:val="24"/>
          <w:szCs w:val="24"/>
        </w:rPr>
        <w:t xml:space="preserve">other </w:t>
      </w:r>
      <w:r w:rsidR="00D56C81" w:rsidRPr="0055135D">
        <w:rPr>
          <w:rFonts w:cstheme="minorHAnsi"/>
          <w:sz w:val="24"/>
          <w:szCs w:val="24"/>
        </w:rPr>
        <w:t xml:space="preserve">pandemic related costs including </w:t>
      </w:r>
      <w:r w:rsidRPr="0055135D">
        <w:rPr>
          <w:rFonts w:cstheme="minorHAnsi"/>
          <w:sz w:val="24"/>
          <w:szCs w:val="24"/>
        </w:rPr>
        <w:t>reimburse</w:t>
      </w:r>
      <w:r w:rsidR="00D56C81" w:rsidRPr="0055135D">
        <w:rPr>
          <w:rFonts w:cstheme="minorHAnsi"/>
          <w:sz w:val="24"/>
          <w:szCs w:val="24"/>
        </w:rPr>
        <w:t xml:space="preserve">ment of FY20 </w:t>
      </w:r>
      <w:r w:rsidRPr="0055135D">
        <w:rPr>
          <w:rFonts w:cstheme="minorHAnsi"/>
          <w:sz w:val="24"/>
          <w:szCs w:val="24"/>
        </w:rPr>
        <w:t>refunded room and board revenues</w:t>
      </w:r>
      <w:r w:rsidR="007E307E">
        <w:rPr>
          <w:rFonts w:cstheme="minorHAnsi"/>
          <w:sz w:val="24"/>
          <w:szCs w:val="24"/>
        </w:rPr>
        <w:t xml:space="preserve"> and recovery of </w:t>
      </w:r>
      <w:r w:rsidR="00AA0948" w:rsidRPr="0055135D">
        <w:rPr>
          <w:rFonts w:cstheme="minorHAnsi"/>
          <w:sz w:val="24"/>
          <w:szCs w:val="24"/>
        </w:rPr>
        <w:t>lost revenues</w:t>
      </w:r>
      <w:r w:rsidR="007E307E">
        <w:rPr>
          <w:rFonts w:cstheme="minorHAnsi"/>
          <w:sz w:val="24"/>
          <w:szCs w:val="24"/>
        </w:rPr>
        <w:t>.</w:t>
      </w:r>
    </w:p>
    <w:p w14:paraId="31B9A8A0" w14:textId="77777777" w:rsidR="007E307E" w:rsidRDefault="007E307E" w:rsidP="00BB23C4">
      <w:pPr>
        <w:rPr>
          <w:rFonts w:cstheme="minorHAnsi"/>
          <w:sz w:val="24"/>
          <w:szCs w:val="24"/>
        </w:rPr>
      </w:pPr>
    </w:p>
    <w:p w14:paraId="32C83A6A" w14:textId="7EB72B22" w:rsidR="005D735A" w:rsidRDefault="005D735A" w:rsidP="00BB23C4">
      <w:pPr>
        <w:rPr>
          <w:rFonts w:cstheme="minorHAnsi"/>
          <w:sz w:val="24"/>
          <w:szCs w:val="24"/>
        </w:rPr>
      </w:pPr>
      <w:r>
        <w:rPr>
          <w:rFonts w:cstheme="minorHAnsi"/>
          <w:sz w:val="24"/>
          <w:szCs w:val="24"/>
        </w:rPr>
        <w:t xml:space="preserve">In the accompanying financial statements, the System has recognized revenue from the above </w:t>
      </w:r>
      <w:r w:rsidR="00FA491B">
        <w:rPr>
          <w:rFonts w:cstheme="minorHAnsi"/>
          <w:sz w:val="24"/>
          <w:szCs w:val="24"/>
        </w:rPr>
        <w:t>federal awards</w:t>
      </w:r>
      <w:r>
        <w:rPr>
          <w:rFonts w:cstheme="minorHAnsi"/>
          <w:sz w:val="24"/>
          <w:szCs w:val="24"/>
        </w:rPr>
        <w:t xml:space="preserve"> in </w:t>
      </w:r>
      <w:r w:rsidR="00812A27" w:rsidRPr="0055135D">
        <w:rPr>
          <w:rFonts w:cstheme="minorHAnsi"/>
          <w:sz w:val="24"/>
          <w:szCs w:val="24"/>
        </w:rPr>
        <w:t>accordance with GASB guidance</w:t>
      </w:r>
      <w:r>
        <w:rPr>
          <w:rFonts w:cstheme="minorHAnsi"/>
          <w:sz w:val="24"/>
          <w:szCs w:val="24"/>
        </w:rPr>
        <w:t xml:space="preserve">. </w:t>
      </w:r>
      <w:r w:rsidR="00FA491B">
        <w:rPr>
          <w:rFonts w:cstheme="minorHAnsi"/>
          <w:sz w:val="24"/>
          <w:szCs w:val="24"/>
        </w:rPr>
        <w:t>Under this</w:t>
      </w:r>
      <w:r>
        <w:rPr>
          <w:rFonts w:cstheme="minorHAnsi"/>
          <w:sz w:val="24"/>
          <w:szCs w:val="24"/>
        </w:rPr>
        <w:t xml:space="preserve"> guidance, revenue recognition does not necessarily correlate with </w:t>
      </w:r>
      <w:r w:rsidR="00FA491B">
        <w:rPr>
          <w:rFonts w:cstheme="minorHAnsi"/>
          <w:sz w:val="24"/>
          <w:szCs w:val="24"/>
        </w:rPr>
        <w:t>the same fiscal year that t</w:t>
      </w:r>
      <w:r>
        <w:rPr>
          <w:rFonts w:cstheme="minorHAnsi"/>
          <w:sz w:val="24"/>
          <w:szCs w:val="24"/>
        </w:rPr>
        <w:t xml:space="preserve">he System applied allowable costs against the awards. For example, </w:t>
      </w:r>
      <w:r w:rsidR="00FA491B">
        <w:rPr>
          <w:rFonts w:cstheme="minorHAnsi"/>
          <w:sz w:val="24"/>
          <w:szCs w:val="24"/>
        </w:rPr>
        <w:t xml:space="preserve">some of </w:t>
      </w:r>
      <w:r>
        <w:rPr>
          <w:rFonts w:cstheme="minorHAnsi"/>
          <w:sz w:val="24"/>
          <w:szCs w:val="24"/>
        </w:rPr>
        <w:t>the FY21 revenue recognized in the accompanying financial statements related to costs applied against the federal awards in FY20. Also, certain costs applied against the federal awards in FY21 will not be recognized as revenue until FY22.</w:t>
      </w:r>
    </w:p>
    <w:p w14:paraId="19AC643F" w14:textId="77777777" w:rsidR="005D735A" w:rsidRDefault="005D735A" w:rsidP="00BB23C4">
      <w:pPr>
        <w:rPr>
          <w:rFonts w:cstheme="minorHAnsi"/>
          <w:sz w:val="24"/>
          <w:szCs w:val="24"/>
        </w:rPr>
      </w:pPr>
    </w:p>
    <w:p w14:paraId="5B257802" w14:textId="04EF7C4F" w:rsidR="007D2A81" w:rsidRPr="00790AF8" w:rsidRDefault="007D2A81" w:rsidP="00790AF8">
      <w:pPr>
        <w:spacing w:after="120"/>
        <w:rPr>
          <w:rFonts w:cstheme="minorHAnsi"/>
          <w:sz w:val="24"/>
          <w:szCs w:val="24"/>
        </w:rPr>
      </w:pPr>
      <w:r w:rsidRPr="00790AF8">
        <w:rPr>
          <w:rFonts w:cstheme="minorHAnsi"/>
          <w:sz w:val="24"/>
          <w:szCs w:val="24"/>
        </w:rPr>
        <w:t xml:space="preserve">FY21 </w:t>
      </w:r>
      <w:r w:rsidR="00FA491B" w:rsidRPr="00790AF8">
        <w:rPr>
          <w:rFonts w:cstheme="minorHAnsi"/>
          <w:sz w:val="24"/>
          <w:szCs w:val="24"/>
        </w:rPr>
        <w:t xml:space="preserve">federal </w:t>
      </w:r>
      <w:r w:rsidRPr="00790AF8">
        <w:rPr>
          <w:rFonts w:cstheme="minorHAnsi"/>
          <w:sz w:val="24"/>
          <w:szCs w:val="24"/>
        </w:rPr>
        <w:t xml:space="preserve">coronavirus relief funding revenue </w:t>
      </w:r>
      <w:r w:rsidR="00673951">
        <w:rPr>
          <w:rFonts w:cstheme="minorHAnsi"/>
          <w:sz w:val="24"/>
          <w:szCs w:val="24"/>
        </w:rPr>
        <w:t>totals</w:t>
      </w:r>
      <w:r w:rsidR="00FA491B" w:rsidRPr="00790AF8">
        <w:rPr>
          <w:rFonts w:cstheme="minorHAnsi"/>
          <w:sz w:val="24"/>
          <w:szCs w:val="24"/>
        </w:rPr>
        <w:t xml:space="preserve"> </w:t>
      </w:r>
      <w:r w:rsidR="007938DB" w:rsidRPr="00790AF8">
        <w:rPr>
          <w:rFonts w:cstheme="minorHAnsi"/>
          <w:sz w:val="24"/>
          <w:szCs w:val="24"/>
        </w:rPr>
        <w:t>$29.3 million</w:t>
      </w:r>
      <w:r w:rsidR="00FA491B" w:rsidRPr="00790AF8">
        <w:rPr>
          <w:rFonts w:cstheme="minorHAnsi"/>
          <w:sz w:val="24"/>
          <w:szCs w:val="24"/>
        </w:rPr>
        <w:t xml:space="preserve"> </w:t>
      </w:r>
      <w:r w:rsidR="00673951">
        <w:rPr>
          <w:rFonts w:cstheme="minorHAnsi"/>
          <w:sz w:val="24"/>
          <w:szCs w:val="24"/>
        </w:rPr>
        <w:t>and is r</w:t>
      </w:r>
      <w:r w:rsidR="007938DB" w:rsidRPr="00790AF8">
        <w:rPr>
          <w:rFonts w:cstheme="minorHAnsi"/>
          <w:sz w:val="24"/>
          <w:szCs w:val="24"/>
        </w:rPr>
        <w:t>elated to t</w:t>
      </w:r>
      <w:r w:rsidRPr="00790AF8">
        <w:rPr>
          <w:rFonts w:cstheme="minorHAnsi"/>
          <w:sz w:val="24"/>
          <w:szCs w:val="24"/>
        </w:rPr>
        <w:t>he following costs:</w:t>
      </w:r>
    </w:p>
    <w:p w14:paraId="75AFA5B2" w14:textId="5D573E4A" w:rsidR="00FC2F5C" w:rsidRPr="00661599" w:rsidRDefault="007938DB" w:rsidP="00661599">
      <w:pPr>
        <w:pStyle w:val="ListParagraph"/>
        <w:numPr>
          <w:ilvl w:val="0"/>
          <w:numId w:val="51"/>
        </w:numPr>
        <w:rPr>
          <w:rFonts w:cstheme="minorHAnsi"/>
        </w:rPr>
      </w:pPr>
      <w:r w:rsidRPr="00661599">
        <w:rPr>
          <w:rFonts w:asciiTheme="minorHAnsi" w:eastAsiaTheme="minorHAnsi" w:hAnsiTheme="minorHAnsi" w:cstheme="minorHAnsi"/>
        </w:rPr>
        <w:t xml:space="preserve">Emergency awards </w:t>
      </w:r>
      <w:r w:rsidR="00E301FE" w:rsidRPr="00661599">
        <w:rPr>
          <w:rFonts w:asciiTheme="minorHAnsi" w:eastAsiaTheme="minorHAnsi" w:hAnsiTheme="minorHAnsi" w:cstheme="minorHAnsi"/>
        </w:rPr>
        <w:t xml:space="preserve">made to </w:t>
      </w:r>
      <w:r w:rsidRPr="00661599">
        <w:rPr>
          <w:rFonts w:asciiTheme="minorHAnsi" w:eastAsiaTheme="minorHAnsi" w:hAnsiTheme="minorHAnsi" w:cstheme="minorHAnsi"/>
        </w:rPr>
        <w:t>students</w:t>
      </w:r>
      <w:r w:rsidR="00E301FE" w:rsidRPr="00661599">
        <w:rPr>
          <w:rFonts w:asciiTheme="minorHAnsi" w:eastAsiaTheme="minorHAnsi" w:hAnsiTheme="minorHAnsi" w:cstheme="minorHAnsi"/>
        </w:rPr>
        <w:t xml:space="preserve"> in FY21</w:t>
      </w:r>
      <w:r w:rsidRPr="00661599">
        <w:rPr>
          <w:rFonts w:asciiTheme="minorHAnsi" w:eastAsiaTheme="minorHAnsi" w:hAnsiTheme="minorHAnsi" w:cstheme="minorHAnsi"/>
        </w:rPr>
        <w:t xml:space="preserve"> </w:t>
      </w:r>
      <w:r w:rsidR="00FC2F5C" w:rsidRPr="00661599">
        <w:rPr>
          <w:rFonts w:asciiTheme="minorHAnsi" w:eastAsiaTheme="minorHAnsi" w:hAnsiTheme="minorHAnsi" w:cstheme="minorHAnsi"/>
        </w:rPr>
        <w:t>- $</w:t>
      </w:r>
      <w:r w:rsidR="00673951" w:rsidRPr="00661599">
        <w:rPr>
          <w:rFonts w:asciiTheme="minorHAnsi" w:eastAsiaTheme="minorHAnsi" w:hAnsiTheme="minorHAnsi" w:cstheme="minorHAnsi"/>
        </w:rPr>
        <w:t>9.0</w:t>
      </w:r>
      <w:r w:rsidRPr="00661599">
        <w:rPr>
          <w:rFonts w:asciiTheme="minorHAnsi" w:eastAsiaTheme="minorHAnsi" w:hAnsiTheme="minorHAnsi" w:cstheme="minorHAnsi"/>
        </w:rPr>
        <w:t xml:space="preserve"> million</w:t>
      </w:r>
    </w:p>
    <w:p w14:paraId="3BB32501" w14:textId="187F685C" w:rsidR="00FC2F5C" w:rsidRPr="00661599" w:rsidRDefault="007D2A81" w:rsidP="00661599">
      <w:pPr>
        <w:pStyle w:val="ListParagraph"/>
        <w:numPr>
          <w:ilvl w:val="0"/>
          <w:numId w:val="50"/>
        </w:numPr>
        <w:rPr>
          <w:rFonts w:cstheme="minorHAnsi"/>
        </w:rPr>
      </w:pPr>
      <w:r w:rsidRPr="00661599">
        <w:rPr>
          <w:rFonts w:asciiTheme="minorHAnsi" w:eastAsiaTheme="minorHAnsi" w:hAnsiTheme="minorHAnsi" w:cstheme="minorHAnsi"/>
        </w:rPr>
        <w:t>Reimbursement of FY20 room and board refunds - $</w:t>
      </w:r>
      <w:r w:rsidR="00673951" w:rsidRPr="00661599">
        <w:rPr>
          <w:rFonts w:asciiTheme="minorHAnsi" w:eastAsiaTheme="minorHAnsi" w:hAnsiTheme="minorHAnsi" w:cstheme="minorHAnsi"/>
        </w:rPr>
        <w:t>5.5 million</w:t>
      </w:r>
    </w:p>
    <w:p w14:paraId="59CE828C" w14:textId="749FB2D5" w:rsidR="007D2A81" w:rsidRPr="00661599" w:rsidRDefault="007D2A81" w:rsidP="00661599">
      <w:pPr>
        <w:pStyle w:val="ListParagraph"/>
        <w:numPr>
          <w:ilvl w:val="0"/>
          <w:numId w:val="50"/>
        </w:numPr>
        <w:rPr>
          <w:rFonts w:cstheme="minorHAnsi"/>
        </w:rPr>
      </w:pPr>
      <w:r w:rsidRPr="00661599">
        <w:rPr>
          <w:rFonts w:asciiTheme="minorHAnsi" w:eastAsiaTheme="minorHAnsi" w:hAnsiTheme="minorHAnsi" w:cstheme="minorHAnsi"/>
        </w:rPr>
        <w:t xml:space="preserve">Recovery of lost FY21 </w:t>
      </w:r>
      <w:r w:rsidR="007938DB" w:rsidRPr="00661599">
        <w:rPr>
          <w:rFonts w:asciiTheme="minorHAnsi" w:eastAsiaTheme="minorHAnsi" w:hAnsiTheme="minorHAnsi" w:cstheme="minorHAnsi"/>
        </w:rPr>
        <w:t>lost revenues</w:t>
      </w:r>
      <w:r w:rsidR="00673951" w:rsidRPr="00661599">
        <w:rPr>
          <w:rFonts w:asciiTheme="minorHAnsi" w:eastAsiaTheme="minorHAnsi" w:hAnsiTheme="minorHAnsi" w:cstheme="minorHAnsi"/>
        </w:rPr>
        <w:t xml:space="preserve"> - $13.6 million</w:t>
      </w:r>
    </w:p>
    <w:p w14:paraId="3F72B930" w14:textId="691A8774" w:rsidR="007D2A81" w:rsidRPr="00661599" w:rsidRDefault="007938DB" w:rsidP="00661599">
      <w:pPr>
        <w:pStyle w:val="ListParagraph"/>
        <w:numPr>
          <w:ilvl w:val="0"/>
          <w:numId w:val="50"/>
        </w:numPr>
        <w:rPr>
          <w:rFonts w:cstheme="minorHAnsi"/>
        </w:rPr>
      </w:pPr>
      <w:r w:rsidRPr="00661599">
        <w:rPr>
          <w:rFonts w:asciiTheme="minorHAnsi" w:eastAsiaTheme="minorHAnsi" w:hAnsiTheme="minorHAnsi" w:cstheme="minorHAnsi"/>
        </w:rPr>
        <w:t>Other pandemic related costs</w:t>
      </w:r>
      <w:r w:rsidR="00673951" w:rsidRPr="00661599">
        <w:rPr>
          <w:rFonts w:asciiTheme="minorHAnsi" w:eastAsiaTheme="minorHAnsi" w:hAnsiTheme="minorHAnsi" w:cstheme="minorHAnsi"/>
        </w:rPr>
        <w:t xml:space="preserve"> - $1.2 million</w:t>
      </w:r>
    </w:p>
    <w:p w14:paraId="7C2E2E2B" w14:textId="77777777" w:rsidR="00FC2F5C" w:rsidRPr="00661599" w:rsidRDefault="00FC2F5C" w:rsidP="00BB23C4">
      <w:pPr>
        <w:rPr>
          <w:rFonts w:cstheme="minorHAnsi"/>
          <w:sz w:val="24"/>
          <w:szCs w:val="24"/>
        </w:rPr>
      </w:pPr>
    </w:p>
    <w:p w14:paraId="3224C19B" w14:textId="5550A1C7" w:rsidR="007938DB" w:rsidRPr="00661599" w:rsidRDefault="007938DB" w:rsidP="00661599">
      <w:pPr>
        <w:spacing w:after="120"/>
        <w:rPr>
          <w:rFonts w:cstheme="minorHAnsi"/>
          <w:sz w:val="24"/>
          <w:szCs w:val="24"/>
        </w:rPr>
      </w:pPr>
      <w:r w:rsidRPr="00661599">
        <w:rPr>
          <w:rFonts w:cstheme="minorHAnsi"/>
          <w:sz w:val="24"/>
          <w:szCs w:val="24"/>
        </w:rPr>
        <w:t xml:space="preserve">FY20 </w:t>
      </w:r>
      <w:r w:rsidR="00673951" w:rsidRPr="00661599">
        <w:rPr>
          <w:rFonts w:cstheme="minorHAnsi"/>
          <w:sz w:val="24"/>
          <w:szCs w:val="24"/>
        </w:rPr>
        <w:t xml:space="preserve">federal </w:t>
      </w:r>
      <w:r w:rsidRPr="00661599">
        <w:rPr>
          <w:rFonts w:cstheme="minorHAnsi"/>
          <w:sz w:val="24"/>
          <w:szCs w:val="24"/>
        </w:rPr>
        <w:t xml:space="preserve">coronavirus relief funding revenue </w:t>
      </w:r>
      <w:r w:rsidR="00673951" w:rsidRPr="00661599">
        <w:rPr>
          <w:rFonts w:cstheme="minorHAnsi"/>
          <w:sz w:val="24"/>
          <w:szCs w:val="24"/>
        </w:rPr>
        <w:t xml:space="preserve">totals </w:t>
      </w:r>
      <w:r w:rsidRPr="00661599">
        <w:rPr>
          <w:rFonts w:cstheme="minorHAnsi"/>
          <w:sz w:val="24"/>
          <w:szCs w:val="24"/>
        </w:rPr>
        <w:t xml:space="preserve">$15.5 million </w:t>
      </w:r>
      <w:r w:rsidR="00673951" w:rsidRPr="00661599">
        <w:rPr>
          <w:rFonts w:cstheme="minorHAnsi"/>
          <w:sz w:val="24"/>
          <w:szCs w:val="24"/>
        </w:rPr>
        <w:t xml:space="preserve">and </w:t>
      </w:r>
      <w:r w:rsidRPr="00661599">
        <w:rPr>
          <w:rFonts w:cstheme="minorHAnsi"/>
          <w:sz w:val="24"/>
          <w:szCs w:val="24"/>
        </w:rPr>
        <w:t>is related to the following costs:</w:t>
      </w:r>
    </w:p>
    <w:p w14:paraId="47243113" w14:textId="39A6586F" w:rsidR="007938DB" w:rsidRPr="00661599" w:rsidRDefault="00673951" w:rsidP="007938DB">
      <w:pPr>
        <w:pStyle w:val="ListParagraph"/>
        <w:numPr>
          <w:ilvl w:val="0"/>
          <w:numId w:val="51"/>
        </w:numPr>
        <w:rPr>
          <w:rFonts w:asciiTheme="minorHAnsi" w:eastAsiaTheme="minorHAnsi" w:hAnsiTheme="minorHAnsi" w:cstheme="minorHAnsi"/>
        </w:rPr>
      </w:pPr>
      <w:r w:rsidRPr="00661599">
        <w:rPr>
          <w:rFonts w:asciiTheme="minorHAnsi" w:eastAsiaTheme="minorHAnsi" w:hAnsiTheme="minorHAnsi" w:cstheme="minorHAnsi"/>
        </w:rPr>
        <w:t xml:space="preserve">Emergency awards made to students in FY20 </w:t>
      </w:r>
      <w:r w:rsidR="007938DB" w:rsidRPr="00661599">
        <w:rPr>
          <w:rFonts w:asciiTheme="minorHAnsi" w:eastAsiaTheme="minorHAnsi" w:hAnsiTheme="minorHAnsi" w:cstheme="minorHAnsi"/>
        </w:rPr>
        <w:t>- $8</w:t>
      </w:r>
      <w:r w:rsidRPr="00661599">
        <w:rPr>
          <w:rFonts w:asciiTheme="minorHAnsi" w:eastAsiaTheme="minorHAnsi" w:hAnsiTheme="minorHAnsi" w:cstheme="minorHAnsi"/>
        </w:rPr>
        <w:t>.2</w:t>
      </w:r>
      <w:r w:rsidR="007938DB" w:rsidRPr="00661599">
        <w:rPr>
          <w:rFonts w:asciiTheme="minorHAnsi" w:eastAsiaTheme="minorHAnsi" w:hAnsiTheme="minorHAnsi" w:cstheme="minorHAnsi"/>
        </w:rPr>
        <w:t xml:space="preserve"> million</w:t>
      </w:r>
    </w:p>
    <w:p w14:paraId="2A3E7970" w14:textId="72EC69C9" w:rsidR="007938DB" w:rsidRPr="00661599" w:rsidRDefault="007938DB" w:rsidP="00661599">
      <w:pPr>
        <w:pStyle w:val="ListParagraph"/>
        <w:numPr>
          <w:ilvl w:val="0"/>
          <w:numId w:val="51"/>
        </w:numPr>
        <w:rPr>
          <w:rFonts w:cstheme="minorHAnsi"/>
        </w:rPr>
      </w:pPr>
      <w:r w:rsidRPr="00661599">
        <w:rPr>
          <w:rFonts w:asciiTheme="minorHAnsi" w:eastAsiaTheme="minorHAnsi" w:hAnsiTheme="minorHAnsi" w:cstheme="minorHAnsi"/>
        </w:rPr>
        <w:t xml:space="preserve">Reimbursement of </w:t>
      </w:r>
      <w:r w:rsidR="00673951" w:rsidRPr="00661599">
        <w:rPr>
          <w:rFonts w:asciiTheme="minorHAnsi" w:eastAsiaTheme="minorHAnsi" w:hAnsiTheme="minorHAnsi" w:cstheme="minorHAnsi"/>
        </w:rPr>
        <w:t xml:space="preserve">FY20 </w:t>
      </w:r>
      <w:r w:rsidRPr="00661599">
        <w:rPr>
          <w:rFonts w:asciiTheme="minorHAnsi" w:eastAsiaTheme="minorHAnsi" w:hAnsiTheme="minorHAnsi" w:cstheme="minorHAnsi"/>
        </w:rPr>
        <w:t>room and board refunds - $</w:t>
      </w:r>
      <w:r w:rsidR="00673951" w:rsidRPr="00661599">
        <w:rPr>
          <w:rFonts w:asciiTheme="minorHAnsi" w:eastAsiaTheme="minorHAnsi" w:hAnsiTheme="minorHAnsi" w:cstheme="minorHAnsi"/>
        </w:rPr>
        <w:t>7.2 million</w:t>
      </w:r>
    </w:p>
    <w:p w14:paraId="72A32C8B" w14:textId="0CD4FEC1" w:rsidR="00673951" w:rsidRPr="00796CA3" w:rsidRDefault="00673951" w:rsidP="00661599">
      <w:pPr>
        <w:pStyle w:val="ListParagraph"/>
        <w:numPr>
          <w:ilvl w:val="0"/>
          <w:numId w:val="51"/>
        </w:numPr>
        <w:rPr>
          <w:rFonts w:cstheme="minorHAnsi"/>
        </w:rPr>
      </w:pPr>
      <w:r w:rsidRPr="00661599">
        <w:rPr>
          <w:rFonts w:asciiTheme="minorHAnsi" w:eastAsiaTheme="minorHAnsi" w:hAnsiTheme="minorHAnsi" w:cstheme="minorHAnsi"/>
        </w:rPr>
        <w:t>Other pandemic related costs - $100 thousand</w:t>
      </w:r>
    </w:p>
    <w:p w14:paraId="439E1013" w14:textId="03F1B6DF" w:rsidR="00FA491B" w:rsidRPr="000544FC" w:rsidRDefault="00FA491B" w:rsidP="000544FC">
      <w:pPr>
        <w:spacing w:before="120" w:after="120"/>
        <w:rPr>
          <w:rFonts w:eastAsia="Times New Roman" w:cstheme="minorHAnsi"/>
          <w:b/>
          <w:i/>
          <w:sz w:val="24"/>
        </w:rPr>
      </w:pPr>
      <w:r w:rsidRPr="00661599">
        <w:rPr>
          <w:rFonts w:eastAsia="Times New Roman" w:cstheme="minorHAnsi"/>
          <w:b/>
          <w:i/>
          <w:sz w:val="24"/>
        </w:rPr>
        <w:t>State Funding</w:t>
      </w:r>
    </w:p>
    <w:p w14:paraId="53211BE3" w14:textId="76FD810F" w:rsidR="00FA491B" w:rsidRPr="0055135D" w:rsidRDefault="00FA491B" w:rsidP="00661599">
      <w:pPr>
        <w:spacing w:after="120"/>
        <w:rPr>
          <w:rFonts w:cstheme="minorHAnsi"/>
          <w:sz w:val="24"/>
          <w:szCs w:val="24"/>
        </w:rPr>
      </w:pPr>
      <w:r w:rsidRPr="00661599">
        <w:rPr>
          <w:rFonts w:eastAsia="Times New Roman" w:cstheme="minorHAnsi"/>
          <w:sz w:val="24"/>
        </w:rPr>
        <w:t>During FY21, the</w:t>
      </w:r>
      <w:r w:rsidRPr="0055135D">
        <w:rPr>
          <w:rFonts w:cstheme="minorHAnsi"/>
          <w:sz w:val="24"/>
          <w:szCs w:val="24"/>
        </w:rPr>
        <w:t xml:space="preserve"> System was awarded $14.9 million in coronavirus relief from the State of Maine to be used for COVID-19 testing costs, personal protective equipment, and quarantine related costs. The System has recognized coronavirus relief funding revenue from this award in the amount of $7.3 million for FY21.</w:t>
      </w:r>
    </w:p>
    <w:p w14:paraId="13DB25C8" w14:textId="0721AB6A" w:rsidR="00E7511E" w:rsidRPr="00796CA3" w:rsidRDefault="00E7511E" w:rsidP="000544FC">
      <w:pPr>
        <w:spacing w:before="240" w:after="120"/>
        <w:rPr>
          <w:rFonts w:cstheme="minorHAnsi"/>
        </w:rPr>
      </w:pPr>
      <w:r w:rsidRPr="00661599">
        <w:rPr>
          <w:rFonts w:cstheme="minorHAnsi"/>
          <w:b/>
          <w:i/>
          <w:sz w:val="26"/>
          <w:u w:val="single" w:color="000000" w:themeColor="text1"/>
        </w:rPr>
        <w:t>Cash Gifts</w:t>
      </w:r>
    </w:p>
    <w:p w14:paraId="59453183" w14:textId="1CD7643A" w:rsidR="00E7511E" w:rsidRDefault="00E7511E" w:rsidP="00E7511E">
      <w:pPr>
        <w:rPr>
          <w:rFonts w:cstheme="minorHAnsi"/>
          <w:sz w:val="24"/>
          <w:szCs w:val="24"/>
        </w:rPr>
      </w:pPr>
      <w:r>
        <w:rPr>
          <w:rFonts w:cstheme="minorHAnsi"/>
          <w:sz w:val="24"/>
          <w:szCs w:val="24"/>
        </w:rPr>
        <w:t xml:space="preserve">As shown in Chart 12, total </w:t>
      </w:r>
      <w:r w:rsidR="00D00D30">
        <w:rPr>
          <w:rFonts w:cstheme="minorHAnsi"/>
          <w:sz w:val="24"/>
          <w:szCs w:val="24"/>
        </w:rPr>
        <w:t xml:space="preserve">cash </w:t>
      </w:r>
      <w:r>
        <w:rPr>
          <w:rFonts w:cstheme="minorHAnsi"/>
          <w:sz w:val="24"/>
          <w:szCs w:val="24"/>
        </w:rPr>
        <w:t xml:space="preserve">gifts of </w:t>
      </w:r>
      <w:r w:rsidRPr="00765520">
        <w:rPr>
          <w:rFonts w:cstheme="minorHAnsi"/>
          <w:sz w:val="24"/>
          <w:szCs w:val="24"/>
        </w:rPr>
        <w:t>$</w:t>
      </w:r>
      <w:r w:rsidR="004369DE" w:rsidRPr="00765520">
        <w:rPr>
          <w:rFonts w:cstheme="minorHAnsi"/>
          <w:sz w:val="24"/>
          <w:szCs w:val="24"/>
        </w:rPr>
        <w:t>26</w:t>
      </w:r>
      <w:r w:rsidR="004369DE">
        <w:rPr>
          <w:rFonts w:cstheme="minorHAnsi"/>
          <w:sz w:val="24"/>
          <w:szCs w:val="24"/>
        </w:rPr>
        <w:t xml:space="preserve"> </w:t>
      </w:r>
      <w:r>
        <w:rPr>
          <w:rFonts w:cstheme="minorHAnsi"/>
          <w:sz w:val="24"/>
          <w:szCs w:val="24"/>
        </w:rPr>
        <w:t>million received in FY</w:t>
      </w:r>
      <w:r w:rsidR="00F54F8E">
        <w:rPr>
          <w:rFonts w:cstheme="minorHAnsi"/>
          <w:sz w:val="24"/>
          <w:szCs w:val="24"/>
        </w:rPr>
        <w:t>21</w:t>
      </w:r>
      <w:r>
        <w:rPr>
          <w:rFonts w:cstheme="minorHAnsi"/>
          <w:sz w:val="24"/>
          <w:szCs w:val="24"/>
        </w:rPr>
        <w:t xml:space="preserve"> were </w:t>
      </w:r>
      <w:r w:rsidR="004369DE" w:rsidRPr="00765520">
        <w:rPr>
          <w:rFonts w:cstheme="minorHAnsi"/>
          <w:sz w:val="24"/>
          <w:szCs w:val="24"/>
        </w:rPr>
        <w:t xml:space="preserve">up </w:t>
      </w:r>
      <w:r w:rsidRPr="00765520">
        <w:rPr>
          <w:rFonts w:cstheme="minorHAnsi"/>
          <w:sz w:val="24"/>
          <w:szCs w:val="24"/>
        </w:rPr>
        <w:t>$</w:t>
      </w:r>
      <w:r w:rsidR="004369DE" w:rsidRPr="00765520">
        <w:rPr>
          <w:rFonts w:cstheme="minorHAnsi"/>
          <w:sz w:val="24"/>
          <w:szCs w:val="24"/>
        </w:rPr>
        <w:t>6</w:t>
      </w:r>
      <w:r w:rsidR="004369DE">
        <w:rPr>
          <w:rFonts w:cstheme="minorHAnsi"/>
          <w:sz w:val="24"/>
          <w:szCs w:val="24"/>
        </w:rPr>
        <w:t xml:space="preserve"> </w:t>
      </w:r>
      <w:r>
        <w:rPr>
          <w:rFonts w:cstheme="minorHAnsi"/>
          <w:sz w:val="24"/>
          <w:szCs w:val="24"/>
        </w:rPr>
        <w:t>million from the prior year. FY</w:t>
      </w:r>
      <w:r w:rsidR="00F54F8E">
        <w:rPr>
          <w:rFonts w:cstheme="minorHAnsi"/>
          <w:sz w:val="24"/>
          <w:szCs w:val="24"/>
        </w:rPr>
        <w:t>21</w:t>
      </w:r>
      <w:r>
        <w:rPr>
          <w:rFonts w:cstheme="minorHAnsi"/>
          <w:sz w:val="24"/>
          <w:szCs w:val="24"/>
        </w:rPr>
        <w:t xml:space="preserve"> gifts from </w:t>
      </w:r>
      <w:r w:rsidRPr="00765520">
        <w:rPr>
          <w:rFonts w:cstheme="minorHAnsi"/>
          <w:color w:val="0D0D0D" w:themeColor="text1" w:themeTint="F2"/>
          <w:sz w:val="24"/>
          <w:szCs w:val="24"/>
        </w:rPr>
        <w:t>university foundations</w:t>
      </w:r>
      <w:r w:rsidR="004369DE">
        <w:rPr>
          <w:rFonts w:cstheme="minorHAnsi"/>
          <w:color w:val="0D0D0D" w:themeColor="text1" w:themeTint="F2"/>
          <w:sz w:val="24"/>
          <w:szCs w:val="24"/>
        </w:rPr>
        <w:t>, corporations, non-profits</w:t>
      </w:r>
      <w:r w:rsidR="00A83E68">
        <w:rPr>
          <w:rFonts w:cstheme="minorHAnsi"/>
          <w:color w:val="0D0D0D" w:themeColor="text1" w:themeTint="F2"/>
          <w:sz w:val="24"/>
          <w:szCs w:val="24"/>
        </w:rPr>
        <w:t>,</w:t>
      </w:r>
      <w:r w:rsidR="004369DE">
        <w:rPr>
          <w:rFonts w:cstheme="minorHAnsi"/>
          <w:color w:val="0D0D0D" w:themeColor="text1" w:themeTint="F2"/>
          <w:sz w:val="24"/>
          <w:szCs w:val="24"/>
        </w:rPr>
        <w:t xml:space="preserve"> and other donor types each</w:t>
      </w:r>
      <w:r w:rsidRPr="00765520">
        <w:rPr>
          <w:rFonts w:cstheme="minorHAnsi"/>
          <w:color w:val="0D0D0D" w:themeColor="text1" w:themeTint="F2"/>
          <w:sz w:val="24"/>
          <w:szCs w:val="24"/>
        </w:rPr>
        <w:t xml:space="preserve"> increased $</w:t>
      </w:r>
      <w:r w:rsidR="008D7D32" w:rsidRPr="00765520">
        <w:rPr>
          <w:rFonts w:cstheme="minorHAnsi"/>
          <w:color w:val="0D0D0D" w:themeColor="text1" w:themeTint="F2"/>
          <w:sz w:val="24"/>
          <w:szCs w:val="24"/>
        </w:rPr>
        <w:t xml:space="preserve">1 </w:t>
      </w:r>
      <w:r w:rsidRPr="00765520">
        <w:rPr>
          <w:rFonts w:cstheme="minorHAnsi"/>
          <w:color w:val="0D0D0D" w:themeColor="text1" w:themeTint="F2"/>
          <w:sz w:val="24"/>
          <w:szCs w:val="24"/>
        </w:rPr>
        <w:t>million</w:t>
      </w:r>
      <w:r w:rsidR="00A83E68">
        <w:rPr>
          <w:rFonts w:cstheme="minorHAnsi"/>
          <w:color w:val="0D0D0D" w:themeColor="text1" w:themeTint="F2"/>
          <w:sz w:val="24"/>
          <w:szCs w:val="24"/>
        </w:rPr>
        <w:t>,</w:t>
      </w:r>
      <w:r w:rsidR="004369DE">
        <w:rPr>
          <w:rFonts w:cstheme="minorHAnsi"/>
          <w:color w:val="0D0D0D" w:themeColor="text1" w:themeTint="F2"/>
          <w:sz w:val="24"/>
          <w:szCs w:val="24"/>
        </w:rPr>
        <w:t xml:space="preserve"> while alumni gifts increased</w:t>
      </w:r>
      <w:r w:rsidRPr="00162FC5">
        <w:rPr>
          <w:rFonts w:cstheme="minorHAnsi"/>
          <w:color w:val="FF0000"/>
          <w:sz w:val="24"/>
          <w:szCs w:val="24"/>
        </w:rPr>
        <w:t xml:space="preserve"> </w:t>
      </w:r>
      <w:r w:rsidRPr="00765520">
        <w:rPr>
          <w:rFonts w:cstheme="minorHAnsi"/>
          <w:sz w:val="24"/>
          <w:szCs w:val="24"/>
        </w:rPr>
        <w:t>$</w:t>
      </w:r>
      <w:r w:rsidR="004369DE" w:rsidRPr="00765520">
        <w:rPr>
          <w:rFonts w:cstheme="minorHAnsi"/>
          <w:sz w:val="24"/>
          <w:szCs w:val="24"/>
        </w:rPr>
        <w:t xml:space="preserve">2 </w:t>
      </w:r>
      <w:r w:rsidRPr="00765520">
        <w:rPr>
          <w:rFonts w:cstheme="minorHAnsi"/>
          <w:sz w:val="24"/>
          <w:szCs w:val="24"/>
        </w:rPr>
        <w:t>million.</w:t>
      </w:r>
      <w:r>
        <w:rPr>
          <w:rFonts w:cstheme="minorHAnsi"/>
          <w:sz w:val="24"/>
          <w:szCs w:val="24"/>
        </w:rPr>
        <w:t xml:space="preserve"> FY</w:t>
      </w:r>
      <w:r w:rsidR="00F54F8E">
        <w:rPr>
          <w:rFonts w:cstheme="minorHAnsi"/>
          <w:sz w:val="24"/>
          <w:szCs w:val="24"/>
        </w:rPr>
        <w:t>20</w:t>
      </w:r>
      <w:r w:rsidR="00CB7299">
        <w:rPr>
          <w:rFonts w:cstheme="minorHAnsi"/>
          <w:sz w:val="24"/>
          <w:szCs w:val="24"/>
        </w:rPr>
        <w:t xml:space="preserve"> </w:t>
      </w:r>
      <w:r>
        <w:rPr>
          <w:rFonts w:cstheme="minorHAnsi"/>
          <w:sz w:val="24"/>
          <w:szCs w:val="24"/>
        </w:rPr>
        <w:t xml:space="preserve">gifts from the non-profits </w:t>
      </w:r>
      <w:r w:rsidR="00F54F8E">
        <w:rPr>
          <w:rFonts w:cstheme="minorHAnsi"/>
          <w:sz w:val="24"/>
          <w:szCs w:val="24"/>
        </w:rPr>
        <w:t>de</w:t>
      </w:r>
      <w:r>
        <w:rPr>
          <w:rFonts w:cstheme="minorHAnsi"/>
          <w:sz w:val="24"/>
          <w:szCs w:val="24"/>
        </w:rPr>
        <w:t xml:space="preserve">creased $5 million, </w:t>
      </w:r>
      <w:r w:rsidR="00F54F8E">
        <w:rPr>
          <w:rFonts w:cstheme="minorHAnsi"/>
          <w:sz w:val="24"/>
          <w:szCs w:val="24"/>
        </w:rPr>
        <w:t>and corporations, alumni gifts</w:t>
      </w:r>
      <w:r w:rsidR="00CB7299">
        <w:rPr>
          <w:rFonts w:cstheme="minorHAnsi"/>
          <w:sz w:val="24"/>
          <w:szCs w:val="24"/>
        </w:rPr>
        <w:t>,</w:t>
      </w:r>
      <w:r w:rsidR="00F54F8E">
        <w:rPr>
          <w:rFonts w:cstheme="minorHAnsi"/>
          <w:sz w:val="24"/>
          <w:szCs w:val="24"/>
        </w:rPr>
        <w:t xml:space="preserve"> and other donor types each decreased $1 million. </w:t>
      </w:r>
    </w:p>
    <w:p w14:paraId="4E894FD9" w14:textId="77777777" w:rsidR="00E7511E" w:rsidRPr="00735A4C" w:rsidRDefault="00E7511E" w:rsidP="00E7511E">
      <w:pPr>
        <w:rPr>
          <w:rFonts w:cstheme="minorHAnsi"/>
          <w:sz w:val="20"/>
          <w:szCs w:val="24"/>
        </w:rPr>
      </w:pPr>
    </w:p>
    <w:p w14:paraId="04C908D5" w14:textId="1888E867" w:rsidR="00E7511E" w:rsidRDefault="00E7511E" w:rsidP="00A74468">
      <w:pPr>
        <w:spacing w:after="120"/>
        <w:rPr>
          <w:rFonts w:cstheme="minorHAnsi"/>
          <w:sz w:val="24"/>
          <w:szCs w:val="24"/>
        </w:rPr>
      </w:pPr>
      <w:r>
        <w:rPr>
          <w:rFonts w:cstheme="minorHAnsi"/>
          <w:sz w:val="24"/>
          <w:szCs w:val="24"/>
        </w:rPr>
        <w:t xml:space="preserve">Of the </w:t>
      </w:r>
      <w:r w:rsidRPr="00765520">
        <w:rPr>
          <w:rFonts w:cstheme="minorHAnsi"/>
          <w:sz w:val="24"/>
          <w:szCs w:val="24"/>
        </w:rPr>
        <w:t>$</w:t>
      </w:r>
      <w:r w:rsidR="004369DE" w:rsidRPr="00765520">
        <w:rPr>
          <w:rFonts w:cstheme="minorHAnsi"/>
          <w:sz w:val="24"/>
          <w:szCs w:val="24"/>
        </w:rPr>
        <w:t>26</w:t>
      </w:r>
      <w:r w:rsidR="004369DE">
        <w:rPr>
          <w:rFonts w:cstheme="minorHAnsi"/>
          <w:sz w:val="24"/>
          <w:szCs w:val="24"/>
        </w:rPr>
        <w:t xml:space="preserve"> </w:t>
      </w:r>
      <w:r>
        <w:rPr>
          <w:rFonts w:cstheme="minorHAnsi"/>
          <w:sz w:val="24"/>
          <w:szCs w:val="24"/>
        </w:rPr>
        <w:t>million in gifts received in FY</w:t>
      </w:r>
      <w:r w:rsidR="00D37B7A">
        <w:rPr>
          <w:rFonts w:cstheme="minorHAnsi"/>
          <w:sz w:val="24"/>
          <w:szCs w:val="24"/>
        </w:rPr>
        <w:t>21</w:t>
      </w:r>
      <w:r>
        <w:rPr>
          <w:rFonts w:cstheme="minorHAnsi"/>
          <w:sz w:val="24"/>
          <w:szCs w:val="24"/>
        </w:rPr>
        <w:t xml:space="preserve">, </w:t>
      </w:r>
      <w:r w:rsidR="004369DE" w:rsidRPr="00765520">
        <w:rPr>
          <w:rFonts w:cstheme="minorHAnsi"/>
          <w:sz w:val="24"/>
          <w:szCs w:val="24"/>
        </w:rPr>
        <w:t>85</w:t>
      </w:r>
      <w:r w:rsidRPr="00765520">
        <w:rPr>
          <w:rFonts w:cstheme="minorHAnsi"/>
          <w:sz w:val="24"/>
          <w:szCs w:val="24"/>
        </w:rPr>
        <w:t xml:space="preserve">% </w:t>
      </w:r>
      <w:r>
        <w:rPr>
          <w:rFonts w:cstheme="minorHAnsi"/>
          <w:sz w:val="24"/>
          <w:szCs w:val="24"/>
        </w:rPr>
        <w:t xml:space="preserve">were restricted, </w:t>
      </w:r>
      <w:r w:rsidR="004369DE" w:rsidRPr="00765520">
        <w:rPr>
          <w:rFonts w:cstheme="minorHAnsi"/>
          <w:sz w:val="24"/>
          <w:szCs w:val="24"/>
        </w:rPr>
        <w:t>10</w:t>
      </w:r>
      <w:r w:rsidRPr="00765520">
        <w:rPr>
          <w:rFonts w:cstheme="minorHAnsi"/>
          <w:sz w:val="24"/>
          <w:szCs w:val="24"/>
        </w:rPr>
        <w:t xml:space="preserve">% </w:t>
      </w:r>
      <w:r>
        <w:rPr>
          <w:rFonts w:cstheme="minorHAnsi"/>
          <w:sz w:val="24"/>
          <w:szCs w:val="24"/>
        </w:rPr>
        <w:t xml:space="preserve">were endowed, and </w:t>
      </w:r>
      <w:r w:rsidR="004369DE" w:rsidRPr="00765520">
        <w:rPr>
          <w:rFonts w:cstheme="minorHAnsi"/>
          <w:sz w:val="24"/>
          <w:szCs w:val="24"/>
        </w:rPr>
        <w:t>5</w:t>
      </w:r>
      <w:r w:rsidRPr="00765520">
        <w:rPr>
          <w:rFonts w:cstheme="minorHAnsi"/>
          <w:sz w:val="24"/>
          <w:szCs w:val="24"/>
        </w:rPr>
        <w:t xml:space="preserve">% </w:t>
      </w:r>
      <w:r>
        <w:rPr>
          <w:rFonts w:cstheme="minorHAnsi"/>
          <w:sz w:val="24"/>
          <w:szCs w:val="24"/>
        </w:rPr>
        <w:t>were unrestricted. Of the $</w:t>
      </w:r>
      <w:r w:rsidR="00D37B7A">
        <w:rPr>
          <w:rFonts w:cstheme="minorHAnsi"/>
          <w:sz w:val="24"/>
          <w:szCs w:val="24"/>
        </w:rPr>
        <w:t>20</w:t>
      </w:r>
      <w:r>
        <w:rPr>
          <w:rFonts w:cstheme="minorHAnsi"/>
          <w:sz w:val="24"/>
          <w:szCs w:val="24"/>
        </w:rPr>
        <w:t xml:space="preserve"> million in gifts received in FY</w:t>
      </w:r>
      <w:r w:rsidR="00D37B7A">
        <w:rPr>
          <w:rFonts w:cstheme="minorHAnsi"/>
          <w:sz w:val="24"/>
          <w:szCs w:val="24"/>
        </w:rPr>
        <w:t>20</w:t>
      </w:r>
      <w:r>
        <w:rPr>
          <w:rFonts w:cstheme="minorHAnsi"/>
          <w:sz w:val="24"/>
          <w:szCs w:val="24"/>
        </w:rPr>
        <w:t xml:space="preserve">, </w:t>
      </w:r>
      <w:r w:rsidR="00D37B7A">
        <w:rPr>
          <w:rFonts w:cstheme="minorHAnsi"/>
          <w:sz w:val="24"/>
          <w:szCs w:val="24"/>
        </w:rPr>
        <w:t>95</w:t>
      </w:r>
      <w:r>
        <w:rPr>
          <w:rFonts w:cstheme="minorHAnsi"/>
          <w:sz w:val="24"/>
          <w:szCs w:val="24"/>
        </w:rPr>
        <w:t xml:space="preserve">% were restricted, </w:t>
      </w:r>
      <w:r w:rsidR="00D37B7A">
        <w:rPr>
          <w:rFonts w:cstheme="minorHAnsi"/>
          <w:sz w:val="24"/>
          <w:szCs w:val="24"/>
        </w:rPr>
        <w:t>4</w:t>
      </w:r>
      <w:r>
        <w:rPr>
          <w:rFonts w:cstheme="minorHAnsi"/>
          <w:sz w:val="24"/>
          <w:szCs w:val="24"/>
        </w:rPr>
        <w:t xml:space="preserve">% were endowed, and </w:t>
      </w:r>
      <w:r w:rsidR="00D37B7A">
        <w:rPr>
          <w:rFonts w:cstheme="minorHAnsi"/>
          <w:sz w:val="24"/>
          <w:szCs w:val="24"/>
        </w:rPr>
        <w:t>1</w:t>
      </w:r>
      <w:r>
        <w:rPr>
          <w:rFonts w:cstheme="minorHAnsi"/>
          <w:sz w:val="24"/>
          <w:szCs w:val="24"/>
        </w:rPr>
        <w:t>% were unrestricted.</w:t>
      </w:r>
    </w:p>
    <w:p w14:paraId="7193A776" w14:textId="10D32A21" w:rsidR="00D86964" w:rsidRDefault="00751601" w:rsidP="00DF23E5">
      <w:pPr>
        <w:spacing w:before="160" w:after="160" w:line="256" w:lineRule="auto"/>
        <w:jc w:val="center"/>
        <w:rPr>
          <w:rFonts w:cstheme="minorHAnsi"/>
        </w:rPr>
      </w:pPr>
      <w:r>
        <w:rPr>
          <w:noProof/>
        </w:rPr>
        <w:lastRenderedPageBreak/>
        <w:drawing>
          <wp:inline distT="0" distB="0" distL="0" distR="0" wp14:anchorId="1A791F40" wp14:editId="09D5D83D">
            <wp:extent cx="4572000" cy="2736850"/>
            <wp:effectExtent l="0" t="0" r="0" b="6350"/>
            <wp:docPr id="49" name="Chart 49">
              <a:extLst xmlns:a="http://schemas.openxmlformats.org/drawingml/2006/main">
                <a:ext uri="{FF2B5EF4-FFF2-40B4-BE49-F238E27FC236}">
                  <a16:creationId xmlns:a16="http://schemas.microsoft.com/office/drawing/2014/main" id="{00000000-0008-0000-0000-000005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7FFC09" w14:textId="2C139C44" w:rsidR="00E7511E" w:rsidRDefault="00E7511E" w:rsidP="00E7511E">
      <w:pPr>
        <w:pStyle w:val="AFR3"/>
        <w:rPr>
          <w:rFonts w:cstheme="minorHAnsi"/>
        </w:rPr>
      </w:pPr>
      <w:r>
        <w:rPr>
          <w:rFonts w:cstheme="minorHAnsi"/>
        </w:rPr>
        <w:t>Operating Expenses</w:t>
      </w:r>
    </w:p>
    <w:p w14:paraId="77D63FC3" w14:textId="4FDC8BBF" w:rsidR="005756E3" w:rsidRDefault="00E7511E">
      <w:pPr>
        <w:spacing w:after="240"/>
      </w:pPr>
      <w:r>
        <w:rPr>
          <w:rFonts w:eastAsia="Times New Roman" w:cstheme="minorHAnsi"/>
          <w:sz w:val="24"/>
        </w:rPr>
        <w:t>Table 6 shows expenses on a functional basis while Table 7 shows expenses by natural classification.</w:t>
      </w:r>
    </w:p>
    <w:p w14:paraId="1AE46154" w14:textId="77777777" w:rsidR="002051B3" w:rsidRDefault="005756E3" w:rsidP="002051B3">
      <w:pPr>
        <w:spacing w:after="480"/>
        <w:rPr>
          <w:rFonts w:eastAsia="Times New Roman" w:cstheme="minorHAnsi"/>
          <w:sz w:val="24"/>
        </w:rPr>
      </w:pPr>
      <w:r w:rsidRPr="005756E3">
        <w:rPr>
          <w:noProof/>
        </w:rPr>
        <w:drawing>
          <wp:inline distT="0" distB="0" distL="0" distR="0" wp14:anchorId="44AD9777" wp14:editId="3863CE2B">
            <wp:extent cx="5943600" cy="3358226"/>
            <wp:effectExtent l="0" t="0" r="0" b="0"/>
            <wp:docPr id="48" name="Picture 48" descr="Table 6: Operating Expenses by Functional Classification&#10;For the Years Ended June 30 &#10;(In millions)   &#10; 2021  2020  2019  2018  2017 &#10;Instruction   $185  27%  $183  25%  $181  25%  $174  25%  $171  26%&#10;Academic support  77  11%  73  10%  73  10%  74  11%  71  10%&#10;Student services  57  9%  62  9%  61  9%  58  8%  54  8%&#10;Subtotal  319  47%  318  44%  315  44%  306  44%  296  44%&#10;Research  86  13%  80  11%  80  11%  76  11%  73  11%&#10;Public service  60  9%  58  8%  59  8%  57  8%  60  9%&#10;Institutional support  12  2%  65  9%  74  10%  64  9%  55  8%&#10;Operation and maintenance of plant  63  9%  50  7%  52  7%  51  8%  51  7%&#10;Depreciation and amortization  42  6%  42  6%  41  6%  40  6%  38  6%&#10;Student aid  40  6%  40  6%  36  5%  34  5%  31  5%&#10;Auxiliary enterprises  57  8%  63  9%  67  9%  64  9%  64  10%&#10;Total Operating Expenses  $679  100%  $716  100%  $724  100%  $692  100%  $668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358226"/>
                    </a:xfrm>
                    <a:prstGeom prst="rect">
                      <a:avLst/>
                    </a:prstGeom>
                    <a:noFill/>
                    <a:ln>
                      <a:noFill/>
                    </a:ln>
                  </pic:spPr>
                </pic:pic>
              </a:graphicData>
            </a:graphic>
          </wp:inline>
        </w:drawing>
      </w:r>
    </w:p>
    <w:p w14:paraId="0C0CAC48" w14:textId="5290DFBE" w:rsidR="005756E3" w:rsidRDefault="00751601" w:rsidP="002051B3">
      <w:pPr>
        <w:spacing w:after="480"/>
        <w:rPr>
          <w:rFonts w:eastAsia="Times New Roman" w:cstheme="minorHAnsi"/>
          <w:sz w:val="24"/>
        </w:rPr>
      </w:pPr>
      <w:r w:rsidRPr="005756E3">
        <w:rPr>
          <w:noProof/>
        </w:rPr>
        <w:lastRenderedPageBreak/>
        <w:drawing>
          <wp:inline distT="0" distB="0" distL="0" distR="0" wp14:anchorId="6B53E75B" wp14:editId="29015263">
            <wp:extent cx="5943600" cy="3191338"/>
            <wp:effectExtent l="0" t="0" r="0" b="9525"/>
            <wp:docPr id="46" name="Picture 46" descr="Table 7: Total Expenses by Natural Classification   &#10;For the Years Ended June 30     &#10;(In millions)        &#10; 2021  2020  2019  2018  2017 &#10;Operating:          &#10;Compensation  $336  49%  $331  46%  $322  44%  $310  45%  $302  45%&#10;Benefits  87  13%  129  18%  139  19%  124  18%  116  17%&#10;Utilities  26  4%  28  4%  31  4%  30  4%  31  4%&#10;Supplies and Services  148  21%  146  20%  155  21%  154  22%  150  22%&#10;Depreciation and Amortization  42  6%  42  6%  41  6%  40  5%  38  6%&#10;Student Aid  40  6%  40  5%  36  5%  34  5%  31  5%&#10;Total Operating Expenses  679  99%  716  99%  724  99%  692  99%  668  99%&#10;Nonoperating:          &#10;Interest   4  1%  4  1%  4  1%  4  1%  5  1%&#10;Total Expenses  $683  100%  $720  100%  $728  100%  $696  100%  $673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91338"/>
                    </a:xfrm>
                    <a:prstGeom prst="rect">
                      <a:avLst/>
                    </a:prstGeom>
                    <a:noFill/>
                    <a:ln>
                      <a:noFill/>
                    </a:ln>
                  </pic:spPr>
                </pic:pic>
              </a:graphicData>
            </a:graphic>
          </wp:inline>
        </w:drawing>
      </w:r>
    </w:p>
    <w:p w14:paraId="364C042C" w14:textId="354C0AF4" w:rsidR="005756E3" w:rsidRDefault="00E7511E" w:rsidP="00E7511E">
      <w:pPr>
        <w:rPr>
          <w:rFonts w:eastAsia="Times New Roman" w:cstheme="minorHAnsi"/>
          <w:sz w:val="24"/>
          <w:szCs w:val="20"/>
        </w:rPr>
      </w:pPr>
      <w:r>
        <w:rPr>
          <w:rFonts w:eastAsia="Times New Roman" w:cstheme="minorHAnsi"/>
          <w:sz w:val="24"/>
          <w:szCs w:val="20"/>
        </w:rPr>
        <w:t>Compensation</w:t>
      </w:r>
      <w:r w:rsidR="004419CE">
        <w:rPr>
          <w:rFonts w:eastAsia="Times New Roman" w:cstheme="minorHAnsi"/>
          <w:sz w:val="24"/>
          <w:szCs w:val="20"/>
        </w:rPr>
        <w:t xml:space="preserve"> costs were $336 million in FY21, up 1.5% from the FY20 total of $331 million while FY21 </w:t>
      </w:r>
      <w:r>
        <w:rPr>
          <w:rFonts w:eastAsia="Times New Roman" w:cstheme="minorHAnsi"/>
          <w:sz w:val="24"/>
          <w:szCs w:val="20"/>
        </w:rPr>
        <w:t xml:space="preserve">benefits </w:t>
      </w:r>
      <w:r w:rsidR="004419CE">
        <w:rPr>
          <w:rFonts w:eastAsia="Times New Roman" w:cstheme="minorHAnsi"/>
          <w:sz w:val="24"/>
          <w:szCs w:val="20"/>
        </w:rPr>
        <w:t xml:space="preserve">totaled $87 million, down 33% from the FY20 total of $129 million. The FY21 decrease in benefits is primarily related to the changes in the System’s OPEB plan noted on page </w:t>
      </w:r>
      <w:r w:rsidR="004419CE" w:rsidRPr="00831AE2">
        <w:rPr>
          <w:rFonts w:eastAsia="Times New Roman" w:cstheme="minorHAnsi"/>
          <w:sz w:val="24"/>
          <w:szCs w:val="20"/>
        </w:rPr>
        <w:t>17</w:t>
      </w:r>
      <w:r w:rsidR="004419CE" w:rsidRPr="006E44D1">
        <w:rPr>
          <w:rFonts w:eastAsia="Times New Roman" w:cstheme="minorHAnsi"/>
          <w:sz w:val="24"/>
          <w:szCs w:val="20"/>
        </w:rPr>
        <w:t>.</w:t>
      </w:r>
      <w:r w:rsidR="004419CE">
        <w:rPr>
          <w:rFonts w:eastAsia="Times New Roman" w:cstheme="minorHAnsi"/>
          <w:sz w:val="24"/>
          <w:szCs w:val="20"/>
        </w:rPr>
        <w:t xml:space="preserve"> Compensation costs for </w:t>
      </w:r>
      <w:r>
        <w:rPr>
          <w:rFonts w:eastAsia="Times New Roman" w:cstheme="minorHAnsi"/>
          <w:sz w:val="24"/>
          <w:szCs w:val="20"/>
        </w:rPr>
        <w:t>FY</w:t>
      </w:r>
      <w:r w:rsidR="00D37B7A">
        <w:rPr>
          <w:rFonts w:eastAsia="Times New Roman" w:cstheme="minorHAnsi"/>
          <w:sz w:val="24"/>
          <w:szCs w:val="20"/>
        </w:rPr>
        <w:t>20</w:t>
      </w:r>
      <w:r>
        <w:rPr>
          <w:rFonts w:eastAsia="Times New Roman" w:cstheme="minorHAnsi"/>
          <w:sz w:val="24"/>
          <w:szCs w:val="20"/>
        </w:rPr>
        <w:t xml:space="preserve"> saw a</w:t>
      </w:r>
      <w:r w:rsidR="004419CE">
        <w:rPr>
          <w:rFonts w:eastAsia="Times New Roman" w:cstheme="minorHAnsi"/>
          <w:sz w:val="24"/>
          <w:szCs w:val="20"/>
        </w:rPr>
        <w:t xml:space="preserve">n increase of 2.8% over the FY19 total of $322 million and FY20 benefits were down 7% from the FY19 total of $139 million. </w:t>
      </w:r>
    </w:p>
    <w:p w14:paraId="2EDDD590" w14:textId="77777777" w:rsidR="00E7511E" w:rsidRDefault="00E7511E" w:rsidP="00441FE1">
      <w:pPr>
        <w:pStyle w:val="AFR2"/>
        <w:pBdr>
          <w:bottom w:val="single" w:sz="8" w:space="2" w:color="00688D"/>
        </w:pBdr>
        <w:rPr>
          <w:rFonts w:cstheme="minorHAnsi"/>
        </w:rPr>
      </w:pPr>
      <w:r>
        <w:rPr>
          <w:rFonts w:cstheme="minorHAnsi"/>
        </w:rPr>
        <w:t>Statements of Cash Flows</w:t>
      </w:r>
    </w:p>
    <w:p w14:paraId="0F56C7A9" w14:textId="6F0F3994" w:rsidR="00E7511E" w:rsidRDefault="00E7511E" w:rsidP="00E7511E">
      <w:pPr>
        <w:tabs>
          <w:tab w:val="left" w:pos="540"/>
        </w:tabs>
        <w:rPr>
          <w:rFonts w:eastAsia="Times New Roman" w:cstheme="minorHAnsi"/>
          <w:sz w:val="24"/>
          <w:szCs w:val="20"/>
        </w:rPr>
      </w:pPr>
      <w:r>
        <w:rPr>
          <w:rFonts w:eastAsia="Times New Roman" w:cstheme="minorHAnsi"/>
          <w:sz w:val="24"/>
        </w:rPr>
        <w:t>The Statements of Cash Flows examines the changes in cash position for each year of operations. Its primary purpose is to provide relevant information about the cash receipts and cash payments of the System during the fiscal year. These statements help users assess the System’s ability to generate future cash flows, its ability to meet obligations as they become due</w:t>
      </w:r>
      <w:r w:rsidR="00CB7299">
        <w:rPr>
          <w:rFonts w:eastAsia="Times New Roman" w:cstheme="minorHAnsi"/>
          <w:sz w:val="24"/>
        </w:rPr>
        <w:t>,</w:t>
      </w:r>
      <w:r>
        <w:rPr>
          <w:rFonts w:eastAsia="Times New Roman" w:cstheme="minorHAnsi"/>
          <w:sz w:val="24"/>
        </w:rPr>
        <w:t xml:space="preserve"> and its need for external financing.</w:t>
      </w:r>
      <w:r>
        <w:rPr>
          <w:rFonts w:eastAsia="Times New Roman" w:cstheme="minorHAnsi"/>
          <w:sz w:val="24"/>
          <w:szCs w:val="20"/>
        </w:rPr>
        <w:t xml:space="preserve"> </w:t>
      </w:r>
    </w:p>
    <w:p w14:paraId="67A55391" w14:textId="3CB70EBB" w:rsidR="004148DE" w:rsidRPr="00441FE1" w:rsidRDefault="004148DE" w:rsidP="00441FE1">
      <w:pPr>
        <w:pStyle w:val="AFR2"/>
        <w:pBdr>
          <w:bottom w:val="single" w:sz="8" w:space="2" w:color="00688D"/>
        </w:pBdr>
        <w:rPr>
          <w:rFonts w:cstheme="minorHAnsi"/>
        </w:rPr>
      </w:pPr>
      <w:r w:rsidRPr="005E51F2">
        <w:rPr>
          <w:rFonts w:cstheme="minorHAnsi"/>
        </w:rPr>
        <w:t>Statements of Fiduciary net Position</w:t>
      </w:r>
    </w:p>
    <w:p w14:paraId="544F2803" w14:textId="7CF1FA55" w:rsidR="00441FE1" w:rsidRDefault="00441FE1" w:rsidP="00441FE1">
      <w:pPr>
        <w:tabs>
          <w:tab w:val="left" w:pos="540"/>
        </w:tabs>
        <w:rPr>
          <w:rFonts w:eastAsia="Times New Roman" w:cstheme="minorHAnsi"/>
          <w:sz w:val="24"/>
        </w:rPr>
      </w:pPr>
      <w:r>
        <w:rPr>
          <w:rFonts w:eastAsia="Times New Roman" w:cstheme="minorHAnsi"/>
          <w:sz w:val="24"/>
        </w:rPr>
        <w:t>The Statements of Fiduciary Net Position present assets that the System holds in a fiduciary or trustee capacity on behalf of various external entities and groups, including the following:</w:t>
      </w:r>
    </w:p>
    <w:p w14:paraId="0AC559D6" w14:textId="1F06715B" w:rsidR="00441FE1" w:rsidRDefault="00441FE1" w:rsidP="00441FE1">
      <w:pPr>
        <w:tabs>
          <w:tab w:val="left" w:pos="540"/>
        </w:tabs>
        <w:rPr>
          <w:rFonts w:eastAsia="Times New Roman" w:cstheme="minorHAnsi"/>
          <w:sz w:val="24"/>
        </w:rPr>
      </w:pPr>
    </w:p>
    <w:p w14:paraId="55378540" w14:textId="708BD7C6" w:rsidR="00441FE1" w:rsidRPr="00C66742" w:rsidRDefault="00C66742" w:rsidP="00C66742">
      <w:pPr>
        <w:pStyle w:val="ListParagraph"/>
        <w:numPr>
          <w:ilvl w:val="0"/>
          <w:numId w:val="48"/>
        </w:numPr>
        <w:tabs>
          <w:tab w:val="left" w:pos="540"/>
        </w:tabs>
        <w:rPr>
          <w:rFonts w:asciiTheme="minorHAnsi" w:hAnsiTheme="minorHAnsi" w:cstheme="minorHAnsi"/>
          <w:szCs w:val="22"/>
        </w:rPr>
      </w:pPr>
      <w:r w:rsidRPr="00C66742">
        <w:rPr>
          <w:rFonts w:asciiTheme="minorHAnsi" w:hAnsiTheme="minorHAnsi" w:cstheme="minorHAnsi"/>
          <w:szCs w:val="22"/>
        </w:rPr>
        <w:t>UMS</w:t>
      </w:r>
      <w:r>
        <w:rPr>
          <w:rFonts w:asciiTheme="minorHAnsi" w:hAnsiTheme="minorHAnsi" w:cstheme="minorHAnsi"/>
          <w:szCs w:val="22"/>
        </w:rPr>
        <w:t xml:space="preserve"> </w:t>
      </w:r>
      <w:r>
        <w:rPr>
          <w:rFonts w:ascii="Calibri" w:hAnsi="Calibri" w:cs="Tahoma"/>
        </w:rPr>
        <w:t>OPEB Trust</w:t>
      </w:r>
    </w:p>
    <w:p w14:paraId="3FE1B513" w14:textId="55E86FB9" w:rsidR="00C66742" w:rsidRDefault="00C66742" w:rsidP="00C66742">
      <w:pPr>
        <w:pStyle w:val="ListParagraph"/>
        <w:numPr>
          <w:ilvl w:val="0"/>
          <w:numId w:val="48"/>
        </w:numPr>
        <w:tabs>
          <w:tab w:val="left" w:pos="540"/>
        </w:tabs>
        <w:rPr>
          <w:rFonts w:asciiTheme="minorHAnsi" w:hAnsiTheme="minorHAnsi" w:cstheme="minorHAnsi"/>
          <w:szCs w:val="22"/>
        </w:rPr>
      </w:pPr>
      <w:r>
        <w:rPr>
          <w:rFonts w:asciiTheme="minorHAnsi" w:hAnsiTheme="minorHAnsi" w:cstheme="minorHAnsi"/>
          <w:szCs w:val="22"/>
        </w:rPr>
        <w:t>UMS Defined Benefit plan</w:t>
      </w:r>
    </w:p>
    <w:p w14:paraId="5112DF60" w14:textId="0A51DFC1" w:rsidR="00C66742" w:rsidRPr="00C66742" w:rsidRDefault="00C66742" w:rsidP="00C66742">
      <w:pPr>
        <w:pStyle w:val="ListParagraph"/>
        <w:numPr>
          <w:ilvl w:val="0"/>
          <w:numId w:val="48"/>
        </w:numPr>
        <w:tabs>
          <w:tab w:val="left" w:pos="540"/>
        </w:tabs>
        <w:rPr>
          <w:rFonts w:asciiTheme="minorHAnsi" w:hAnsiTheme="minorHAnsi" w:cstheme="minorHAnsi"/>
          <w:szCs w:val="22"/>
        </w:rPr>
      </w:pPr>
      <w:r>
        <w:rPr>
          <w:rFonts w:ascii="Calibri" w:hAnsi="Calibri" w:cs="Tahoma"/>
        </w:rPr>
        <w:t>Maine Maritime Academy</w:t>
      </w:r>
    </w:p>
    <w:p w14:paraId="0201A4B1" w14:textId="48EA2A7F" w:rsidR="00C66742" w:rsidRPr="00C66742" w:rsidRDefault="00C66742" w:rsidP="00C66742">
      <w:pPr>
        <w:pStyle w:val="ListParagraph"/>
        <w:numPr>
          <w:ilvl w:val="0"/>
          <w:numId w:val="48"/>
        </w:numPr>
        <w:tabs>
          <w:tab w:val="left" w:pos="540"/>
        </w:tabs>
        <w:rPr>
          <w:rFonts w:ascii="Calibri" w:hAnsi="Calibri" w:cs="Tahoma"/>
        </w:rPr>
      </w:pPr>
      <w:r>
        <w:rPr>
          <w:rFonts w:ascii="Calibri" w:hAnsi="Calibri" w:cs="Tahoma"/>
        </w:rPr>
        <w:t>University of Maine School of Law Foundation</w:t>
      </w:r>
    </w:p>
    <w:p w14:paraId="078A915A" w14:textId="08E66EAD" w:rsidR="00C66742" w:rsidRPr="00C66742" w:rsidRDefault="00C66742" w:rsidP="00C66742">
      <w:pPr>
        <w:pStyle w:val="ListParagraph"/>
        <w:numPr>
          <w:ilvl w:val="0"/>
          <w:numId w:val="48"/>
        </w:numPr>
        <w:tabs>
          <w:tab w:val="left" w:pos="540"/>
        </w:tabs>
        <w:rPr>
          <w:rFonts w:ascii="Calibri" w:hAnsi="Calibri" w:cs="Tahoma"/>
        </w:rPr>
      </w:pPr>
      <w:r w:rsidRPr="00C66742">
        <w:rPr>
          <w:rFonts w:ascii="Calibri" w:hAnsi="Calibri" w:cs="Tahoma"/>
        </w:rPr>
        <w:t>University of Maine at Fort Kent Foundation</w:t>
      </w:r>
    </w:p>
    <w:p w14:paraId="0B30A8C2" w14:textId="6061DA17" w:rsidR="00C66742" w:rsidRPr="00C66742" w:rsidRDefault="00C66742" w:rsidP="00C66742">
      <w:pPr>
        <w:pStyle w:val="ListParagraph"/>
        <w:numPr>
          <w:ilvl w:val="0"/>
          <w:numId w:val="48"/>
        </w:numPr>
        <w:tabs>
          <w:tab w:val="left" w:pos="540"/>
        </w:tabs>
        <w:rPr>
          <w:rFonts w:ascii="Calibri" w:hAnsi="Calibri" w:cs="Tahoma"/>
        </w:rPr>
      </w:pPr>
      <w:r w:rsidRPr="00C66742">
        <w:rPr>
          <w:rFonts w:ascii="Calibri" w:hAnsi="Calibri" w:cs="Tahoma"/>
        </w:rPr>
        <w:lastRenderedPageBreak/>
        <w:t>University of Southern Maine Foundation</w:t>
      </w:r>
    </w:p>
    <w:p w14:paraId="24F87E1F" w14:textId="1A61B8D9" w:rsidR="00C66742" w:rsidRPr="00C66742" w:rsidRDefault="00C66742" w:rsidP="00C66742">
      <w:pPr>
        <w:pStyle w:val="ListParagraph"/>
        <w:numPr>
          <w:ilvl w:val="0"/>
          <w:numId w:val="48"/>
        </w:numPr>
        <w:tabs>
          <w:tab w:val="left" w:pos="540"/>
        </w:tabs>
        <w:rPr>
          <w:rFonts w:ascii="Calibri" w:hAnsi="Calibri" w:cs="Tahoma"/>
        </w:rPr>
      </w:pPr>
      <w:r w:rsidRPr="00C66742">
        <w:rPr>
          <w:rFonts w:ascii="Calibri" w:hAnsi="Calibri" w:cs="Tahoma"/>
        </w:rPr>
        <w:t>John L. Martin Scholarship Fund, Inc</w:t>
      </w:r>
      <w:r>
        <w:rPr>
          <w:rFonts w:ascii="Calibri" w:hAnsi="Calibri" w:cs="Tahoma"/>
        </w:rPr>
        <w:t>.</w:t>
      </w:r>
    </w:p>
    <w:p w14:paraId="5A6D307D" w14:textId="2A43D68C" w:rsidR="00C66742" w:rsidRPr="00C66742" w:rsidRDefault="00C66742" w:rsidP="00C66742">
      <w:pPr>
        <w:pStyle w:val="ListParagraph"/>
        <w:numPr>
          <w:ilvl w:val="0"/>
          <w:numId w:val="48"/>
        </w:numPr>
        <w:tabs>
          <w:tab w:val="left" w:pos="540"/>
        </w:tabs>
        <w:rPr>
          <w:rFonts w:ascii="Calibri" w:hAnsi="Calibri" w:cs="Tahoma"/>
        </w:rPr>
      </w:pPr>
      <w:r>
        <w:rPr>
          <w:rFonts w:ascii="Calibri" w:hAnsi="Calibri" w:cs="Tahoma"/>
        </w:rPr>
        <w:t>Student government groups</w:t>
      </w:r>
    </w:p>
    <w:p w14:paraId="1B55F5C8" w14:textId="3D3241DE" w:rsidR="00441FE1" w:rsidRDefault="00441FE1" w:rsidP="00441FE1">
      <w:pPr>
        <w:tabs>
          <w:tab w:val="left" w:pos="540"/>
        </w:tabs>
        <w:rPr>
          <w:rFonts w:eastAsia="Times New Roman" w:cstheme="minorHAnsi"/>
          <w:sz w:val="24"/>
        </w:rPr>
      </w:pPr>
    </w:p>
    <w:p w14:paraId="4C15B4BE" w14:textId="4A78F231" w:rsidR="00441FE1" w:rsidRDefault="00C66742" w:rsidP="00C66742">
      <w:pPr>
        <w:tabs>
          <w:tab w:val="left" w:pos="540"/>
        </w:tabs>
        <w:rPr>
          <w:rFonts w:cstheme="minorHAnsi"/>
          <w:sz w:val="24"/>
          <w:szCs w:val="24"/>
        </w:rPr>
      </w:pPr>
      <w:r w:rsidRPr="00C66742">
        <w:rPr>
          <w:rFonts w:cstheme="minorHAnsi"/>
          <w:sz w:val="24"/>
          <w:szCs w:val="24"/>
        </w:rPr>
        <w:t xml:space="preserve">As shown in the </w:t>
      </w:r>
      <w:r>
        <w:rPr>
          <w:rFonts w:cstheme="minorHAnsi"/>
          <w:sz w:val="24"/>
          <w:szCs w:val="24"/>
        </w:rPr>
        <w:t xml:space="preserve">Condensed Statements of Fiduciary Net Position in Table 8, the System holds a total of </w:t>
      </w:r>
      <w:r w:rsidR="005E51F2">
        <w:rPr>
          <w:rFonts w:cstheme="minorHAnsi"/>
          <w:sz w:val="24"/>
          <w:szCs w:val="24"/>
        </w:rPr>
        <w:t xml:space="preserve">$310 million in assets on behalf of the above noted entities. The vast majority of these assets are in the form of pooled investments, representing investment in the System’s MIP, either directly or indirectly through the UMS Endowment Pool. See the discussion of the UMS’ Managed Investment Pool and Endowments on pages </w:t>
      </w:r>
      <w:r w:rsidR="00287205" w:rsidRPr="00831AE2">
        <w:rPr>
          <w:rFonts w:cstheme="minorHAnsi"/>
          <w:sz w:val="24"/>
          <w:szCs w:val="24"/>
        </w:rPr>
        <w:t>19</w:t>
      </w:r>
      <w:r w:rsidR="00287205" w:rsidRPr="006E44D1">
        <w:rPr>
          <w:rFonts w:cstheme="minorHAnsi"/>
          <w:sz w:val="24"/>
          <w:szCs w:val="24"/>
        </w:rPr>
        <w:t xml:space="preserve"> </w:t>
      </w:r>
      <w:r w:rsidR="005E51F2" w:rsidRPr="006E44D1">
        <w:rPr>
          <w:rFonts w:cstheme="minorHAnsi"/>
          <w:sz w:val="24"/>
          <w:szCs w:val="24"/>
        </w:rPr>
        <w:t xml:space="preserve">and </w:t>
      </w:r>
      <w:r w:rsidR="00287205" w:rsidRPr="00831AE2">
        <w:rPr>
          <w:rFonts w:cstheme="minorHAnsi"/>
          <w:sz w:val="24"/>
          <w:szCs w:val="24"/>
        </w:rPr>
        <w:t>22</w:t>
      </w:r>
      <w:r w:rsidR="005E51F2">
        <w:rPr>
          <w:rFonts w:cstheme="minorHAnsi"/>
          <w:sz w:val="24"/>
          <w:szCs w:val="24"/>
        </w:rPr>
        <w:t xml:space="preserve">, respectively for more information about these investments. </w:t>
      </w:r>
    </w:p>
    <w:p w14:paraId="270E560C" w14:textId="61F59E81" w:rsidR="005E51F2" w:rsidRDefault="005E51F2" w:rsidP="00C66742">
      <w:pPr>
        <w:tabs>
          <w:tab w:val="left" w:pos="540"/>
        </w:tabs>
        <w:rPr>
          <w:rFonts w:cstheme="minorHAnsi"/>
          <w:sz w:val="24"/>
          <w:szCs w:val="24"/>
        </w:rPr>
      </w:pPr>
    </w:p>
    <w:p w14:paraId="26CEA1E4" w14:textId="1DF019A4" w:rsidR="005E51F2" w:rsidRDefault="005E51F2" w:rsidP="00C66742">
      <w:pPr>
        <w:tabs>
          <w:tab w:val="left" w:pos="540"/>
        </w:tabs>
        <w:rPr>
          <w:rFonts w:cstheme="minorHAnsi"/>
          <w:sz w:val="24"/>
          <w:szCs w:val="24"/>
        </w:rPr>
      </w:pPr>
      <w:r>
        <w:rPr>
          <w:rFonts w:cstheme="minorHAnsi"/>
          <w:sz w:val="24"/>
          <w:szCs w:val="24"/>
        </w:rPr>
        <w:t xml:space="preserve">The Statements of Fiduciary Net Position also present </w:t>
      </w:r>
      <w:r w:rsidR="002F0208">
        <w:rPr>
          <w:rFonts w:cstheme="minorHAnsi"/>
          <w:sz w:val="24"/>
          <w:szCs w:val="24"/>
        </w:rPr>
        <w:t xml:space="preserve">liabilities and </w:t>
      </w:r>
      <w:r>
        <w:rPr>
          <w:rFonts w:cstheme="minorHAnsi"/>
          <w:sz w:val="24"/>
          <w:szCs w:val="24"/>
        </w:rPr>
        <w:t>net position associated with the assets held on behalf of the external entities.</w:t>
      </w:r>
    </w:p>
    <w:p w14:paraId="53F9BAF5" w14:textId="5CD1738A" w:rsidR="005E51F2" w:rsidRDefault="005E51F2" w:rsidP="00C66742">
      <w:pPr>
        <w:tabs>
          <w:tab w:val="left" w:pos="540"/>
        </w:tabs>
        <w:rPr>
          <w:rFonts w:cstheme="minorHAnsi"/>
          <w:sz w:val="24"/>
          <w:szCs w:val="24"/>
        </w:rPr>
      </w:pPr>
    </w:p>
    <w:p w14:paraId="47FAE74A" w14:textId="414CF9F9" w:rsidR="007F6438" w:rsidRPr="00013387" w:rsidRDefault="00287205" w:rsidP="00661599">
      <w:pPr>
        <w:pStyle w:val="AFR2"/>
        <w:pBdr>
          <w:bottom w:val="single" w:sz="8" w:space="2" w:color="00688D"/>
        </w:pBdr>
        <w:spacing w:before="0" w:after="0"/>
        <w:jc w:val="center"/>
        <w:rPr>
          <w:rFonts w:cstheme="minorHAnsi"/>
          <w:b w:val="0"/>
          <w:i w:val="0"/>
          <w:sz w:val="20"/>
        </w:rPr>
      </w:pPr>
      <w:r w:rsidRPr="00287205">
        <w:drawing>
          <wp:inline distT="0" distB="0" distL="0" distR="0" wp14:anchorId="21B87F0B" wp14:editId="79173032">
            <wp:extent cx="5638800" cy="3009900"/>
            <wp:effectExtent l="0" t="0" r="0" b="0"/>
            <wp:docPr id="71" name="Picture 71" descr="Table 8: Condensed Statements of Fiduciary Net Position as of June 30     &#10;(In millions)     &#10; 2021 % Change 2020 % Change 2019&#10;Cash and cash equivalents  $2  0%  $2  0%  $2 &#10;Investments - pooled  283  30%  218  4%  209 &#10;Investments - other  25  0%  25  -7%  27 &#10;Total Assets  310  27%  245  3%  238 &#10;     &#10;Total Liabilities  -  0%  -  0%  - &#10;Pensions  25  0%  25  -7%  27 &#10;Postemployment benefits other than pensions  180  31%  137  5%  131 &#10;Pool participants  102  26%  81  4%  78 &#10;Student and other groups  3  50%  2  0%  2 &#10;Total Net Position  $310  27%  $245  3%  $2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r="1987" b="2227"/>
                    <a:stretch/>
                  </pic:blipFill>
                  <pic:spPr bwMode="auto">
                    <a:xfrm>
                      <a:off x="0" y="0"/>
                      <a:ext cx="5638800" cy="3009900"/>
                    </a:xfrm>
                    <a:prstGeom prst="rect">
                      <a:avLst/>
                    </a:prstGeom>
                    <a:noFill/>
                    <a:ln>
                      <a:noFill/>
                    </a:ln>
                    <a:extLst>
                      <a:ext uri="{53640926-AAD7-44D8-BBD7-CCE9431645EC}">
                        <a14:shadowObscured xmlns:a14="http://schemas.microsoft.com/office/drawing/2010/main"/>
                      </a:ext>
                    </a:extLst>
                  </pic:spPr>
                </pic:pic>
              </a:graphicData>
            </a:graphic>
          </wp:inline>
        </w:drawing>
      </w:r>
    </w:p>
    <w:p w14:paraId="323B06DA" w14:textId="2D0C3285" w:rsidR="004148DE" w:rsidRPr="00B77659" w:rsidRDefault="00B77659" w:rsidP="005E51F2">
      <w:pPr>
        <w:pStyle w:val="AFR2"/>
        <w:pBdr>
          <w:bottom w:val="single" w:sz="8" w:space="2" w:color="00688D"/>
        </w:pBdr>
        <w:rPr>
          <w:rFonts w:cstheme="minorHAnsi"/>
        </w:rPr>
      </w:pPr>
      <w:r w:rsidRPr="005E51F2">
        <w:rPr>
          <w:rFonts w:cstheme="minorHAnsi"/>
        </w:rPr>
        <w:t>Statements of Changes in Fiduciary net Position</w:t>
      </w:r>
    </w:p>
    <w:p w14:paraId="4649ED64" w14:textId="497E7D12" w:rsidR="005E51F2" w:rsidRPr="005E51F2" w:rsidRDefault="002F0208" w:rsidP="005E51F2">
      <w:pPr>
        <w:tabs>
          <w:tab w:val="left" w:pos="540"/>
        </w:tabs>
        <w:rPr>
          <w:rFonts w:eastAsia="Times New Roman" w:cstheme="minorHAnsi"/>
          <w:sz w:val="24"/>
        </w:rPr>
      </w:pPr>
      <w:r>
        <w:rPr>
          <w:rFonts w:eastAsia="Times New Roman" w:cstheme="minorHAnsi"/>
          <w:sz w:val="24"/>
        </w:rPr>
        <w:t xml:space="preserve">The Statements of Changes in Fiduciary Net Position show the fiscal year changes in the net position associated with assets held on behalf of the external entities noted in the prior discussion of the Statements of Fiduciary Net Position. </w:t>
      </w:r>
    </w:p>
    <w:p w14:paraId="0FB052E3" w14:textId="77777777" w:rsidR="006140D5" w:rsidRDefault="006140D5">
      <w:pPr>
        <w:spacing w:after="160" w:line="259" w:lineRule="auto"/>
        <w:rPr>
          <w:rFonts w:eastAsiaTheme="majorEastAsia" w:cstheme="minorHAnsi"/>
          <w:b/>
          <w:i/>
          <w:iCs/>
          <w:smallCaps/>
          <w:noProof/>
          <w:color w:val="000000" w:themeColor="text1"/>
          <w:sz w:val="32"/>
          <w:szCs w:val="28"/>
          <w:u w:color="5B9BD5"/>
        </w:rPr>
      </w:pPr>
      <w:r>
        <w:rPr>
          <w:rFonts w:cstheme="minorHAnsi"/>
        </w:rPr>
        <w:br w:type="page"/>
      </w:r>
    </w:p>
    <w:p w14:paraId="0F3669C7" w14:textId="5073A248" w:rsidR="00E7511E" w:rsidRDefault="00A205BF" w:rsidP="007E4ECC">
      <w:pPr>
        <w:pStyle w:val="AFR2"/>
        <w:pBdr>
          <w:bottom w:val="single" w:sz="8" w:space="2" w:color="00688D"/>
        </w:pBdr>
        <w:rPr>
          <w:rFonts w:cstheme="minorHAnsi"/>
        </w:rPr>
      </w:pPr>
      <w:r>
        <w:rPr>
          <w:rFonts w:cstheme="minorHAnsi"/>
        </w:rPr>
        <w:lastRenderedPageBreak/>
        <w:t>S</w:t>
      </w:r>
      <w:r w:rsidR="007E4ECC">
        <w:rPr>
          <w:rFonts w:cstheme="minorHAnsi"/>
        </w:rPr>
        <w:t>trategic Vision and Priorities</w:t>
      </w:r>
    </w:p>
    <w:p w14:paraId="3584A06E" w14:textId="67A577A4" w:rsidR="00E7511E" w:rsidRDefault="00A205BF" w:rsidP="00E7511E">
      <w:pPr>
        <w:pStyle w:val="AFR3"/>
        <w:rPr>
          <w:rFonts w:cstheme="minorHAnsi"/>
        </w:rPr>
      </w:pPr>
      <w:r>
        <w:rPr>
          <w:rFonts w:cstheme="minorHAnsi"/>
        </w:rPr>
        <w:t xml:space="preserve">Unified Accreditation </w:t>
      </w:r>
      <w:r w:rsidR="006D36C7">
        <w:rPr>
          <w:rFonts w:cstheme="minorHAnsi"/>
        </w:rPr>
        <w:t>&amp; Strategic Planning</w:t>
      </w:r>
    </w:p>
    <w:p w14:paraId="274B1115" w14:textId="792DD9F5" w:rsidR="006D1CA3" w:rsidRPr="006D1CA3" w:rsidRDefault="006D1CA3" w:rsidP="006D1CA3">
      <w:pPr>
        <w:spacing w:after="160" w:line="259" w:lineRule="auto"/>
        <w:rPr>
          <w:sz w:val="24"/>
          <w:szCs w:val="24"/>
        </w:rPr>
      </w:pPr>
      <w:r w:rsidRPr="006D1CA3">
        <w:rPr>
          <w:sz w:val="24"/>
          <w:szCs w:val="24"/>
        </w:rPr>
        <w:t>UMS’s unified accreditation, effective since July 1, 2020, opens the door to previously unavailable strategic opportunities for the System’s universities to collaborate, share resources, and achieve educational efficiencies to better serve their students and the State of Maine. System leadership and representatives from all System universities and Maine Law are fully engaged in the significant work of preparing a self-study assessment report for</w:t>
      </w:r>
      <w:r w:rsidR="006D36C7">
        <w:rPr>
          <w:sz w:val="24"/>
          <w:szCs w:val="24"/>
        </w:rPr>
        <w:t xml:space="preserve"> the New England Commission of Higher Education (</w:t>
      </w:r>
      <w:r w:rsidRPr="006D1CA3">
        <w:rPr>
          <w:sz w:val="24"/>
          <w:szCs w:val="24"/>
        </w:rPr>
        <w:t>NECHE</w:t>
      </w:r>
      <w:r w:rsidR="006D36C7">
        <w:rPr>
          <w:sz w:val="24"/>
          <w:szCs w:val="24"/>
        </w:rPr>
        <w:t>)</w:t>
      </w:r>
      <w:r w:rsidRPr="006D1CA3">
        <w:rPr>
          <w:sz w:val="24"/>
          <w:szCs w:val="24"/>
        </w:rPr>
        <w:t xml:space="preserve"> in connection with NECHE’s planned Fall 2022 comprehensive evaluation of the System’s unified accreditation. </w:t>
      </w:r>
      <w:proofErr w:type="spellStart"/>
      <w:r w:rsidRPr="006D1CA3">
        <w:rPr>
          <w:sz w:val="24"/>
          <w:szCs w:val="24"/>
        </w:rPr>
        <w:t>Recogniz</w:t>
      </w:r>
      <w:r w:rsidR="00AC5E92">
        <w:rPr>
          <w:sz w:val="24"/>
          <w:szCs w:val="24"/>
        </w:rPr>
        <w:t>T</w:t>
      </w:r>
      <w:r w:rsidRPr="006D1CA3">
        <w:rPr>
          <w:sz w:val="24"/>
          <w:szCs w:val="24"/>
        </w:rPr>
        <w:t>ing</w:t>
      </w:r>
      <w:proofErr w:type="spellEnd"/>
      <w:r w:rsidRPr="006D1CA3">
        <w:rPr>
          <w:sz w:val="24"/>
          <w:szCs w:val="24"/>
        </w:rPr>
        <w:t xml:space="preserve"> that this work is ongoing, the Board recently charged the Chancellor to lead the System in the creation of a new UMS strategic plan. The UMS strategic planning process and resulting Strategic Plan will be informed by the NECHE unified accreditation </w:t>
      </w:r>
      <w:r w:rsidR="000438AF" w:rsidRPr="006D1CA3">
        <w:rPr>
          <w:sz w:val="24"/>
          <w:szCs w:val="24"/>
        </w:rPr>
        <w:t>self-study</w:t>
      </w:r>
      <w:r w:rsidRPr="006D1CA3">
        <w:rPr>
          <w:sz w:val="24"/>
          <w:szCs w:val="24"/>
        </w:rPr>
        <w:t xml:space="preserve">, Fall 2022 comprehensive evaluation visit and report, and the NECHE Standards for Accreditation. </w:t>
      </w:r>
    </w:p>
    <w:p w14:paraId="6607D0C1" w14:textId="6F8CDA28" w:rsidR="00956603" w:rsidRDefault="00956603" w:rsidP="000131BE">
      <w:pPr>
        <w:tabs>
          <w:tab w:val="left" w:pos="540"/>
        </w:tabs>
        <w:rPr>
          <w:rFonts w:cstheme="minorHAnsi"/>
          <w:sz w:val="24"/>
          <w:szCs w:val="24"/>
        </w:rPr>
      </w:pPr>
      <w:r>
        <w:rPr>
          <w:rFonts w:eastAsia="Times New Roman" w:cstheme="minorHAnsi"/>
          <w:b/>
          <w:i/>
          <w:sz w:val="26"/>
          <w:szCs w:val="26"/>
          <w:u w:val="single"/>
        </w:rPr>
        <w:t xml:space="preserve">The </w:t>
      </w:r>
      <w:r w:rsidRPr="00B30F29">
        <w:rPr>
          <w:rFonts w:eastAsia="Times New Roman" w:cstheme="minorHAnsi"/>
          <w:b/>
          <w:i/>
          <w:sz w:val="26"/>
          <w:szCs w:val="26"/>
          <w:u w:val="single"/>
        </w:rPr>
        <w:t>Maine Jobs and Recovery Plan</w:t>
      </w:r>
      <w:r w:rsidRPr="00B30F29" w:rsidDel="006D1CA3">
        <w:rPr>
          <w:rFonts w:eastAsia="Times New Roman" w:cstheme="minorHAnsi"/>
          <w:b/>
          <w:i/>
          <w:sz w:val="26"/>
          <w:szCs w:val="26"/>
          <w:u w:val="single"/>
        </w:rPr>
        <w:t xml:space="preserve"> </w:t>
      </w:r>
      <w:r w:rsidRPr="00B30F29">
        <w:rPr>
          <w:rFonts w:eastAsia="Times New Roman" w:cstheme="minorHAnsi"/>
          <w:b/>
          <w:i/>
          <w:sz w:val="26"/>
          <w:szCs w:val="26"/>
          <w:u w:val="single"/>
        </w:rPr>
        <w:t>– University Funding Allocation</w:t>
      </w:r>
    </w:p>
    <w:p w14:paraId="6E58AA99" w14:textId="65E7B25B" w:rsidR="00956603" w:rsidRPr="00954D00" w:rsidRDefault="00956603" w:rsidP="000131BE">
      <w:pPr>
        <w:tabs>
          <w:tab w:val="left" w:pos="540"/>
        </w:tabs>
        <w:spacing w:before="240"/>
        <w:rPr>
          <w:rFonts w:cstheme="minorHAnsi"/>
          <w:sz w:val="24"/>
          <w:szCs w:val="24"/>
        </w:rPr>
      </w:pPr>
      <w:r w:rsidRPr="00956603">
        <w:rPr>
          <w:rFonts w:cstheme="minorHAnsi"/>
          <w:sz w:val="24"/>
          <w:szCs w:val="24"/>
        </w:rPr>
        <w:t xml:space="preserve">The federal American Rescue Plan provided relief funding for states including a $1.13 billion allocation to </w:t>
      </w:r>
      <w:r w:rsidR="004A36FE">
        <w:rPr>
          <w:rFonts w:cstheme="minorHAnsi"/>
          <w:sz w:val="24"/>
          <w:szCs w:val="24"/>
        </w:rPr>
        <w:t xml:space="preserve">the </w:t>
      </w:r>
      <w:r w:rsidR="00C3174D">
        <w:rPr>
          <w:rFonts w:cstheme="minorHAnsi"/>
          <w:sz w:val="24"/>
          <w:szCs w:val="24"/>
        </w:rPr>
        <w:t>S</w:t>
      </w:r>
      <w:r w:rsidR="004A36FE">
        <w:rPr>
          <w:rFonts w:cstheme="minorHAnsi"/>
          <w:sz w:val="24"/>
          <w:szCs w:val="24"/>
        </w:rPr>
        <w:t xml:space="preserve">tate of </w:t>
      </w:r>
      <w:r w:rsidRPr="00956603">
        <w:rPr>
          <w:rFonts w:cstheme="minorHAnsi"/>
          <w:sz w:val="24"/>
          <w:szCs w:val="24"/>
        </w:rPr>
        <w:t xml:space="preserve">Maine for discretionary use by the Governor and Legislature to respond to the pandemic and support economic recovery. The passage of the Administration’s Maine Jobs and Recovery Plan identifies priorities for using these funds including $35 million to be invested in critical university workforce infrastructure and experience opportunities </w:t>
      </w:r>
      <w:r w:rsidR="004A36FE">
        <w:rPr>
          <w:rFonts w:cstheme="minorHAnsi"/>
          <w:sz w:val="24"/>
          <w:szCs w:val="24"/>
        </w:rPr>
        <w:t xml:space="preserve">thereby </w:t>
      </w:r>
      <w:r w:rsidRPr="00956603">
        <w:rPr>
          <w:rFonts w:cstheme="minorHAnsi"/>
          <w:sz w:val="24"/>
          <w:szCs w:val="24"/>
        </w:rPr>
        <w:t>advancing economic recovery and Maine’s 10-year strategic plan. These resources will accelerate talent development, research and innovation and the long-term economic growth and global competitiveness of Maine that responds to the COVID-19 public health emergency. Students will experience greater opportunities for exploratory learning, paid internships, and career preparation programs</w:t>
      </w:r>
      <w:r w:rsidRPr="00954D00">
        <w:rPr>
          <w:rFonts w:cstheme="minorHAnsi"/>
          <w:sz w:val="24"/>
          <w:szCs w:val="24"/>
        </w:rPr>
        <w:t xml:space="preserve"> connected to the Maine workforce.</w:t>
      </w:r>
    </w:p>
    <w:p w14:paraId="48306748" w14:textId="77777777" w:rsidR="006A4C9B" w:rsidRPr="006A4C9B" w:rsidRDefault="006A4C9B" w:rsidP="000131BE">
      <w:pPr>
        <w:tabs>
          <w:tab w:val="left" w:pos="540"/>
        </w:tabs>
        <w:spacing w:before="240"/>
        <w:rPr>
          <w:rFonts w:eastAsia="Times New Roman" w:cstheme="minorHAnsi"/>
          <w:b/>
          <w:i/>
          <w:sz w:val="26"/>
          <w:szCs w:val="26"/>
          <w:u w:val="single"/>
        </w:rPr>
      </w:pPr>
      <w:r w:rsidRPr="006A4C9B">
        <w:rPr>
          <w:rFonts w:eastAsia="Times New Roman" w:cstheme="minorHAnsi"/>
          <w:b/>
          <w:i/>
          <w:sz w:val="26"/>
          <w:szCs w:val="26"/>
          <w:u w:val="single"/>
        </w:rPr>
        <w:t>Harold Alfond Foundation Investment</w:t>
      </w:r>
    </w:p>
    <w:p w14:paraId="03F713CB" w14:textId="77777777" w:rsidR="006A4C9B" w:rsidRPr="006A4C9B" w:rsidRDefault="006A4C9B" w:rsidP="000131BE">
      <w:pPr>
        <w:tabs>
          <w:tab w:val="left" w:pos="540"/>
        </w:tabs>
        <w:spacing w:before="240"/>
        <w:rPr>
          <w:rFonts w:eastAsia="Times New Roman" w:cstheme="minorHAnsi"/>
          <w:sz w:val="24"/>
          <w:szCs w:val="24"/>
        </w:rPr>
      </w:pPr>
      <w:r w:rsidRPr="006A4C9B">
        <w:rPr>
          <w:rFonts w:eastAsia="Times New Roman" w:cstheme="minorHAnsi"/>
          <w:sz w:val="24"/>
          <w:szCs w:val="24"/>
        </w:rPr>
        <w:t>Last fall, the Harold Alfond Foundation announced an historic $240 million investment over 12 years in the System. This extraordinary grant will support transformative changes in student success and retention, engineering, graduate and professional education, Division 1 athletics and gender equity at the state’s largest educational, research, innovation and talent development asset.</w:t>
      </w:r>
    </w:p>
    <w:p w14:paraId="38BF1608" w14:textId="77777777" w:rsidR="006A4C9B" w:rsidRPr="006A4C9B" w:rsidRDefault="006A4C9B" w:rsidP="00EE24FF">
      <w:pPr>
        <w:tabs>
          <w:tab w:val="left" w:pos="540"/>
        </w:tabs>
        <w:spacing w:before="240"/>
        <w:rPr>
          <w:rFonts w:eastAsia="Times New Roman" w:cstheme="minorHAnsi"/>
          <w:b/>
          <w:i/>
          <w:sz w:val="26"/>
          <w:szCs w:val="26"/>
          <w:u w:val="single"/>
        </w:rPr>
      </w:pPr>
      <w:r w:rsidRPr="006A4C9B">
        <w:rPr>
          <w:rFonts w:eastAsia="Times New Roman" w:cstheme="minorHAnsi"/>
          <w:b/>
          <w:i/>
          <w:sz w:val="26"/>
          <w:szCs w:val="26"/>
          <w:u w:val="single"/>
        </w:rPr>
        <w:t>Other Capital Investments</w:t>
      </w:r>
    </w:p>
    <w:p w14:paraId="15BD0F18" w14:textId="77777777" w:rsidR="006A4C9B" w:rsidRPr="006A4C9B" w:rsidRDefault="006A4C9B" w:rsidP="000131BE">
      <w:pPr>
        <w:spacing w:before="240"/>
        <w:rPr>
          <w:rFonts w:cstheme="minorHAnsi"/>
          <w:sz w:val="24"/>
          <w:szCs w:val="24"/>
        </w:rPr>
      </w:pPr>
      <w:r w:rsidRPr="006A4C9B">
        <w:rPr>
          <w:rFonts w:cstheme="minorHAnsi"/>
          <w:sz w:val="24"/>
          <w:szCs w:val="24"/>
        </w:rPr>
        <w:t>Improving the System’s capital infrastructure is a strategic imperative with more than 50 percent of UMS’s physical plant constructed or last renovated more than 50 years ago. Greater investment in our facilities and innovative partnerships are part of our plan.</w:t>
      </w:r>
    </w:p>
    <w:p w14:paraId="10F8CB90" w14:textId="775F5699" w:rsidR="006A4C9B" w:rsidRPr="006A4C9B" w:rsidRDefault="006A4C9B" w:rsidP="006A4C9B">
      <w:pPr>
        <w:spacing w:before="240" w:after="240"/>
        <w:rPr>
          <w:rFonts w:cstheme="minorHAnsi"/>
          <w:sz w:val="24"/>
          <w:szCs w:val="24"/>
        </w:rPr>
      </w:pPr>
      <w:r w:rsidRPr="006A4C9B">
        <w:rPr>
          <w:rFonts w:cstheme="minorHAnsi"/>
          <w:sz w:val="24"/>
          <w:szCs w:val="24"/>
        </w:rPr>
        <w:lastRenderedPageBreak/>
        <w:t xml:space="preserve">Earlier this year UMS Trustees authorized expending funds to develop the 580-bed Portland Commons affordable student housing residence hall project and the career and student success center on USM’s Portland campus. The </w:t>
      </w:r>
      <w:hyperlink r:id="rId50" w:history="1">
        <w:r w:rsidRPr="006A4C9B">
          <w:rPr>
            <w:rFonts w:cstheme="minorHAnsi"/>
            <w:sz w:val="24"/>
            <w:szCs w:val="24"/>
          </w:rPr>
          <w:t>campus development project</w:t>
        </w:r>
      </w:hyperlink>
      <w:r w:rsidRPr="006A4C9B">
        <w:rPr>
          <w:rFonts w:cstheme="minorHAnsi"/>
          <w:sz w:val="24"/>
          <w:szCs w:val="24"/>
        </w:rPr>
        <w:t xml:space="preserve"> is part of a series of proposed housing initiatives that the System is exploring to bring more beds to campuses in addition to Portland. Further, USM’s new career and student success center will attract, retain, and prepare more career-ready college graduates for the Maine workforce.</w:t>
      </w:r>
    </w:p>
    <w:p w14:paraId="33A5FD80" w14:textId="77777777" w:rsidR="006A4C9B" w:rsidRPr="006A4C9B" w:rsidRDefault="006A4C9B" w:rsidP="006A4C9B">
      <w:pPr>
        <w:spacing w:before="240" w:after="240"/>
        <w:rPr>
          <w:rFonts w:cstheme="minorHAnsi"/>
          <w:sz w:val="24"/>
          <w:szCs w:val="24"/>
        </w:rPr>
      </w:pPr>
      <w:r w:rsidRPr="006A4C9B">
        <w:rPr>
          <w:rFonts w:cstheme="minorHAnsi"/>
          <w:sz w:val="24"/>
          <w:szCs w:val="24"/>
        </w:rPr>
        <w:t>Trustees also gave initial approval for UM to enter into a public-private partnership to repurpose two costly and currently unusable historic buildings on the Orono campus into a boutique hotel. An on campus facility of this nature will serve people attending academic conferences, cultural and athletic events, homecomings, commencements, and other functions, and may serve as a base of experiential learning opportunities for UMS students in tourism and hospitality programs.</w:t>
      </w:r>
    </w:p>
    <w:p w14:paraId="01FAD518" w14:textId="77777777" w:rsidR="006A4C9B" w:rsidRPr="006A4C9B" w:rsidRDefault="006A4C9B" w:rsidP="006A4C9B">
      <w:pPr>
        <w:spacing w:before="240" w:after="240"/>
        <w:rPr>
          <w:rFonts w:cstheme="minorHAnsi"/>
          <w:sz w:val="24"/>
          <w:szCs w:val="24"/>
        </w:rPr>
      </w:pPr>
      <w:r w:rsidRPr="006A4C9B">
        <w:rPr>
          <w:rFonts w:cstheme="minorHAnsi"/>
          <w:sz w:val="24"/>
          <w:szCs w:val="24"/>
        </w:rPr>
        <w:t xml:space="preserve">In addition, Trustees approved funds at UMPI to renovate </w:t>
      </w:r>
      <w:proofErr w:type="spellStart"/>
      <w:r w:rsidRPr="006A4C9B">
        <w:rPr>
          <w:rFonts w:cstheme="minorHAnsi"/>
          <w:sz w:val="24"/>
          <w:szCs w:val="24"/>
        </w:rPr>
        <w:t>Weiden</w:t>
      </w:r>
      <w:proofErr w:type="spellEnd"/>
      <w:r w:rsidRPr="006A4C9B">
        <w:rPr>
          <w:rFonts w:cstheme="minorHAnsi"/>
          <w:sz w:val="24"/>
          <w:szCs w:val="24"/>
        </w:rPr>
        <w:t xml:space="preserve"> Hall to meet needs of the Owls’ athletic program and build enrollment in health-related academic programs and at UMA to create a hub for student spaces, admissions, advising, registrar and financial aid. The Board also authorized UMS to negotiate and execute a lease agreement for an interim home for the Law School and the Maine Center in downtown Portland, saving the need to spend far greater amounts to shore up the current law school building, which has fallen into obsolescence. These are just some of the exciting projects taking place throughout our System with more to come. </w:t>
      </w:r>
    </w:p>
    <w:p w14:paraId="64E28276" w14:textId="07210FF8" w:rsidR="00E7511E" w:rsidRPr="00B30F29" w:rsidRDefault="004A36FE" w:rsidP="000131BE">
      <w:pPr>
        <w:tabs>
          <w:tab w:val="left" w:pos="540"/>
        </w:tabs>
        <w:spacing w:before="240"/>
        <w:rPr>
          <w:rFonts w:eastAsia="Times New Roman" w:cstheme="minorHAnsi"/>
          <w:b/>
          <w:i/>
          <w:sz w:val="26"/>
          <w:szCs w:val="26"/>
          <w:u w:val="single"/>
        </w:rPr>
      </w:pPr>
      <w:r w:rsidRPr="00B30F29">
        <w:rPr>
          <w:rFonts w:eastAsia="Times New Roman" w:cstheme="minorHAnsi"/>
          <w:b/>
          <w:i/>
          <w:sz w:val="26"/>
          <w:szCs w:val="26"/>
          <w:u w:val="single"/>
        </w:rPr>
        <w:t xml:space="preserve">University Credit Rating </w:t>
      </w:r>
    </w:p>
    <w:p w14:paraId="1191D33B" w14:textId="07FCF9CC" w:rsidR="004A36FE" w:rsidRDefault="00E7511E" w:rsidP="000131BE">
      <w:pPr>
        <w:spacing w:before="240"/>
        <w:rPr>
          <w:rFonts w:eastAsia="Times New Roman" w:cstheme="minorHAnsi"/>
          <w:sz w:val="24"/>
          <w:szCs w:val="24"/>
        </w:rPr>
      </w:pPr>
      <w:r>
        <w:rPr>
          <w:rFonts w:eastAsia="Times New Roman" w:cstheme="minorHAnsi"/>
          <w:sz w:val="24"/>
          <w:szCs w:val="24"/>
        </w:rPr>
        <w:t xml:space="preserve">The System routinely issues revenue bonds for its capital needs and S&amp;P Global Ratings (S&amp;P) reviews the credit worthiness of the System and its debt. In </w:t>
      </w:r>
      <w:r w:rsidR="00956603">
        <w:rPr>
          <w:rFonts w:eastAsia="Times New Roman" w:cstheme="minorHAnsi"/>
          <w:sz w:val="24"/>
          <w:szCs w:val="24"/>
        </w:rPr>
        <w:t>August</w:t>
      </w:r>
      <w:r w:rsidR="00AC3500">
        <w:rPr>
          <w:rFonts w:eastAsia="Times New Roman" w:cstheme="minorHAnsi"/>
          <w:sz w:val="24"/>
          <w:szCs w:val="24"/>
        </w:rPr>
        <w:t xml:space="preserve"> 202</w:t>
      </w:r>
      <w:r w:rsidR="00956603">
        <w:rPr>
          <w:rFonts w:eastAsia="Times New Roman" w:cstheme="minorHAnsi"/>
          <w:sz w:val="24"/>
          <w:szCs w:val="24"/>
        </w:rPr>
        <w:t>1</w:t>
      </w:r>
      <w:r>
        <w:rPr>
          <w:rFonts w:eastAsia="Times New Roman" w:cstheme="minorHAnsi"/>
          <w:sz w:val="24"/>
          <w:szCs w:val="24"/>
        </w:rPr>
        <w:t xml:space="preserve">, S&amp;P affirmed </w:t>
      </w:r>
      <w:r w:rsidR="004A36FE" w:rsidRPr="004A36FE">
        <w:rPr>
          <w:rFonts w:cstheme="minorHAnsi"/>
          <w:sz w:val="24"/>
          <w:szCs w:val="24"/>
        </w:rPr>
        <w:t>its AA- rating with a stable outlook for the UMS’ revenue bonds, reflecting the strength of UMS' available resources for the rating category relative to medians and peer institutions</w:t>
      </w:r>
      <w:r w:rsidR="004A36FE">
        <w:rPr>
          <w:rFonts w:cstheme="minorHAnsi"/>
          <w:sz w:val="24"/>
          <w:szCs w:val="24"/>
        </w:rPr>
        <w:t xml:space="preserve">. The stable outlook placed UMS ahead of </w:t>
      </w:r>
      <w:r w:rsidR="004A36FE" w:rsidRPr="004A36FE">
        <w:rPr>
          <w:rFonts w:cstheme="minorHAnsi"/>
          <w:sz w:val="24"/>
          <w:szCs w:val="24"/>
        </w:rPr>
        <w:t xml:space="preserve">the negative outlook for the not-for-profit higher education sector. In its overview, S&amp;P assessed UMS' enterprise profile as strong, characterized by our breadth and depth of institutions and assessed our financial profile as very strong while noting significant future debt plans as a limiting factor. </w:t>
      </w:r>
      <w:r>
        <w:rPr>
          <w:rFonts w:eastAsia="Times New Roman" w:cstheme="minorHAnsi"/>
          <w:sz w:val="24"/>
          <w:szCs w:val="24"/>
        </w:rPr>
        <w:t>The revenue bonds are secured by a broad pledge of the System’s available resources</w:t>
      </w:r>
      <w:r w:rsidR="00512AA8">
        <w:rPr>
          <w:rFonts w:eastAsia="Times New Roman" w:cstheme="minorHAnsi"/>
          <w:sz w:val="24"/>
          <w:szCs w:val="24"/>
        </w:rPr>
        <w:t xml:space="preserve">. </w:t>
      </w:r>
    </w:p>
    <w:p w14:paraId="3E1392A4" w14:textId="77777777" w:rsidR="004A36FE" w:rsidRDefault="004A36FE" w:rsidP="005471BA">
      <w:pPr>
        <w:rPr>
          <w:rFonts w:eastAsia="Times New Roman" w:cstheme="minorHAnsi"/>
          <w:sz w:val="24"/>
          <w:szCs w:val="24"/>
        </w:rPr>
      </w:pPr>
    </w:p>
    <w:p w14:paraId="1F7D679F" w14:textId="69A6EE14" w:rsidR="00051D7E" w:rsidRDefault="00512AA8" w:rsidP="005471BA">
      <w:pPr>
        <w:rPr>
          <w:rFonts w:eastAsia="Times New Roman" w:cstheme="minorHAnsi"/>
          <w:sz w:val="24"/>
          <w:szCs w:val="24"/>
        </w:rPr>
      </w:pPr>
      <w:r>
        <w:rPr>
          <w:rFonts w:eastAsia="Times New Roman" w:cstheme="minorHAnsi"/>
          <w:sz w:val="24"/>
          <w:szCs w:val="24"/>
        </w:rPr>
        <w:t>The</w:t>
      </w:r>
      <w:r w:rsidR="00E7511E">
        <w:rPr>
          <w:rFonts w:eastAsia="Times New Roman" w:cstheme="minorHAnsi"/>
          <w:sz w:val="24"/>
          <w:szCs w:val="24"/>
        </w:rPr>
        <w:t xml:space="preserve"> State of Maine </w:t>
      </w:r>
      <w:r>
        <w:rPr>
          <w:rFonts w:eastAsia="Times New Roman" w:cstheme="minorHAnsi"/>
          <w:sz w:val="24"/>
          <w:szCs w:val="24"/>
        </w:rPr>
        <w:t xml:space="preserve">also </w:t>
      </w:r>
      <w:r w:rsidR="00E7511E">
        <w:rPr>
          <w:rFonts w:eastAsia="Times New Roman" w:cstheme="minorHAnsi"/>
          <w:sz w:val="24"/>
          <w:szCs w:val="24"/>
        </w:rPr>
        <w:t xml:space="preserve">periodically </w:t>
      </w:r>
      <w:r w:rsidR="00296145">
        <w:rPr>
          <w:rFonts w:eastAsia="Times New Roman" w:cstheme="minorHAnsi"/>
          <w:sz w:val="24"/>
          <w:szCs w:val="24"/>
        </w:rPr>
        <w:t xml:space="preserve">provides debt service and other capital support </w:t>
      </w:r>
      <w:r>
        <w:rPr>
          <w:rFonts w:eastAsia="Times New Roman" w:cstheme="minorHAnsi"/>
          <w:sz w:val="24"/>
          <w:szCs w:val="24"/>
        </w:rPr>
        <w:t xml:space="preserve">like its cumulative </w:t>
      </w:r>
      <w:r w:rsidR="00E7511E">
        <w:rPr>
          <w:rFonts w:eastAsia="Times New Roman" w:cstheme="minorHAnsi"/>
          <w:sz w:val="24"/>
          <w:szCs w:val="24"/>
        </w:rPr>
        <w:t>$50 million</w:t>
      </w:r>
      <w:r w:rsidR="00AC3500">
        <w:rPr>
          <w:rFonts w:eastAsia="Times New Roman" w:cstheme="minorHAnsi"/>
          <w:sz w:val="24"/>
          <w:szCs w:val="24"/>
        </w:rPr>
        <w:t xml:space="preserve"> commitment towards</w:t>
      </w:r>
      <w:r w:rsidR="00814E27" w:rsidRPr="00814E27">
        <w:rPr>
          <w:rFonts w:eastAsia="Times New Roman" w:cstheme="minorHAnsi"/>
          <w:sz w:val="24"/>
          <w:szCs w:val="24"/>
        </w:rPr>
        <w:t xml:space="preserve"> </w:t>
      </w:r>
      <w:r w:rsidR="00814E27">
        <w:rPr>
          <w:rFonts w:eastAsia="Times New Roman" w:cstheme="minorHAnsi"/>
          <w:sz w:val="24"/>
          <w:szCs w:val="24"/>
        </w:rPr>
        <w:t xml:space="preserve">the construction of the </w:t>
      </w:r>
      <w:proofErr w:type="spellStart"/>
      <w:r w:rsidR="0050304C">
        <w:rPr>
          <w:rFonts w:eastAsia="Times New Roman" w:cstheme="minorHAnsi"/>
          <w:sz w:val="24"/>
          <w:szCs w:val="24"/>
        </w:rPr>
        <w:t>Ferland</w:t>
      </w:r>
      <w:proofErr w:type="spellEnd"/>
      <w:r w:rsidR="0050304C">
        <w:rPr>
          <w:rFonts w:eastAsia="Times New Roman" w:cstheme="minorHAnsi"/>
          <w:sz w:val="24"/>
          <w:szCs w:val="24"/>
        </w:rPr>
        <w:t xml:space="preserve"> </w:t>
      </w:r>
      <w:r w:rsidR="00814E27">
        <w:rPr>
          <w:rFonts w:eastAsia="Times New Roman" w:cstheme="minorHAnsi"/>
          <w:sz w:val="24"/>
          <w:szCs w:val="24"/>
        </w:rPr>
        <w:t xml:space="preserve">Engineering Education </w:t>
      </w:r>
      <w:r w:rsidR="0050304C">
        <w:rPr>
          <w:rFonts w:eastAsia="Times New Roman" w:cstheme="minorHAnsi"/>
          <w:sz w:val="24"/>
          <w:szCs w:val="24"/>
        </w:rPr>
        <w:t xml:space="preserve">and </w:t>
      </w:r>
      <w:r w:rsidR="00814E27">
        <w:rPr>
          <w:rFonts w:eastAsia="Times New Roman" w:cstheme="minorHAnsi"/>
          <w:sz w:val="24"/>
          <w:szCs w:val="24"/>
        </w:rPr>
        <w:t>Design Center at the U</w:t>
      </w:r>
      <w:r w:rsidR="006A4C9B">
        <w:rPr>
          <w:rFonts w:eastAsia="Times New Roman" w:cstheme="minorHAnsi"/>
          <w:sz w:val="24"/>
          <w:szCs w:val="24"/>
        </w:rPr>
        <w:t>M</w:t>
      </w:r>
      <w:r w:rsidR="00E7511E">
        <w:rPr>
          <w:rFonts w:eastAsia="Times New Roman" w:cstheme="minorHAnsi"/>
          <w:sz w:val="24"/>
          <w:szCs w:val="24"/>
        </w:rPr>
        <w:t xml:space="preserve">. </w:t>
      </w:r>
      <w:r w:rsidR="00814E27">
        <w:rPr>
          <w:rFonts w:eastAsia="Times New Roman" w:cstheme="minorHAnsi"/>
          <w:sz w:val="24"/>
          <w:szCs w:val="24"/>
        </w:rPr>
        <w:t xml:space="preserve">This commitment is being fulfilled with annual payments </w:t>
      </w:r>
      <w:r w:rsidR="00296145">
        <w:rPr>
          <w:rFonts w:eastAsia="Times New Roman" w:cstheme="minorHAnsi"/>
          <w:sz w:val="24"/>
          <w:szCs w:val="24"/>
        </w:rPr>
        <w:t>to the System</w:t>
      </w:r>
      <w:r w:rsidR="00751C09">
        <w:rPr>
          <w:rFonts w:eastAsia="Times New Roman" w:cstheme="minorHAnsi"/>
          <w:sz w:val="24"/>
          <w:szCs w:val="24"/>
        </w:rPr>
        <w:t>,</w:t>
      </w:r>
      <w:r w:rsidR="00296145">
        <w:rPr>
          <w:rFonts w:eastAsia="Times New Roman" w:cstheme="minorHAnsi"/>
          <w:sz w:val="24"/>
          <w:szCs w:val="24"/>
        </w:rPr>
        <w:t xml:space="preserve"> </w:t>
      </w:r>
      <w:r w:rsidR="00814E27">
        <w:rPr>
          <w:rFonts w:eastAsia="Times New Roman" w:cstheme="minorHAnsi"/>
          <w:sz w:val="24"/>
          <w:szCs w:val="24"/>
        </w:rPr>
        <w:t xml:space="preserve">which began in </w:t>
      </w:r>
      <w:r w:rsidR="00E7511E">
        <w:rPr>
          <w:rFonts w:eastAsia="Times New Roman" w:cstheme="minorHAnsi"/>
          <w:sz w:val="24"/>
          <w:szCs w:val="24"/>
        </w:rPr>
        <w:t>FY19</w:t>
      </w:r>
      <w:r w:rsidR="00814E27">
        <w:rPr>
          <w:rFonts w:eastAsia="Times New Roman" w:cstheme="minorHAnsi"/>
          <w:sz w:val="24"/>
          <w:szCs w:val="24"/>
        </w:rPr>
        <w:t xml:space="preserve"> and extend through FY29</w:t>
      </w:r>
      <w:r w:rsidR="00E7511E">
        <w:rPr>
          <w:rFonts w:eastAsia="Times New Roman" w:cstheme="minorHAnsi"/>
          <w:sz w:val="24"/>
          <w:szCs w:val="24"/>
        </w:rPr>
        <w:t>.</w:t>
      </w:r>
      <w:bookmarkStart w:id="6" w:name="_MON_1506237775"/>
      <w:bookmarkStart w:id="7" w:name="_MON_1505913879"/>
      <w:bookmarkStart w:id="8" w:name="_MON_1474965527"/>
      <w:bookmarkEnd w:id="6"/>
      <w:bookmarkEnd w:id="7"/>
      <w:bookmarkEnd w:id="8"/>
    </w:p>
    <w:p w14:paraId="23592CA1" w14:textId="2F230D04" w:rsidR="005C6B19" w:rsidRDefault="005C6B19" w:rsidP="005471BA">
      <w:pPr>
        <w:rPr>
          <w:rFonts w:eastAsia="Times New Roman" w:cstheme="minorHAnsi"/>
          <w:sz w:val="24"/>
          <w:szCs w:val="24"/>
        </w:rPr>
      </w:pPr>
    </w:p>
    <w:p w14:paraId="6EB72B64" w14:textId="4B4B970A" w:rsidR="005C6B19" w:rsidRDefault="005C6B19" w:rsidP="005471BA">
      <w:pPr>
        <w:rPr>
          <w:rFonts w:eastAsia="Times New Roman" w:cstheme="minorHAnsi"/>
          <w:sz w:val="24"/>
          <w:szCs w:val="24"/>
        </w:rPr>
      </w:pPr>
    </w:p>
    <w:p w14:paraId="2DEE2C28" w14:textId="77777777" w:rsidR="005C6B19" w:rsidRDefault="005C6B19" w:rsidP="005471BA">
      <w:pPr>
        <w:rPr>
          <w:rFonts w:eastAsia="Times New Roman" w:cstheme="minorHAnsi"/>
          <w:sz w:val="24"/>
          <w:szCs w:val="24"/>
        </w:rPr>
        <w:sectPr w:rsidR="005C6B19" w:rsidSect="00B252E3">
          <w:headerReference w:type="default" r:id="rId51"/>
          <w:footerReference w:type="default" r:id="rId52"/>
          <w:headerReference w:type="first" r:id="rId53"/>
          <w:footerReference w:type="first" r:id="rId54"/>
          <w:pgSz w:w="12240" w:h="15840"/>
          <w:pgMar w:top="1440" w:right="1440" w:bottom="1440" w:left="1440" w:header="720" w:footer="720" w:gutter="0"/>
          <w:cols w:space="720"/>
          <w:titlePg/>
          <w:docGrid w:linePitch="299"/>
        </w:sectPr>
      </w:pPr>
    </w:p>
    <w:p w14:paraId="5164EACD" w14:textId="77777777" w:rsidR="00051D7E" w:rsidRDefault="00051D7E" w:rsidP="00051D7E">
      <w:pPr>
        <w:rPr>
          <w:b/>
          <w:i/>
          <w:sz w:val="26"/>
          <w:szCs w:val="26"/>
        </w:rPr>
      </w:pPr>
      <w:r>
        <w:rPr>
          <w:b/>
          <w:i/>
          <w:sz w:val="26"/>
          <w:szCs w:val="26"/>
        </w:rPr>
        <w:lastRenderedPageBreak/>
        <w:t>UNIVERSITY OF MAINE SYSTEM</w:t>
      </w:r>
    </w:p>
    <w:p w14:paraId="279089D3" w14:textId="77777777" w:rsidR="00051D7E" w:rsidRDefault="00051D7E" w:rsidP="00051D7E">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STATEMENTS OF NET POSITION</w:t>
      </w:r>
    </w:p>
    <w:p w14:paraId="6F0424D6" w14:textId="77777777" w:rsidR="00051D7E" w:rsidRDefault="00051D7E" w:rsidP="00051D7E">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JUNE 30, 2021 AND 2020 (IN THOUSANDS)</w:t>
      </w:r>
    </w:p>
    <w:p w14:paraId="0D0626FF" w14:textId="733F5F00" w:rsidR="00051D7E" w:rsidRDefault="000949F3" w:rsidP="00051D7E">
      <w:pPr>
        <w:tabs>
          <w:tab w:val="left" w:pos="265"/>
          <w:tab w:val="center" w:pos="4680"/>
        </w:tabs>
        <w:jc w:val="center"/>
        <w:rPr>
          <w:rFonts w:ascii="Calibri" w:hAnsi="Calibri"/>
          <w:sz w:val="10"/>
          <w:szCs w:val="24"/>
        </w:rPr>
      </w:pPr>
      <w:r w:rsidRPr="000949F3">
        <w:rPr>
          <w:noProof/>
        </w:rPr>
        <w:drawing>
          <wp:inline distT="0" distB="0" distL="0" distR="0" wp14:anchorId="5204773F" wp14:editId="7A81DC1B">
            <wp:extent cx="5276529" cy="7498080"/>
            <wp:effectExtent l="0" t="0" r="635" b="7620"/>
            <wp:docPr id="10" name="Picture 10" descr=" 2021 2020 Restated&#10;Assets  &#10;Current Assets  &#10;Cash and cash equivalents (Note 2)  $3,030   $7,282 &#10;Operating investments (Note 3)  286,062   264,046 &#10;Accounts, grants, and pledges receivable, net (Note 4)  74,647   52,312 &#10;Inventories and prepaid expenses  5,562   5,582 &#10;Notes and lease receivable, net (Note 5)  63   63 &#10;Total Current Assets  369,364   329,285 &#10;Noncurrent Assets  &#10;Deposits with bond trustees (Notes 3 and 6)  34,203   5,778 &#10;Accounts, grants and pledges receivable, net (Note 4)  4,069   3,660 &#10;Notes and leases receivable, net (Note 5)  28,193   32,151 &#10;Net OPEB asset (Note 14)  18,058   - &#10;Endowment investments (Note 3)  166,312   134,683 &#10;Capital assets, net (Note 6)  688,587   683,173 &#10;Irrevocable split interest agreements  847   1,765 &#10;Total Noncurrent Assets  940,269   861,210 &#10;Total Assets  1,309,633   1,190,495 &#10;Deferred Outflows of Resources (Note 15)  17,636   31,407 &#10;Total Assets and Deferred Outflows of Resources  $1,327,269   $1,221,902 &#10;Liabilities  &#10;Current Liabilities  &#10;Accounts payable  $18,585   $12,638 &#10;Unearned revenue and deposits (Note 8)  19,089   15,464 &#10;Accrued liabilities - current portion (Notes 7, 11 and 13)  44,104   30,380 &#10;Funds held for others - current portion  1,702   504 &#10;Long-term debt - current portion (Note 7)  13,736   13,816 &#10;Total Current Liabilities  97,216   72,802 &#10;Noncurrent Liabilities  &#10;Accrued liabilities (Notes 7, 11, 13 and 14)  54,081   132,530 &#10;Funds held for others (Note 3)  248   201 &#10;Long-term debt (Note 7)  153,105   123,735 &#10;Government advances refundable (Note 9)  19,360   23,968 &#10;Total Noncurrent Liabilities  226,794   280,434 &#10;Total Liabilities  324,010   353,236 &#10;Deferred Inflows of Resources (Note 15)  58,565   36,558 &#10;Net Position  &#10;Net investment in capital assets (Note 10)  549,870   547,323 &#10;Restricted  &#10;Nonexpendable (Note 10)  69,149   66,656 &#10;Expendable (Notes 3 and 10)  143,604   115,378 &#10;Unrestricted (Notes 3 and 10)  182,071   102,751 &#10;Total Net Position  944,694   832,108 &#10;Total Liabilities, Deferred Inflows of Resources and Net Position  $1,327,269   $1,221,9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b="549"/>
                    <a:stretch/>
                  </pic:blipFill>
                  <pic:spPr bwMode="auto">
                    <a:xfrm>
                      <a:off x="0" y="0"/>
                      <a:ext cx="5276529" cy="7498080"/>
                    </a:xfrm>
                    <a:prstGeom prst="rect">
                      <a:avLst/>
                    </a:prstGeom>
                    <a:noFill/>
                    <a:ln>
                      <a:noFill/>
                    </a:ln>
                    <a:extLst>
                      <a:ext uri="{53640926-AAD7-44D8-BBD7-CCE9431645EC}">
                        <a14:shadowObscured xmlns:a14="http://schemas.microsoft.com/office/drawing/2010/main"/>
                      </a:ext>
                    </a:extLst>
                  </pic:spPr>
                </pic:pic>
              </a:graphicData>
            </a:graphic>
          </wp:inline>
        </w:drawing>
      </w:r>
      <w:r w:rsidR="00051D7E">
        <w:rPr>
          <w:rFonts w:ascii="Calibri" w:hAnsi="Calibri"/>
          <w:sz w:val="10"/>
          <w:szCs w:val="24"/>
        </w:rPr>
        <w:fldChar w:fldCharType="begin"/>
      </w:r>
      <w:r w:rsidR="00051D7E">
        <w:rPr>
          <w:rFonts w:ascii="Calibri" w:hAnsi="Calibri"/>
          <w:sz w:val="10"/>
          <w:szCs w:val="24"/>
        </w:rPr>
        <w:fldChar w:fldCharType="separate"/>
      </w:r>
      <w:r w:rsidR="00051D7E">
        <w:rPr>
          <w:rFonts w:ascii="Calibri" w:hAnsi="Calibri"/>
          <w:noProof/>
          <w:sz w:val="10"/>
          <w:szCs w:val="24"/>
        </w:rPr>
        <w:drawing>
          <wp:inline distT="0" distB="0" distL="0" distR="0" wp14:anchorId="710E6C7D" wp14:editId="770DF5C3">
            <wp:extent cx="5684520" cy="81762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4520" cy="8176260"/>
                    </a:xfrm>
                    <a:prstGeom prst="rect">
                      <a:avLst/>
                    </a:prstGeom>
                    <a:noFill/>
                    <a:ln>
                      <a:noFill/>
                    </a:ln>
                  </pic:spPr>
                </pic:pic>
              </a:graphicData>
            </a:graphic>
          </wp:inline>
        </w:drawing>
      </w:r>
      <w:r w:rsidR="00051D7E">
        <w:rPr>
          <w:rFonts w:ascii="Calibri" w:hAnsi="Calibri"/>
          <w:sz w:val="10"/>
          <w:szCs w:val="24"/>
        </w:rPr>
        <w:fldChar w:fldCharType="end"/>
      </w:r>
    </w:p>
    <w:p w14:paraId="4012C4DA" w14:textId="77777777" w:rsidR="00051D7E" w:rsidRDefault="00051D7E" w:rsidP="00051D7E">
      <w:pPr>
        <w:rPr>
          <w:rFonts w:ascii="Calibri" w:hAnsi="Calibri"/>
          <w:sz w:val="10"/>
          <w:szCs w:val="24"/>
        </w:rPr>
        <w:sectPr w:rsidR="00051D7E" w:rsidSect="007531FB">
          <w:headerReference w:type="default" r:id="rId57"/>
          <w:footerReference w:type="default" r:id="rId58"/>
          <w:pgSz w:w="12240" w:h="15840"/>
          <w:pgMar w:top="1440" w:right="1440" w:bottom="1440" w:left="1440" w:header="720" w:footer="720" w:gutter="0"/>
          <w:cols w:space="720"/>
        </w:sectPr>
      </w:pPr>
    </w:p>
    <w:p w14:paraId="2B16AC39" w14:textId="77777777" w:rsidR="00051D7E" w:rsidRDefault="00051D7E" w:rsidP="00051D7E">
      <w:pPr>
        <w:rPr>
          <w:b/>
          <w:i/>
          <w:sz w:val="26"/>
          <w:szCs w:val="26"/>
        </w:rPr>
      </w:pPr>
      <w:r>
        <w:rPr>
          <w:b/>
          <w:i/>
          <w:sz w:val="26"/>
          <w:szCs w:val="26"/>
        </w:rPr>
        <w:lastRenderedPageBreak/>
        <w:t>UNIVERSITY OF MAINE SYSTEM</w:t>
      </w:r>
    </w:p>
    <w:p w14:paraId="1FD9D60F" w14:textId="77777777" w:rsidR="00051D7E" w:rsidRDefault="00051D7E" w:rsidP="00051D7E">
      <w:pPr>
        <w:pStyle w:val="Style1"/>
      </w:pPr>
      <w:r>
        <w:t xml:space="preserve">Statements of Financial Position – </w:t>
      </w:r>
      <w:r w:rsidRPr="00954D00">
        <w:rPr>
          <w:color w:val="auto"/>
        </w:rPr>
        <w:t>Discretely Presented Component Unit</w:t>
      </w:r>
    </w:p>
    <w:p w14:paraId="02F5BEA4" w14:textId="77777777" w:rsidR="00051D7E" w:rsidRDefault="00051D7E" w:rsidP="00051D7E">
      <w:pPr>
        <w:pBdr>
          <w:bottom w:val="single" w:sz="18" w:space="1" w:color="00688D"/>
        </w:pBdr>
        <w:rPr>
          <w:b/>
          <w:color w:val="FF0000"/>
          <w:sz w:val="26"/>
          <w:szCs w:val="26"/>
        </w:rPr>
      </w:pPr>
      <w:r>
        <w:rPr>
          <w:b/>
          <w:i/>
          <w:sz w:val="26"/>
          <w:szCs w:val="26"/>
        </w:rPr>
        <w:t>JUNE 30, 2021 AND 2020 (IN THOUSANDS)</w:t>
      </w:r>
    </w:p>
    <w:p w14:paraId="71633A34" w14:textId="77777777" w:rsidR="00653C92" w:rsidRDefault="00653C92" w:rsidP="00051D7E">
      <w:pPr>
        <w:spacing w:after="160" w:line="256" w:lineRule="auto"/>
        <w:jc w:val="center"/>
      </w:pPr>
    </w:p>
    <w:p w14:paraId="289F4E1B" w14:textId="2F254C55" w:rsidR="00051D7E" w:rsidRDefault="0092595D" w:rsidP="00051D7E">
      <w:pPr>
        <w:spacing w:after="160" w:line="256" w:lineRule="auto"/>
        <w:jc w:val="center"/>
        <w:rPr>
          <w:rFonts w:ascii="Calibri" w:hAnsi="Calibri"/>
          <w:sz w:val="24"/>
          <w:szCs w:val="24"/>
        </w:rPr>
      </w:pPr>
      <w:r w:rsidRPr="0092595D">
        <w:rPr>
          <w:noProof/>
        </w:rPr>
        <w:drawing>
          <wp:inline distT="0" distB="0" distL="0" distR="0" wp14:anchorId="0860F453" wp14:editId="121CAB97">
            <wp:extent cx="5768340" cy="5920740"/>
            <wp:effectExtent l="0" t="0" r="3810" b="0"/>
            <wp:docPr id="12" name="Picture 12" descr="    2021 2020&#10;Assets     &#10; Cash and cash equivalents    $1,651   $2,361 &#10; Other receivables    129   119 &#10; &quot;Promises to give, less allowance for uncollectible pledges&#10;     of $140&quot;    8,364   8,034 &#10; Short-term investments    25,130   23,481 &#10; Cash surrender value of life insurance    188   170 &#10; Long-term investments, endowment    310,056   228,117 &#10; Long-term investments, life income plans    5,873   4,818 &#10; Notes receivable    21   34 &#10; Equity in Buchanan Alumni House    2,663   2,679 &#10; Investment real estate    5,525   5,526 &#10; &quot;Property and equipment, net of accumulated depreciation of &#10;     $234 and $287, respectively&quot;    149   115 &#10; Other assets    524   543 &#10; Irrevocable trusts    7,662   6,794 &#10;  Total Assets   $367,935   $282,791 &#10;     &#10;Liabilities     &#10; Accounts payable    $272   $336 &#10; Distributions due income beneficiaries    1,758   1,932 &#10; Accrued expenses    927   823 &#10; Deferred revenue    133   - &#10; Notes payable    -   719 &#10; Custodial accounts payable    3,998   3,177 &#10;  Total Liabilities   7,088   6,987 &#10;Net Assets     &#10; Without donor restrictions    15,414   12,995 &#10; With donor restrictions    345,433   262,809 &#10;  Total Net Assets   360,847   275,804 &#10;  Total Liabilities and Net Assets   $367,935   $28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8340" cy="5920740"/>
                    </a:xfrm>
                    <a:prstGeom prst="rect">
                      <a:avLst/>
                    </a:prstGeom>
                    <a:noFill/>
                    <a:ln>
                      <a:noFill/>
                    </a:ln>
                  </pic:spPr>
                </pic:pic>
              </a:graphicData>
            </a:graphic>
          </wp:inline>
        </w:drawing>
      </w:r>
      <w:r w:rsidR="00653C92" w:rsidRPr="00653C92">
        <w:t xml:space="preserve"> </w:t>
      </w:r>
      <w:r w:rsidR="00051D7E">
        <w:rPr>
          <w:rFonts w:ascii="Calibri" w:hAnsi="Calibri"/>
          <w:sz w:val="24"/>
          <w:szCs w:val="24"/>
        </w:rPr>
        <w:br w:type="page"/>
      </w:r>
    </w:p>
    <w:p w14:paraId="028421F4" w14:textId="77777777" w:rsidR="00051D7E" w:rsidRDefault="00051D7E" w:rsidP="00051D7E">
      <w:pPr>
        <w:rPr>
          <w:b/>
          <w:i/>
          <w:sz w:val="26"/>
          <w:szCs w:val="26"/>
        </w:rPr>
      </w:pPr>
      <w:r>
        <w:rPr>
          <w:b/>
          <w:i/>
          <w:sz w:val="26"/>
          <w:szCs w:val="26"/>
        </w:rPr>
        <w:lastRenderedPageBreak/>
        <w:t>UNIVERSITY OF MAINE SYSTEM</w:t>
      </w:r>
    </w:p>
    <w:p w14:paraId="22174457" w14:textId="77777777" w:rsidR="00051D7E" w:rsidRDefault="00051D7E" w:rsidP="00051D7E">
      <w:pPr>
        <w:pStyle w:val="Style1"/>
      </w:pPr>
      <w:r>
        <w:t>Statements of Revenues, Expenses and Changes in Net Position</w:t>
      </w:r>
    </w:p>
    <w:p w14:paraId="71A58802" w14:textId="77777777" w:rsidR="00051D7E" w:rsidRDefault="00051D7E" w:rsidP="00051D7E">
      <w:pPr>
        <w:pBdr>
          <w:bottom w:val="single" w:sz="18" w:space="1" w:color="00688D"/>
        </w:pBdr>
        <w:rPr>
          <w:b/>
          <w:i/>
          <w:sz w:val="26"/>
          <w:szCs w:val="26"/>
        </w:rPr>
      </w:pPr>
      <w:r>
        <w:rPr>
          <w:b/>
          <w:i/>
          <w:sz w:val="26"/>
          <w:szCs w:val="26"/>
        </w:rPr>
        <w:t>YEARS ENDED JUNE 30, 2021 AND 2020 (IN THOUSANDS)</w:t>
      </w:r>
    </w:p>
    <w:p w14:paraId="765FB3BA" w14:textId="77777777" w:rsidR="00051D7E" w:rsidRPr="000544FC" w:rsidRDefault="00051D7E" w:rsidP="00051D7E">
      <w:pPr>
        <w:jc w:val="center"/>
        <w:rPr>
          <w:sz w:val="10"/>
        </w:rPr>
      </w:pPr>
    </w:p>
    <w:p w14:paraId="507EE247" w14:textId="6DD64A6B" w:rsidR="00051D7E" w:rsidRDefault="00D11FE7" w:rsidP="00051D7E">
      <w:pPr>
        <w:jc w:val="center"/>
        <w:rPr>
          <w:rFonts w:ascii="Calibri" w:hAnsi="Calibri"/>
          <w:sz w:val="24"/>
          <w:szCs w:val="24"/>
        </w:rPr>
        <w:sectPr w:rsidR="00051D7E" w:rsidSect="007531FB">
          <w:pgSz w:w="12240" w:h="15840"/>
          <w:pgMar w:top="1440" w:right="1440" w:bottom="1440" w:left="1440" w:header="720" w:footer="720" w:gutter="0"/>
          <w:cols w:space="720"/>
        </w:sectPr>
      </w:pPr>
      <w:r w:rsidRPr="00D11FE7">
        <w:rPr>
          <w:rFonts w:ascii="Calibri" w:hAnsi="Calibri"/>
          <w:sz w:val="8"/>
          <w:szCs w:val="24"/>
        </w:rPr>
        <w:t xml:space="preserve"> </w:t>
      </w:r>
      <w:r w:rsidRPr="00D11FE7">
        <w:rPr>
          <w:noProof/>
        </w:rPr>
        <w:drawing>
          <wp:inline distT="0" distB="0" distL="0" distR="0" wp14:anchorId="01995136" wp14:editId="2C84F01C">
            <wp:extent cx="5523187" cy="7406640"/>
            <wp:effectExtent l="0" t="0" r="1905" b="3810"/>
            <wp:docPr id="14" name="Picture 14" descr=" 2021 2020&#10;Operating Revenues  &#10;Tuition and fees  $320,684   $319,350 &#10;Residence and dining fees  39,894   52,111 &#10;Less: scholarship allowances  (122,104)  (123,712)&#10;Net student fees  238,474   247,749 &#10;Federal, state and private grants and contracts  119,085   106,209 &#10;Recovery of indirect costs  17,308   14,668 &#10;Educational sales and services and other revenues  19,315   29,566 &#10;Other auxiliary enterprises  10,894   14,823 &#10;Total Operating Revenues  405,076   413,015 &#10;Operating Expenses  &#10;Instruction  185,295   183,097 &#10;Research  85,791   80,098 &#10;Public service  59,435   57,914 &#10;Academic support  77,404   73,440 &#10;Student services  56,904   61,856 &#10;Institutional support  12,004   64,842 &#10;Operation and maintenance of plant  63,407   50,533 &#10;Depreciation and amortization (Note 6)  42,285   41,838 &#10;Student aid  40,122   39,662 &#10;Auxiliary enterprises  56,837   62,790 &#10;Total Operating Expenses  679,484   716,070 &#10;Operating Loss  (274,408)  (303,055)&#10;Nonoperating Revenues (Expenses)  &#10;Noncapital State of Maine appropriations  218,157   219,864 &#10;Federal Pell Grants  34,591   37,808 &#10;Coronavirus relief funding  36,602   15,456 &#10;Gifts currently expendable  19,165   19,400 &#10;Endowment return used for operations (Note 3)  6,006   5,603 &#10;Investment income (Note 3)  22,485   9,074 &#10;Interest expense, net (Note 7)  (3,818)  (4,044)&#10;Net Nonoperating Revenues (Expenses)  333,188   303,161 &#10;Income Before Other Changes in Net Position  58,780   106 &#10;Other Changes in Net Position  &#10;State of Maine capital appropriations  15,988   14,308 &#10;Capital grants and gifts  8,225   3,387 &#10;Endowment return, net of amount used for operations (Note 3)  29,406   (4,165)&#10;True and quasi endowment gifts  2,582   787 &#10;Loss on disposal of capital assets  (2,395)  (511)&#10;Total Other Changes in Net Position  53,806   13,806 &#10;Change in Net Position  112,586   13,912 &#10;Net Position - Beginning of the Year  832,108   818,196 &#10;Net Position - End of Year  $944,694   $832,10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23187" cy="7406640"/>
                    </a:xfrm>
                    <a:prstGeom prst="rect">
                      <a:avLst/>
                    </a:prstGeom>
                    <a:noFill/>
                    <a:ln>
                      <a:noFill/>
                    </a:ln>
                  </pic:spPr>
                </pic:pic>
              </a:graphicData>
            </a:graphic>
          </wp:inline>
        </w:drawing>
      </w:r>
    </w:p>
    <w:p w14:paraId="2EBB9370" w14:textId="77777777" w:rsidR="00051D7E" w:rsidRDefault="00051D7E" w:rsidP="00051D7E">
      <w:pPr>
        <w:rPr>
          <w:b/>
          <w:i/>
          <w:sz w:val="26"/>
          <w:szCs w:val="26"/>
        </w:rPr>
      </w:pPr>
      <w:r>
        <w:rPr>
          <w:b/>
          <w:i/>
          <w:sz w:val="26"/>
          <w:szCs w:val="26"/>
        </w:rPr>
        <w:lastRenderedPageBreak/>
        <w:t>UNIVERSITY OF MAINE SYSTEM</w:t>
      </w:r>
    </w:p>
    <w:p w14:paraId="6D13FAC3" w14:textId="77777777" w:rsidR="00051D7E" w:rsidRDefault="00051D7E" w:rsidP="00051D7E">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 xml:space="preserve">Statements of Activities – </w:t>
      </w:r>
      <w:r w:rsidRPr="00954D00">
        <w:rPr>
          <w:rFonts w:ascii="Calibri" w:eastAsia="Times New Roman" w:hAnsi="Calibri" w:cs="Times New Roman"/>
          <w:b/>
          <w:i/>
          <w:caps/>
          <w:spacing w:val="-3"/>
          <w:sz w:val="26"/>
          <w:szCs w:val="26"/>
        </w:rPr>
        <w:t xml:space="preserve">Discretely Presented Component Unit </w:t>
      </w:r>
    </w:p>
    <w:p w14:paraId="32880B31" w14:textId="77777777" w:rsidR="00051D7E" w:rsidRDefault="00051D7E" w:rsidP="00051D7E">
      <w:pPr>
        <w:pBdr>
          <w:bottom w:val="single" w:sz="18" w:space="1" w:color="00688D"/>
        </w:pBdr>
        <w:rPr>
          <w:b/>
          <w:i/>
          <w:sz w:val="26"/>
          <w:szCs w:val="26"/>
        </w:rPr>
      </w:pPr>
      <w:r>
        <w:rPr>
          <w:b/>
          <w:i/>
          <w:sz w:val="26"/>
          <w:szCs w:val="26"/>
        </w:rPr>
        <w:t>YEAR ENDED JUNE 30, 2021 WITH COMPARATIVE TOTALS FOR THE YEAR ENDED JUNE, 30 2020 (IN THOUSANDS)</w:t>
      </w:r>
    </w:p>
    <w:p w14:paraId="43910B2A" w14:textId="6ABE843F" w:rsidR="00051D7E" w:rsidRDefault="00330243" w:rsidP="00051D7E">
      <w:pPr>
        <w:jc w:val="center"/>
        <w:rPr>
          <w:rFonts w:ascii="Calibri" w:hAnsi="Calibri"/>
          <w:sz w:val="24"/>
          <w:szCs w:val="24"/>
        </w:rPr>
        <w:sectPr w:rsidR="00051D7E" w:rsidSect="007531FB">
          <w:pgSz w:w="12240" w:h="15840"/>
          <w:pgMar w:top="1440" w:right="1440" w:bottom="1440" w:left="1440" w:header="720" w:footer="720" w:gutter="0"/>
          <w:cols w:space="720"/>
        </w:sectPr>
      </w:pPr>
      <w:r w:rsidRPr="00330243">
        <w:rPr>
          <w:noProof/>
        </w:rPr>
        <w:drawing>
          <wp:inline distT="0" distB="0" distL="0" distR="0" wp14:anchorId="66632119" wp14:editId="38F62822">
            <wp:extent cx="5943600" cy="5188378"/>
            <wp:effectExtent l="0" t="0" r="0" b="0"/>
            <wp:docPr id="2" name="Picture 2" descr="   Without Donor Restrictions With Donor Restrictions Total      2021  Total      2020 &#10;      &#10;Revenues, Gains, Losses, and Reclassification      &#10; Contributions   $4,585   $18,869   $23,454   $22,663 &#10; Advancement services   3,694   -   3,694   3,653 &#10; Investment returns and other revenue   2,484   74,851   77,335   3,176 &#10; Reinvestment of donor funds   148   (148)  -   - &#10; Gain from extinguishment of debt -      &#10;    Paycheck Protection Program   719   -   719   - &#10; Net assets released from restrictions pursuant     &#10;    to endowment spending distribution   6,721   (6,721)  -   - &#10; Net assets released from restrictions - other   4,227   (4,227)  -   - &#10; Total Revenues, Gains, Losses, and Reclassification   22,578   82,624   105,202   29,492 &#10;Expenses and Losses      &#10; Program services   16,134   -   16,134   16,037 &#10; Management and general   1,003   -   1,003   1,051 &#10; Fundraising   3,022   -   3,022   3,273 &#10; Total Expenses   20,159   -   20,159   20,361 &#10; Change in Net Assets   2,419   82,624   85,043   9,131 &#10; Net Assets - Beginning of Year   12,995   262,809   275,804   266,673 &#10; Net Assets - End of Year   $15,414   $345,433   $360,847   $27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5188378"/>
                    </a:xfrm>
                    <a:prstGeom prst="rect">
                      <a:avLst/>
                    </a:prstGeom>
                    <a:noFill/>
                    <a:ln>
                      <a:noFill/>
                    </a:ln>
                  </pic:spPr>
                </pic:pic>
              </a:graphicData>
            </a:graphic>
          </wp:inline>
        </w:drawing>
      </w:r>
    </w:p>
    <w:p w14:paraId="2E66151D" w14:textId="77777777" w:rsidR="00051D7E" w:rsidRDefault="00051D7E" w:rsidP="00051D7E">
      <w:pPr>
        <w:rPr>
          <w:b/>
          <w:i/>
          <w:sz w:val="26"/>
          <w:szCs w:val="26"/>
        </w:rPr>
      </w:pPr>
      <w:r>
        <w:rPr>
          <w:b/>
          <w:i/>
          <w:sz w:val="26"/>
          <w:szCs w:val="26"/>
        </w:rPr>
        <w:lastRenderedPageBreak/>
        <w:t>UNIVERSITY OF MAINE SYSTEM</w:t>
      </w:r>
    </w:p>
    <w:p w14:paraId="1D44BE9F" w14:textId="77777777" w:rsidR="00051D7E" w:rsidRDefault="00051D7E" w:rsidP="00051D7E">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 xml:space="preserve">Statements </w:t>
      </w:r>
      <w:r w:rsidRPr="00D73825">
        <w:rPr>
          <w:rFonts w:ascii="Calibri" w:eastAsia="Times New Roman" w:hAnsi="Calibri" w:cs="Times New Roman"/>
          <w:b/>
          <w:i/>
          <w:caps/>
          <w:spacing w:val="-3"/>
          <w:sz w:val="26"/>
          <w:szCs w:val="26"/>
        </w:rPr>
        <w:t>of Cash Flows</w:t>
      </w:r>
    </w:p>
    <w:p w14:paraId="71519F5E" w14:textId="77777777" w:rsidR="00051D7E" w:rsidRDefault="00051D7E" w:rsidP="00051D7E">
      <w:pPr>
        <w:keepNext/>
        <w:pBdr>
          <w:bottom w:val="single" w:sz="18" w:space="1" w:color="00688D"/>
        </w:pBdr>
        <w:suppressAutoHyphens/>
        <w:spacing w:after="240"/>
        <w:outlineLvl w:val="0"/>
        <w:rPr>
          <w:rFonts w:ascii="Calibri" w:eastAsia="Times New Roman" w:hAnsi="Calibri" w:cs="Times New Roman"/>
          <w:b/>
          <w:i/>
          <w:caps/>
          <w:color w:val="000000"/>
          <w:spacing w:val="-3"/>
        </w:rPr>
      </w:pPr>
      <w:r>
        <w:rPr>
          <w:rFonts w:ascii="Calibri" w:eastAsia="Times New Roman" w:hAnsi="Calibri" w:cs="Times New Roman"/>
          <w:b/>
          <w:i/>
          <w:caps/>
          <w:color w:val="000000"/>
          <w:spacing w:val="-3"/>
          <w:sz w:val="26"/>
          <w:szCs w:val="26"/>
        </w:rPr>
        <w:t xml:space="preserve">Years Ended June 30, 2021 and 2020 </w:t>
      </w:r>
      <w:r>
        <w:rPr>
          <w:rFonts w:ascii="Calibri" w:eastAsia="Times New Roman" w:hAnsi="Calibri" w:cs="Times New Roman"/>
          <w:b/>
          <w:i/>
          <w:caps/>
          <w:color w:val="000000"/>
          <w:spacing w:val="-3"/>
        </w:rPr>
        <w:t>(in thousands)</w:t>
      </w:r>
    </w:p>
    <w:p w14:paraId="635BCF89" w14:textId="3D03FD8B" w:rsidR="00051D7E" w:rsidRDefault="009C52EF" w:rsidP="00051D7E">
      <w:pPr>
        <w:jc w:val="center"/>
        <w:rPr>
          <w:rFonts w:ascii="Calibri" w:hAnsi="Calibri"/>
          <w:sz w:val="24"/>
          <w:szCs w:val="24"/>
        </w:rPr>
      </w:pPr>
      <w:r w:rsidRPr="009C52EF">
        <w:rPr>
          <w:noProof/>
        </w:rPr>
        <w:drawing>
          <wp:inline distT="0" distB="0" distL="0" distR="0" wp14:anchorId="6481F32B" wp14:editId="3C266119">
            <wp:extent cx="5799455" cy="6891655"/>
            <wp:effectExtent l="0" t="0" r="0" b="4445"/>
            <wp:docPr id="17" name="Picture 17" descr=" 2021 2020 Restated&#10;Cash Flows From Operating Activities  &#10;Tuition, residence, dining, and other student fees  $236,417   $242,181 &#10;Grants and contracts  123,120   115,671 &#10;Educational sales and services and other auxiliary enterprise revenues  30,559   43,460 &#10;Payments to and on behalf of employees  (463,985)  (453,110)&#10;Financial aid paid to students  (44,475)  (45,476)&#10;Payments to suppliers  (165,433)  (175,917)&#10;Loans issued to students  (1,791)  (1,898)&#10;Collection of loans to students  5,091   5,640 &#10;Net Cash Used for Operating Activities  (280,497)  (269,449)&#10;Cash Flows From Noncapital Financing Activities  &#10;State appropriations  218,157   219,864 &#10;Federal Pell Grants  34,733   38,624 &#10;Coronavirus relief funding  23,339   13,521 &#10;Noncapital grants and gifts  23,942   18,811 &#10;Agency transactions  88   11,274 &#10;Net Cash Provided by Noncapital Financing Activities  300,259   302,094 &#10;Cash Flows From Capital and Related Financing Activities  &#10;Proceeds from capital debt issuances  43,000   - &#10;Capital appropriations  15,758   11,886 &#10;Capital grants and gifts  6,452   3,544 &#10;Proceeds from sale of capital assets  41   35 &#10;Acquisition and construction of capital assets  (46,210)  (31,686)&#10;Principal paid on capital debt and leases  (12,869)  (13,690)&#10;Interest paid on capital debt and leases  (5,334)  (5,848)&#10;Net Cash Provided by (Used for) Capital and Related Financing Activities  838   (35,759)&#10;Cash Flows From Investing Activities  &#10;Proceeds from sales and maturities of investments  416,248   659,778 &#10;Purchases of investments  (447,045)  (668,053)&#10;Earnings from investments  5,945   8,045 &#10;Net Cash Used for Investing Activities  (24,852)  (230)&#10;Net Decrease in Cash and Cash Equivalents  (4,252)  (3,344)&#10;Cash and Cash Equivalents - Beginning of Year-Restated  7,282   10,626 &#10;Cash and Cash Equivalents - End of Year  $3,030   $7,2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99455" cy="6891655"/>
                    </a:xfrm>
                    <a:prstGeom prst="rect">
                      <a:avLst/>
                    </a:prstGeom>
                    <a:noFill/>
                    <a:ln>
                      <a:noFill/>
                    </a:ln>
                  </pic:spPr>
                </pic:pic>
              </a:graphicData>
            </a:graphic>
          </wp:inline>
        </w:drawing>
      </w:r>
      <w:r w:rsidR="00051D7E">
        <w:rPr>
          <w:rFonts w:ascii="Calibri" w:hAnsi="Calibri"/>
          <w:sz w:val="24"/>
          <w:szCs w:val="24"/>
        </w:rPr>
        <w:fldChar w:fldCharType="begin"/>
      </w:r>
      <w:r w:rsidR="00051D7E">
        <w:rPr>
          <w:rFonts w:ascii="Calibri" w:hAnsi="Calibri"/>
          <w:sz w:val="24"/>
          <w:szCs w:val="24"/>
        </w:rPr>
        <w:fldChar w:fldCharType="end"/>
      </w:r>
    </w:p>
    <w:p w14:paraId="5435944F" w14:textId="77777777" w:rsidR="00051D7E" w:rsidRDefault="00051D7E" w:rsidP="00051D7E">
      <w:pPr>
        <w:rPr>
          <w:rFonts w:ascii="Calibri" w:hAnsi="Calibri"/>
          <w:sz w:val="24"/>
          <w:szCs w:val="24"/>
        </w:rPr>
        <w:sectPr w:rsidR="00051D7E" w:rsidSect="007531FB">
          <w:pgSz w:w="12240" w:h="15840"/>
          <w:pgMar w:top="1440" w:right="1440" w:bottom="1440" w:left="1440" w:header="720" w:footer="720" w:gutter="0"/>
          <w:cols w:space="720"/>
        </w:sectPr>
      </w:pPr>
    </w:p>
    <w:p w14:paraId="268776DD" w14:textId="77777777" w:rsidR="00051D7E" w:rsidRDefault="00051D7E" w:rsidP="00051D7E">
      <w:pPr>
        <w:rPr>
          <w:b/>
          <w:i/>
          <w:sz w:val="26"/>
          <w:szCs w:val="26"/>
        </w:rPr>
      </w:pPr>
      <w:r>
        <w:rPr>
          <w:b/>
          <w:i/>
          <w:sz w:val="26"/>
          <w:szCs w:val="26"/>
        </w:rPr>
        <w:lastRenderedPageBreak/>
        <w:t>UNIVERSITY OF MAINE SYSTEM</w:t>
      </w:r>
    </w:p>
    <w:p w14:paraId="35E7BFCC" w14:textId="77777777" w:rsidR="00051D7E" w:rsidRDefault="00051D7E" w:rsidP="00051D7E">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 xml:space="preserve">Statements of </w:t>
      </w:r>
      <w:r w:rsidRPr="00D73825">
        <w:rPr>
          <w:rFonts w:ascii="Calibri" w:eastAsia="Times New Roman" w:hAnsi="Calibri" w:cs="Times New Roman"/>
          <w:b/>
          <w:i/>
          <w:caps/>
          <w:spacing w:val="-3"/>
          <w:sz w:val="26"/>
          <w:szCs w:val="26"/>
        </w:rPr>
        <w:t>Cash Flows</w:t>
      </w:r>
    </w:p>
    <w:p w14:paraId="16B5C1D7" w14:textId="77777777" w:rsidR="00051D7E" w:rsidRPr="00192DE9" w:rsidRDefault="00051D7E" w:rsidP="00051D7E">
      <w:pPr>
        <w:keepNext/>
        <w:pBdr>
          <w:bottom w:val="single" w:sz="18" w:space="1" w:color="00688D"/>
        </w:pBdr>
        <w:suppressAutoHyphens/>
        <w:spacing w:after="240"/>
        <w:outlineLvl w:val="0"/>
      </w:pPr>
      <w:r>
        <w:rPr>
          <w:rFonts w:ascii="Calibri" w:eastAsia="Times New Roman" w:hAnsi="Calibri" w:cs="Times New Roman"/>
          <w:b/>
          <w:i/>
          <w:caps/>
          <w:color w:val="000000"/>
          <w:spacing w:val="-3"/>
          <w:sz w:val="26"/>
          <w:szCs w:val="26"/>
        </w:rPr>
        <w:t xml:space="preserve">Years Ended June 30, 2021 and 2020 </w:t>
      </w:r>
      <w:r>
        <w:rPr>
          <w:rFonts w:ascii="Calibri" w:eastAsia="Times New Roman" w:hAnsi="Calibri" w:cs="Times New Roman"/>
          <w:b/>
          <w:i/>
          <w:caps/>
          <w:color w:val="000000"/>
          <w:spacing w:val="-3"/>
        </w:rPr>
        <w:t>(in Thousands)</w:t>
      </w:r>
      <w:r>
        <w:fldChar w:fldCharType="begin"/>
      </w:r>
      <w:r>
        <w:fldChar w:fldCharType="end"/>
      </w:r>
    </w:p>
    <w:p w14:paraId="55DA0895" w14:textId="5E6D32E9" w:rsidR="00051D7E" w:rsidRDefault="009C52EF" w:rsidP="00051D7E">
      <w:pPr>
        <w:spacing w:after="160" w:line="259" w:lineRule="auto"/>
        <w:rPr>
          <w:rFonts w:ascii="Times New Roman" w:eastAsia="Times New Roman" w:hAnsi="Times New Roman" w:cs="Times New Roman"/>
          <w:sz w:val="20"/>
          <w:szCs w:val="20"/>
        </w:rPr>
        <w:sectPr w:rsidR="00051D7E" w:rsidSect="007531FB">
          <w:footerReference w:type="first" r:id="rId63"/>
          <w:pgSz w:w="12240" w:h="15840" w:code="1"/>
          <w:pgMar w:top="1440" w:right="1440" w:bottom="1440" w:left="1440" w:header="720" w:footer="720" w:gutter="0"/>
          <w:cols w:space="0"/>
          <w:titlePg/>
          <w:docGrid w:linePitch="360"/>
        </w:sectPr>
      </w:pPr>
      <w:r w:rsidRPr="009C52EF">
        <w:rPr>
          <w:noProof/>
        </w:rPr>
        <w:drawing>
          <wp:inline distT="0" distB="0" distL="0" distR="0" wp14:anchorId="506BDFB0" wp14:editId="0ABB004B">
            <wp:extent cx="5799455" cy="5782945"/>
            <wp:effectExtent l="0" t="0" r="0" b="8255"/>
            <wp:docPr id="59" name="Picture 59" descr="Reconciliation of operating loss to net cash used for operating activities:  &#10; 2021 2020 Restated&#10;Operating Loss  $(274,408)  $(303,055)&#10;Adjustments to reconcile operating loss to net cash used for operating activities:  &#10;Depreciation and amortization  42,285   41,838 &#10;Changes in assets, liabilities, deferred outflows and deferred inflows:  &#10;Accounts and grants receivable, net  (8,387)  (3,919)&#10;Inventories and prepaid expenses  20   496 &#10;Notes receivable, net  3,895   3,762 &#10;Net OPEB asset  (18,057)  - &#10;Irrevocable split interest agreements  918   334 &#10;Deferred outflows related to pensions  357   (8)&#10;Deferred outflows related to OPEB  13,135   (8,943)&#10;Accounts payable  2,176   (4,375)&#10;Unearned revenue and deposits  3,601   953 &#10;Accrued liabilities  (63,431)  17,582 &#10;Grants refundable  (4,608)  (5,972)&#10;Deferred inflows related to pensions  848   (371)&#10;Deferred inflows related to OPEB  22,090   (7,008)&#10;Deferred inflows related to split interest agreements  (918)  (334)&#10;Deferred inflows related to dining contract  (13)  (429)&#10;Net Cash Used for Operating Activities  $(280,497)  $(269,449)&#10;Noncash investing, capital, and financing activities:  &#10;Capital asset additions included in accounts payable and accrued liabilities as of June 30  $7,177   $3,406 &#10;Capital asset additions acquired through long-term debt  $106   $2,389 &#10;Capital asset additions acquired through long-term liabilities  $-   $4,386 &#10;Capital asset additions acquired through service consession arrangements  $5   $1,4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99455" cy="5782945"/>
                    </a:xfrm>
                    <a:prstGeom prst="rect">
                      <a:avLst/>
                    </a:prstGeom>
                    <a:noFill/>
                    <a:ln>
                      <a:noFill/>
                    </a:ln>
                  </pic:spPr>
                </pic:pic>
              </a:graphicData>
            </a:graphic>
          </wp:inline>
        </w:drawing>
      </w:r>
    </w:p>
    <w:p w14:paraId="28880DCD" w14:textId="77777777" w:rsidR="00051D7E" w:rsidRPr="00AF25D6" w:rsidRDefault="00051D7E" w:rsidP="00051D7E">
      <w:pPr>
        <w:rPr>
          <w:b/>
          <w:i/>
          <w:color w:val="0D0D0D" w:themeColor="text1" w:themeTint="F2"/>
          <w:sz w:val="26"/>
          <w:szCs w:val="26"/>
        </w:rPr>
      </w:pPr>
      <w:r w:rsidRPr="00AF25D6">
        <w:rPr>
          <w:b/>
          <w:i/>
          <w:color w:val="0D0D0D" w:themeColor="text1" w:themeTint="F2"/>
          <w:sz w:val="26"/>
          <w:szCs w:val="26"/>
        </w:rPr>
        <w:lastRenderedPageBreak/>
        <w:t>UNIVERSITY OF MAINE SYSTEM</w:t>
      </w:r>
    </w:p>
    <w:p w14:paraId="06864ADE" w14:textId="77777777" w:rsidR="00051D7E" w:rsidRPr="00AF25D6" w:rsidRDefault="00051D7E" w:rsidP="00051D7E">
      <w:pPr>
        <w:keepNext/>
        <w:pBdr>
          <w:bottom w:val="single" w:sz="18" w:space="1" w:color="00688D"/>
        </w:pBdr>
        <w:suppressAutoHyphens/>
        <w:outlineLvl w:val="0"/>
        <w:rPr>
          <w:rFonts w:ascii="Calibri" w:eastAsia="Times New Roman" w:hAnsi="Calibri" w:cs="Times New Roman"/>
          <w:b/>
          <w:i/>
          <w:caps/>
          <w:color w:val="0D0D0D" w:themeColor="text1" w:themeTint="F2"/>
          <w:spacing w:val="-3"/>
          <w:sz w:val="26"/>
          <w:szCs w:val="26"/>
        </w:rPr>
      </w:pPr>
      <w:r w:rsidRPr="00AF25D6">
        <w:rPr>
          <w:rFonts w:ascii="Calibri" w:eastAsia="Times New Roman" w:hAnsi="Calibri" w:cs="Times New Roman"/>
          <w:b/>
          <w:i/>
          <w:caps/>
          <w:color w:val="0D0D0D" w:themeColor="text1" w:themeTint="F2"/>
          <w:spacing w:val="-3"/>
          <w:sz w:val="26"/>
          <w:szCs w:val="26"/>
        </w:rPr>
        <w:t xml:space="preserve">Statements of </w:t>
      </w:r>
      <w:r>
        <w:rPr>
          <w:rFonts w:ascii="Calibri" w:eastAsia="Times New Roman" w:hAnsi="Calibri" w:cs="Times New Roman"/>
          <w:b/>
          <w:i/>
          <w:caps/>
          <w:color w:val="0D0D0D" w:themeColor="text1" w:themeTint="F2"/>
          <w:spacing w:val="-3"/>
          <w:sz w:val="26"/>
          <w:szCs w:val="26"/>
        </w:rPr>
        <w:t>FiDUCIARY NET POSITION</w:t>
      </w:r>
    </w:p>
    <w:p w14:paraId="68F2CE82" w14:textId="77777777" w:rsidR="00051D7E" w:rsidRPr="00AF25D6" w:rsidRDefault="00051D7E" w:rsidP="00051D7E">
      <w:pPr>
        <w:keepNext/>
        <w:pBdr>
          <w:bottom w:val="single" w:sz="18" w:space="1" w:color="00688D"/>
        </w:pBdr>
        <w:suppressAutoHyphens/>
        <w:spacing w:after="240"/>
        <w:outlineLvl w:val="0"/>
        <w:rPr>
          <w:color w:val="0D0D0D" w:themeColor="text1" w:themeTint="F2"/>
        </w:rPr>
      </w:pPr>
      <w:r w:rsidRPr="00AF25D6">
        <w:rPr>
          <w:rFonts w:ascii="Calibri" w:eastAsia="Times New Roman" w:hAnsi="Calibri" w:cs="Times New Roman"/>
          <w:b/>
          <w:i/>
          <w:caps/>
          <w:color w:val="0D0D0D" w:themeColor="text1" w:themeTint="F2"/>
          <w:spacing w:val="-3"/>
          <w:sz w:val="26"/>
          <w:szCs w:val="26"/>
        </w:rPr>
        <w:t xml:space="preserve">Years Ended June 30, 2021 and 2020 </w:t>
      </w:r>
      <w:r w:rsidRPr="00AF25D6">
        <w:rPr>
          <w:rFonts w:ascii="Calibri" w:eastAsia="Times New Roman" w:hAnsi="Calibri" w:cs="Times New Roman"/>
          <w:b/>
          <w:i/>
          <w:caps/>
          <w:color w:val="0D0D0D" w:themeColor="text1" w:themeTint="F2"/>
          <w:spacing w:val="-3"/>
        </w:rPr>
        <w:t>(in Thousands)</w:t>
      </w:r>
      <w:r w:rsidRPr="00AF25D6">
        <w:rPr>
          <w:color w:val="0D0D0D" w:themeColor="text1" w:themeTint="F2"/>
        </w:rPr>
        <w:fldChar w:fldCharType="begin"/>
      </w:r>
      <w:r w:rsidRPr="00AF25D6">
        <w:rPr>
          <w:color w:val="0D0D0D" w:themeColor="text1" w:themeTint="F2"/>
        </w:rPr>
        <w:fldChar w:fldCharType="end"/>
      </w:r>
    </w:p>
    <w:p w14:paraId="45E94358" w14:textId="1D5D77A4" w:rsidR="00051D7E" w:rsidRDefault="00D11FE7" w:rsidP="00985AC6">
      <w:pPr>
        <w:spacing w:after="160" w:line="259" w:lineRule="auto"/>
      </w:pPr>
      <w:r w:rsidRPr="00D11FE7">
        <w:t xml:space="preserve"> </w:t>
      </w:r>
      <w:r w:rsidRPr="00D11FE7">
        <w:rPr>
          <w:noProof/>
        </w:rPr>
        <w:drawing>
          <wp:inline distT="0" distB="0" distL="0" distR="0" wp14:anchorId="59E4CDD2" wp14:editId="057C0DD5">
            <wp:extent cx="5943600" cy="4910195"/>
            <wp:effectExtent l="0" t="0" r="0" b="5080"/>
            <wp:docPr id="15" name="Picture 15" descr="  2021   2020 &#10; Pension and Other Employee  Custodial Funds  Pension and Other Employee Custodial Funds &#10; Benefit Trust Funds External Investment Pools Other Custodial Funds Benefit Trust Funds External Investment Pools Other Custodial Funds&#10;Assets      &#10;Cash and cash equivalents (Note 2)  $-   $-   $2,674   $-   $-   $2,377 &#10;&quot;Investment in UMS managed &#10;     investment pool (Note 3)&quot;  180,270   66,958   -   137,400   55,083   - &#10;&quot;Investment in UMS endowment&#10;     pool (Note 3)&quot;  -   35,190   -   -   25,857   - &#10;Other investments (Note 3)  25,291   -   -   24,609   -   - &#10;Prepaid expenses  -   -   5   -   -   - &#10;Total Assets  205,561   102,148   2,679   162,009   80,940   2,377 &#10;Liabilities      &#10;Accounts payable and other liabilities  -   -   29   -   -   22 &#10;Total Liabilities  -   -   29   -   -   22 &#10;Net Position Restricted for:      &#10;Pensions  25,291   -   -   24,609   -   - &#10;&quot;Postemployment benefits other&#10;     than pensions&quot;  180,270   -   -   137,400   -   - &#10;Pool participants  -   102,149   17   -   80,939   9 &#10;Student and other groups  -   -   2,633   -   -   2,346 &#10;Total Net Position  $205,561   $102,149   $2,650   $162,009   $80,939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910195"/>
                    </a:xfrm>
                    <a:prstGeom prst="rect">
                      <a:avLst/>
                    </a:prstGeom>
                    <a:noFill/>
                    <a:ln>
                      <a:noFill/>
                    </a:ln>
                  </pic:spPr>
                </pic:pic>
              </a:graphicData>
            </a:graphic>
          </wp:inline>
        </w:drawing>
      </w:r>
    </w:p>
    <w:p w14:paraId="20C952F3" w14:textId="0AA83B32" w:rsidR="00051D7E" w:rsidRDefault="00051D7E" w:rsidP="00051D7E">
      <w:pPr>
        <w:spacing w:after="160" w:line="259" w:lineRule="auto"/>
        <w:jc w:val="center"/>
        <w:rPr>
          <w:color w:val="0D0D0D" w:themeColor="text1" w:themeTint="F2"/>
          <w:sz w:val="24"/>
          <w:szCs w:val="26"/>
        </w:rPr>
      </w:pPr>
    </w:p>
    <w:p w14:paraId="4F1F67FE" w14:textId="77777777" w:rsidR="007531FB" w:rsidRDefault="007531FB" w:rsidP="00051D7E">
      <w:pPr>
        <w:rPr>
          <w:b/>
          <w:i/>
          <w:color w:val="0D0D0D" w:themeColor="text1" w:themeTint="F2"/>
          <w:sz w:val="26"/>
          <w:szCs w:val="26"/>
        </w:rPr>
        <w:sectPr w:rsidR="007531FB" w:rsidSect="00316DDD">
          <w:footerReference w:type="default" r:id="rId66"/>
          <w:footerReference w:type="first" r:id="rId67"/>
          <w:pgSz w:w="12240" w:h="15840" w:code="1"/>
          <w:pgMar w:top="1440" w:right="1440" w:bottom="1440" w:left="1440" w:header="720" w:footer="720" w:gutter="0"/>
          <w:cols w:space="0"/>
          <w:titlePg/>
          <w:docGrid w:linePitch="360"/>
        </w:sectPr>
      </w:pPr>
    </w:p>
    <w:p w14:paraId="23150E5C" w14:textId="27FA79CD" w:rsidR="00051D7E" w:rsidRPr="00AF25D6" w:rsidRDefault="00051D7E" w:rsidP="00051D7E">
      <w:pPr>
        <w:rPr>
          <w:b/>
          <w:i/>
          <w:color w:val="0D0D0D" w:themeColor="text1" w:themeTint="F2"/>
          <w:sz w:val="26"/>
          <w:szCs w:val="26"/>
        </w:rPr>
      </w:pPr>
      <w:r w:rsidRPr="00AF25D6">
        <w:rPr>
          <w:b/>
          <w:i/>
          <w:color w:val="0D0D0D" w:themeColor="text1" w:themeTint="F2"/>
          <w:sz w:val="26"/>
          <w:szCs w:val="26"/>
        </w:rPr>
        <w:lastRenderedPageBreak/>
        <w:t>UNIVERSITY OF MAINE SYSTEM</w:t>
      </w:r>
    </w:p>
    <w:p w14:paraId="79D49179" w14:textId="089A24C3" w:rsidR="00051D7E" w:rsidRDefault="00051D7E" w:rsidP="00051D7E">
      <w:pPr>
        <w:pStyle w:val="Style1"/>
      </w:pPr>
      <w:r>
        <w:t xml:space="preserve">Statements of Changes in </w:t>
      </w:r>
      <w:r w:rsidR="00F61D5D" w:rsidRPr="00AF25D6">
        <w:t xml:space="preserve">FIDUCIARY </w:t>
      </w:r>
      <w:r>
        <w:t>Net Position</w:t>
      </w:r>
    </w:p>
    <w:p w14:paraId="6ADDB5AE" w14:textId="77777777" w:rsidR="00051D7E" w:rsidRPr="00AF25D6" w:rsidRDefault="00051D7E" w:rsidP="00051D7E">
      <w:pPr>
        <w:keepNext/>
        <w:pBdr>
          <w:bottom w:val="single" w:sz="18" w:space="1" w:color="00688D"/>
        </w:pBdr>
        <w:suppressAutoHyphens/>
        <w:spacing w:after="240"/>
        <w:outlineLvl w:val="0"/>
        <w:rPr>
          <w:color w:val="0D0D0D" w:themeColor="text1" w:themeTint="F2"/>
        </w:rPr>
      </w:pPr>
      <w:r w:rsidRPr="00AF25D6">
        <w:rPr>
          <w:rFonts w:ascii="Calibri" w:eastAsia="Times New Roman" w:hAnsi="Calibri" w:cs="Times New Roman"/>
          <w:b/>
          <w:i/>
          <w:caps/>
          <w:color w:val="0D0D0D" w:themeColor="text1" w:themeTint="F2"/>
          <w:spacing w:val="-3"/>
          <w:sz w:val="26"/>
          <w:szCs w:val="26"/>
        </w:rPr>
        <w:t xml:space="preserve">Years Ended June 30, 2021 and 2020 </w:t>
      </w:r>
      <w:r w:rsidRPr="00AF25D6">
        <w:rPr>
          <w:rFonts w:ascii="Calibri" w:eastAsia="Times New Roman" w:hAnsi="Calibri" w:cs="Times New Roman"/>
          <w:b/>
          <w:i/>
          <w:caps/>
          <w:color w:val="0D0D0D" w:themeColor="text1" w:themeTint="F2"/>
          <w:spacing w:val="-3"/>
        </w:rPr>
        <w:t>(in Thousands)</w:t>
      </w:r>
      <w:r w:rsidRPr="00AF25D6">
        <w:rPr>
          <w:color w:val="0D0D0D" w:themeColor="text1" w:themeTint="F2"/>
        </w:rPr>
        <w:fldChar w:fldCharType="begin"/>
      </w:r>
      <w:r w:rsidRPr="00AF25D6">
        <w:rPr>
          <w:color w:val="0D0D0D" w:themeColor="text1" w:themeTint="F2"/>
        </w:rPr>
        <w:fldChar w:fldCharType="end"/>
      </w:r>
    </w:p>
    <w:p w14:paraId="70B1BBD0" w14:textId="02658B05" w:rsidR="00B744C8" w:rsidRDefault="00DE01B3" w:rsidP="000F57F5">
      <w:pPr>
        <w:spacing w:after="160" w:line="259" w:lineRule="auto"/>
        <w:jc w:val="center"/>
      </w:pPr>
      <w:r w:rsidRPr="00DE01B3">
        <w:rPr>
          <w:noProof/>
        </w:rPr>
        <w:drawing>
          <wp:inline distT="0" distB="0" distL="0" distR="0" wp14:anchorId="23824922" wp14:editId="067ABB1A">
            <wp:extent cx="5943600" cy="6543940"/>
            <wp:effectExtent l="0" t="0" r="0" b="9525"/>
            <wp:docPr id="55" name="Picture 55" descr="  2021   2020 &#10; Pension and Other Employee Custodial Funds  Pension and Other Employee  Custodial Funds &#10; Benefit Trust Funds External Investment Pools Other Custodial Funds Benefit Trust Funds External Investment Pools Other Custodial Funds&#10;Additions      &#10;Contributions      &#10;Employer contributions  $13,380   $-   $-   $13,590   $-   $- &#10;Retiree contributions  2,225   -   -   2,597   -   - &#10;Contributions to investment pools  -   4,501   -   -   3,111   - &#10;Private donations  -   -   23   -   -   29 &#10;Total contributions  15,605   4,501   23   16,187   3,111   29 &#10;Investment income      &#10;Interest and dividends  2,226   1,101   1   2,431   1,196   36 &#10;Net increase in fair value of investments  40,107   21,048   -   1,302   62   - &#10;Total investment income  42,333   22,149   1   3,733   1,258   36 &#10;Less investment expense  (1,240)  (595)  -   (959)  (456)  - &#10;Net investment income  41,093   21,554   1   2,774   802   36 &#10;Other additions      &#10;Student activity fees  -   -   1,932   -   -   2,473 &#10;Endowment income distribution  -   -   857   -   -   764 &#10;Other income  -   -   267   -   -   471 &#10;Total other additions  -   -   3,056   -   -   3,708 &#10;Total additions  56,698   26,055   3,080   18,961   3,913   3,773 &#10;Deductions      &#10;Beneficiary payments  13,133   -   -   14,834   -   - &#10;Investment pool distributions  -   4,845   -   -   987   - &#10;Distribute activity fees  -   -   1,161   -   -   1,496 &#10;Distribute other revenues  -   -   9   -   -   103 &#10;Donations and sponsorships  -   -   845   -   -   744 &#10;Purchases by student and other groups  -   -   770   -   -   1,215 &#10;Administrative costs  13   -   -   33   -   - &#10;Total deductions  13,146   4,845   2,785   14,867   987   3,558 &#10;Change in Fiduciary Net Position  43,552   21,210   295   4,094   2,926   215 &#10;Net Position - Beginning of the Year  162,009   80,939   2,355   157,915   78,013   2,140 &#10;Net Position - End of Year  $205,561   $102,149   $2,650   $162,009   $80,939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6543940"/>
                    </a:xfrm>
                    <a:prstGeom prst="rect">
                      <a:avLst/>
                    </a:prstGeom>
                    <a:noFill/>
                    <a:ln>
                      <a:noFill/>
                    </a:ln>
                  </pic:spPr>
                </pic:pic>
              </a:graphicData>
            </a:graphic>
          </wp:inline>
        </w:drawing>
      </w:r>
    </w:p>
    <w:p w14:paraId="6702B62F" w14:textId="0FF60C9D" w:rsidR="00051D7E" w:rsidRDefault="00051D7E" w:rsidP="000F57F5">
      <w:pPr>
        <w:spacing w:after="160" w:line="259" w:lineRule="auto"/>
        <w:jc w:val="center"/>
      </w:pPr>
    </w:p>
    <w:p w14:paraId="3232F464" w14:textId="77777777" w:rsidR="007531FB" w:rsidRDefault="007531FB" w:rsidP="00051D7E">
      <w:pPr>
        <w:rPr>
          <w:b/>
          <w:i/>
          <w:sz w:val="26"/>
          <w:szCs w:val="26"/>
        </w:rPr>
        <w:sectPr w:rsidR="007531FB" w:rsidSect="00316DDD">
          <w:pgSz w:w="12240" w:h="15840" w:code="1"/>
          <w:pgMar w:top="1440" w:right="1440" w:bottom="1440" w:left="1440" w:header="720" w:footer="720" w:gutter="0"/>
          <w:cols w:space="0"/>
          <w:titlePg/>
          <w:docGrid w:linePitch="360"/>
        </w:sectPr>
      </w:pPr>
    </w:p>
    <w:p w14:paraId="6632B70B" w14:textId="02E54FCC" w:rsidR="00051D7E" w:rsidRPr="004F3770" w:rsidRDefault="00051D7E" w:rsidP="00051D7E">
      <w:pPr>
        <w:rPr>
          <w:b/>
          <w:i/>
          <w:sz w:val="26"/>
          <w:szCs w:val="26"/>
        </w:rPr>
      </w:pPr>
      <w:r w:rsidRPr="004F3770">
        <w:rPr>
          <w:b/>
          <w:i/>
          <w:sz w:val="26"/>
          <w:szCs w:val="26"/>
        </w:rPr>
        <w:lastRenderedPageBreak/>
        <w:t>UNIVERSITY OF MAINE SYSTEM</w:t>
      </w:r>
    </w:p>
    <w:p w14:paraId="42A513F0" w14:textId="77777777" w:rsidR="00051D7E" w:rsidRPr="004F3770" w:rsidRDefault="00051D7E" w:rsidP="00051D7E">
      <w:pPr>
        <w:pStyle w:val="AFR1"/>
        <w:spacing w:after="0"/>
      </w:pPr>
      <w:r w:rsidRPr="004F3770">
        <w:t>NOTES TO FINANCIAL STATEMENTS</w:t>
      </w:r>
    </w:p>
    <w:p w14:paraId="51FAAA17" w14:textId="77777777" w:rsidR="00051D7E" w:rsidRPr="004E72C3" w:rsidRDefault="00051D7E" w:rsidP="00051D7E">
      <w:pPr>
        <w:pStyle w:val="AFR1"/>
      </w:pPr>
      <w:r w:rsidRPr="00807F62">
        <w:rPr>
          <w:szCs w:val="26"/>
        </w:rPr>
        <w:t>Years Ended June 30, 20</w:t>
      </w:r>
      <w:r>
        <w:rPr>
          <w:szCs w:val="26"/>
        </w:rPr>
        <w:t>21</w:t>
      </w:r>
      <w:r w:rsidRPr="00807F62">
        <w:rPr>
          <w:szCs w:val="26"/>
        </w:rPr>
        <w:t xml:space="preserve"> and 20</w:t>
      </w:r>
      <w:r>
        <w:rPr>
          <w:szCs w:val="26"/>
        </w:rPr>
        <w:t>20</w:t>
      </w:r>
      <w:r w:rsidRPr="004E72C3">
        <w:t xml:space="preserve"> </w:t>
      </w:r>
      <w:r w:rsidRPr="000B6D6E">
        <w:rPr>
          <w:sz w:val="24"/>
          <w:szCs w:val="24"/>
        </w:rPr>
        <w:t>(in thousands)</w:t>
      </w:r>
    </w:p>
    <w:p w14:paraId="185C0E46" w14:textId="77777777" w:rsidR="00051D7E" w:rsidRPr="00A454B4" w:rsidRDefault="00051D7E" w:rsidP="00051D7E">
      <w:pPr>
        <w:pStyle w:val="AFR2"/>
        <w:rPr>
          <w:rFonts w:cstheme="minorHAnsi"/>
        </w:rPr>
      </w:pPr>
      <w:r w:rsidRPr="00A454B4">
        <w:rPr>
          <w:rFonts w:cstheme="minorHAnsi"/>
        </w:rPr>
        <w:t>1. SIGNIFICANT ACCOUNTING POLICIES</w:t>
      </w:r>
    </w:p>
    <w:p w14:paraId="1E9C45B5" w14:textId="77777777" w:rsidR="00051D7E" w:rsidRPr="00A454B4" w:rsidRDefault="00051D7E" w:rsidP="00051D7E">
      <w:pPr>
        <w:pStyle w:val="AFR3"/>
        <w:rPr>
          <w:rFonts w:cstheme="minorHAnsi"/>
        </w:rPr>
      </w:pPr>
      <w:r w:rsidRPr="00A454B4">
        <w:rPr>
          <w:rFonts w:cstheme="minorHAnsi"/>
        </w:rPr>
        <w:t>a. Organization</w:t>
      </w:r>
    </w:p>
    <w:p w14:paraId="6C2B0605" w14:textId="77777777" w:rsidR="00051D7E" w:rsidRPr="00F54559" w:rsidRDefault="00051D7E" w:rsidP="00051D7E">
      <w:pPr>
        <w:tabs>
          <w:tab w:val="left" w:pos="5040"/>
        </w:tabs>
        <w:suppressAutoHyphens/>
        <w:rPr>
          <w:rFonts w:eastAsia="Times New Roman" w:cstheme="minorHAnsi"/>
          <w:bCs/>
          <w:sz w:val="24"/>
          <w:szCs w:val="20"/>
        </w:rPr>
      </w:pPr>
      <w:r w:rsidRPr="00F54559">
        <w:rPr>
          <w:rFonts w:eastAsia="Times New Roman" w:cstheme="minorHAnsi"/>
          <w:bCs/>
          <w:sz w:val="24"/>
          <w:szCs w:val="20"/>
        </w:rPr>
        <w:t xml:space="preserve">The University of Maine System ("the System"), a discretely presented component unit of the State of Maine, consists of seven universities, </w:t>
      </w:r>
      <w:r>
        <w:rPr>
          <w:rFonts w:eastAsia="Times New Roman" w:cstheme="minorHAnsi"/>
          <w:bCs/>
          <w:sz w:val="24"/>
          <w:szCs w:val="20"/>
        </w:rPr>
        <w:t>eight</w:t>
      </w:r>
      <w:r w:rsidRPr="00F54559">
        <w:rPr>
          <w:rFonts w:eastAsia="Times New Roman" w:cstheme="minorHAnsi"/>
          <w:bCs/>
          <w:sz w:val="24"/>
          <w:szCs w:val="20"/>
        </w:rPr>
        <w:t xml:space="preserve"> centers, and a central administrative office.  All activities of the System are included in the accompanying financial statements, including those of its discretely presented component unit, the University of Maine Foundation, which is a not-for-profit entity controlled by a separate governing board whose goal is to support the System (see Note 16).  The component unit receives funds primarily through donations and contributes funds to the System for student scholarships and institutional support.</w:t>
      </w:r>
    </w:p>
    <w:p w14:paraId="4992E2C7" w14:textId="77777777" w:rsidR="00051D7E" w:rsidRPr="00F54559" w:rsidRDefault="00051D7E" w:rsidP="00051D7E">
      <w:pPr>
        <w:pStyle w:val="AFR3"/>
        <w:rPr>
          <w:rFonts w:cstheme="minorHAnsi"/>
        </w:rPr>
      </w:pPr>
      <w:r w:rsidRPr="00F54559">
        <w:rPr>
          <w:rFonts w:cstheme="minorHAnsi"/>
        </w:rPr>
        <w:t>b. Basis of</w:t>
      </w:r>
      <w:r w:rsidRPr="00F54559">
        <w:rPr>
          <w:rFonts w:cstheme="minorHAnsi"/>
          <w:caps/>
        </w:rPr>
        <w:t xml:space="preserve"> P</w:t>
      </w:r>
      <w:r w:rsidRPr="00F54559">
        <w:rPr>
          <w:rFonts w:cstheme="minorHAnsi"/>
        </w:rPr>
        <w:t>resentation</w:t>
      </w:r>
    </w:p>
    <w:p w14:paraId="2312DAF7" w14:textId="77777777" w:rsidR="00051D7E" w:rsidRPr="00F54559" w:rsidRDefault="00051D7E" w:rsidP="00051D7E">
      <w:pPr>
        <w:tabs>
          <w:tab w:val="left" w:pos="0"/>
          <w:tab w:val="left" w:pos="5040"/>
        </w:tabs>
        <w:suppressAutoHyphens/>
        <w:rPr>
          <w:rFonts w:cstheme="minorHAnsi"/>
          <w:bCs/>
          <w:sz w:val="24"/>
        </w:rPr>
      </w:pPr>
      <w:r w:rsidRPr="00F54559">
        <w:rPr>
          <w:rFonts w:cstheme="minorHAnsi"/>
          <w:spacing w:val="-3"/>
          <w:sz w:val="24"/>
        </w:rPr>
        <w:t>The accompanying financial statements of the System have been prepared using the economic resources measurement focus and the accrual basis of accounting in accordance with U.S. generally accepted accounting principles (</w:t>
      </w:r>
      <w:r w:rsidRPr="00F54559">
        <w:rPr>
          <w:rFonts w:cstheme="minorHAnsi"/>
          <w:sz w:val="24"/>
        </w:rPr>
        <w:t>GAAP)</w:t>
      </w:r>
      <w:r w:rsidRPr="00F54559">
        <w:rPr>
          <w:rFonts w:cstheme="minorHAnsi"/>
          <w:spacing w:val="-3"/>
          <w:sz w:val="24"/>
        </w:rPr>
        <w:t>, as prescribed by the Governmental Accounting Standards Board (GASB).</w:t>
      </w:r>
    </w:p>
    <w:p w14:paraId="2566F413" w14:textId="77777777" w:rsidR="00051D7E" w:rsidRPr="00F54559" w:rsidRDefault="00051D7E" w:rsidP="00051D7E">
      <w:pPr>
        <w:tabs>
          <w:tab w:val="left" w:pos="0"/>
        </w:tabs>
        <w:rPr>
          <w:rFonts w:eastAsia="Times New Roman" w:cstheme="minorHAnsi"/>
          <w:bCs/>
          <w:sz w:val="20"/>
          <w:szCs w:val="20"/>
        </w:rPr>
      </w:pPr>
    </w:p>
    <w:p w14:paraId="59C43378" w14:textId="1B6C9FEF" w:rsidR="007531FB" w:rsidRDefault="00051D7E" w:rsidP="00051D7E">
      <w:pPr>
        <w:tabs>
          <w:tab w:val="left" w:pos="0"/>
        </w:tabs>
        <w:rPr>
          <w:rFonts w:eastAsiaTheme="majorEastAsia" w:cstheme="minorHAnsi"/>
          <w:b/>
          <w:i/>
          <w:iCs/>
          <w:smallCaps/>
          <w:noProof/>
          <w:color w:val="000000" w:themeColor="text1"/>
          <w:sz w:val="26"/>
          <w:szCs w:val="26"/>
          <w:u w:color="5B9BD5"/>
        </w:rPr>
      </w:pPr>
      <w:r w:rsidRPr="00F54559">
        <w:rPr>
          <w:rFonts w:eastAsia="Times New Roman" w:cstheme="minorHAnsi"/>
          <w:bCs/>
          <w:sz w:val="24"/>
          <w:szCs w:val="20"/>
        </w:rPr>
        <w:t xml:space="preserve">Under the System’s policy, operating activities in the Statements of Revenues, Expenses, and Changes in Net Position are those that generally result from exchange transactions such as payments received for services and payments made for the purchase of goods and services and certain grants.  Certain other transactions are reported as nonoperating activities in accordance with GASB Statement No. 35, </w:t>
      </w:r>
      <w:r w:rsidRPr="00F54559">
        <w:rPr>
          <w:rFonts w:eastAsia="Times New Roman" w:cstheme="minorHAnsi"/>
          <w:bCs/>
          <w:i/>
          <w:sz w:val="24"/>
          <w:szCs w:val="20"/>
        </w:rPr>
        <w:t>Basic Financial Statements – and Management’s Discussion and Analysis – for Public Colleges and Universities.</w:t>
      </w:r>
      <w:r w:rsidRPr="00F54559">
        <w:rPr>
          <w:rFonts w:eastAsia="Times New Roman" w:cstheme="minorHAnsi"/>
          <w:bCs/>
          <w:sz w:val="24"/>
          <w:szCs w:val="20"/>
        </w:rPr>
        <w:t xml:space="preserve"> These nonoperating activities include the System’s noncapital appropriations from the State of Maine, </w:t>
      </w:r>
      <w:r w:rsidR="0027451F">
        <w:rPr>
          <w:rFonts w:eastAsia="Times New Roman" w:cstheme="minorHAnsi"/>
          <w:bCs/>
          <w:sz w:val="24"/>
          <w:szCs w:val="20"/>
        </w:rPr>
        <w:t xml:space="preserve">federal </w:t>
      </w:r>
      <w:proofErr w:type="spellStart"/>
      <w:r w:rsidR="0027451F">
        <w:rPr>
          <w:rFonts w:eastAsia="Times New Roman" w:cstheme="minorHAnsi"/>
          <w:bCs/>
          <w:sz w:val="24"/>
          <w:szCs w:val="20"/>
        </w:rPr>
        <w:t>pell</w:t>
      </w:r>
      <w:proofErr w:type="spellEnd"/>
      <w:r w:rsidR="0027451F">
        <w:rPr>
          <w:rFonts w:eastAsia="Times New Roman" w:cstheme="minorHAnsi"/>
          <w:bCs/>
          <w:sz w:val="24"/>
          <w:szCs w:val="20"/>
        </w:rPr>
        <w:t xml:space="preserve"> grants, </w:t>
      </w:r>
      <w:r w:rsidR="00DE01B3">
        <w:rPr>
          <w:rFonts w:eastAsia="Times New Roman" w:cstheme="minorHAnsi"/>
          <w:bCs/>
          <w:sz w:val="24"/>
          <w:szCs w:val="20"/>
        </w:rPr>
        <w:t>coronavirus relief</w:t>
      </w:r>
      <w:r>
        <w:rPr>
          <w:rFonts w:eastAsia="Times New Roman" w:cstheme="minorHAnsi"/>
          <w:bCs/>
          <w:sz w:val="24"/>
          <w:szCs w:val="20"/>
        </w:rPr>
        <w:t xml:space="preserve"> funding, </w:t>
      </w:r>
      <w:r w:rsidRPr="00F54559">
        <w:rPr>
          <w:rFonts w:eastAsia="Times New Roman" w:cstheme="minorHAnsi"/>
          <w:bCs/>
          <w:sz w:val="24"/>
          <w:szCs w:val="20"/>
        </w:rPr>
        <w:t>gifts currently expendable, endowment return used for operations, net investment income, and interest expense.</w:t>
      </w:r>
    </w:p>
    <w:p w14:paraId="07E30451" w14:textId="77777777" w:rsidR="00051D7E" w:rsidRDefault="00051D7E" w:rsidP="00051D7E">
      <w:pPr>
        <w:tabs>
          <w:tab w:val="left" w:pos="0"/>
        </w:tabs>
        <w:rPr>
          <w:rFonts w:eastAsia="Times New Roman" w:cstheme="minorHAnsi"/>
          <w:bCs/>
          <w:sz w:val="24"/>
          <w:szCs w:val="20"/>
        </w:rPr>
      </w:pPr>
    </w:p>
    <w:p w14:paraId="2B29419D" w14:textId="77777777" w:rsidR="00051D7E" w:rsidRDefault="00051D7E" w:rsidP="00051D7E">
      <w:pPr>
        <w:tabs>
          <w:tab w:val="left" w:pos="0"/>
        </w:tabs>
        <w:rPr>
          <w:rFonts w:eastAsia="Times New Roman" w:cstheme="minorHAnsi"/>
          <w:bCs/>
          <w:sz w:val="24"/>
          <w:szCs w:val="20"/>
        </w:rPr>
      </w:pPr>
      <w:r>
        <w:rPr>
          <w:rFonts w:eastAsia="Times New Roman" w:cstheme="minorHAnsi"/>
          <w:bCs/>
          <w:sz w:val="24"/>
          <w:szCs w:val="20"/>
        </w:rPr>
        <w:t xml:space="preserve">In FY21 the System adopted GASB Statement No. 84, </w:t>
      </w:r>
      <w:r w:rsidRPr="00935912">
        <w:rPr>
          <w:rFonts w:eastAsia="Times New Roman" w:cstheme="minorHAnsi"/>
          <w:bCs/>
          <w:i/>
          <w:sz w:val="24"/>
          <w:szCs w:val="20"/>
        </w:rPr>
        <w:t>Fiduciary Activities</w:t>
      </w:r>
      <w:r>
        <w:rPr>
          <w:rFonts w:eastAsia="Times New Roman" w:cstheme="minorHAnsi"/>
          <w:bCs/>
          <w:sz w:val="24"/>
          <w:szCs w:val="20"/>
        </w:rPr>
        <w:t xml:space="preserve"> (GASB No. 84). This statement addresses accounting and financial reporting related to the System’s fiduciary funds and activity. This statement </w:t>
      </w:r>
      <w:r w:rsidRPr="007260F0">
        <w:rPr>
          <w:rFonts w:eastAsia="Times New Roman" w:cstheme="minorHAnsi"/>
          <w:bCs/>
          <w:sz w:val="24"/>
          <w:szCs w:val="20"/>
        </w:rPr>
        <w:t>establishes criteria for identifying fiduciary activities</w:t>
      </w:r>
      <w:r>
        <w:rPr>
          <w:rFonts w:eastAsia="Times New Roman" w:cstheme="minorHAnsi"/>
          <w:bCs/>
          <w:sz w:val="24"/>
          <w:szCs w:val="20"/>
        </w:rPr>
        <w:t xml:space="preserve"> and </w:t>
      </w:r>
      <w:r w:rsidRPr="007260F0">
        <w:rPr>
          <w:rFonts w:eastAsia="Times New Roman" w:cstheme="minorHAnsi"/>
          <w:bCs/>
          <w:sz w:val="24"/>
          <w:szCs w:val="20"/>
        </w:rPr>
        <w:t>describes four fiduciary funds that should be reported, if</w:t>
      </w:r>
      <w:r>
        <w:rPr>
          <w:rFonts w:eastAsia="Times New Roman" w:cstheme="minorHAnsi"/>
          <w:bCs/>
          <w:sz w:val="24"/>
          <w:szCs w:val="20"/>
        </w:rPr>
        <w:t xml:space="preserve"> </w:t>
      </w:r>
      <w:r w:rsidRPr="007260F0">
        <w:rPr>
          <w:rFonts w:eastAsia="Times New Roman" w:cstheme="minorHAnsi"/>
          <w:bCs/>
          <w:sz w:val="24"/>
          <w:szCs w:val="20"/>
        </w:rPr>
        <w:t>applicable: (1) pension (and other employee benefit) trust funds, (2) investment</w:t>
      </w:r>
      <w:r>
        <w:rPr>
          <w:rFonts w:eastAsia="Times New Roman" w:cstheme="minorHAnsi"/>
          <w:bCs/>
          <w:sz w:val="24"/>
          <w:szCs w:val="20"/>
        </w:rPr>
        <w:t xml:space="preserve"> </w:t>
      </w:r>
      <w:r w:rsidRPr="007260F0">
        <w:rPr>
          <w:rFonts w:eastAsia="Times New Roman" w:cstheme="minorHAnsi"/>
          <w:bCs/>
          <w:sz w:val="24"/>
          <w:szCs w:val="20"/>
        </w:rPr>
        <w:t>trust funds, (3) private-purpose trust funds, and (4) custodial funds. Custodial</w:t>
      </w:r>
      <w:r>
        <w:rPr>
          <w:rFonts w:eastAsia="Times New Roman" w:cstheme="minorHAnsi"/>
          <w:bCs/>
          <w:sz w:val="24"/>
          <w:szCs w:val="20"/>
        </w:rPr>
        <w:t xml:space="preserve"> </w:t>
      </w:r>
      <w:r w:rsidRPr="007260F0">
        <w:rPr>
          <w:rFonts w:eastAsia="Times New Roman" w:cstheme="minorHAnsi"/>
          <w:bCs/>
          <w:sz w:val="24"/>
          <w:szCs w:val="20"/>
        </w:rPr>
        <w:t>funds generally should report fiduciary activities that are not held in a trust or</w:t>
      </w:r>
      <w:r>
        <w:rPr>
          <w:rFonts w:eastAsia="Times New Roman" w:cstheme="minorHAnsi"/>
          <w:bCs/>
          <w:sz w:val="24"/>
          <w:szCs w:val="20"/>
        </w:rPr>
        <w:t xml:space="preserve"> </w:t>
      </w:r>
      <w:r w:rsidRPr="007260F0">
        <w:rPr>
          <w:rFonts w:eastAsia="Times New Roman" w:cstheme="minorHAnsi"/>
          <w:bCs/>
          <w:sz w:val="24"/>
          <w:szCs w:val="20"/>
        </w:rPr>
        <w:t>equivalent arrangement that meets specific criteria.</w:t>
      </w:r>
    </w:p>
    <w:p w14:paraId="68C6E1A0" w14:textId="77777777" w:rsidR="00051D7E" w:rsidRDefault="00051D7E" w:rsidP="00051D7E">
      <w:pPr>
        <w:tabs>
          <w:tab w:val="left" w:pos="0"/>
        </w:tabs>
        <w:rPr>
          <w:rFonts w:eastAsia="Times New Roman" w:cstheme="minorHAnsi"/>
          <w:bCs/>
          <w:sz w:val="24"/>
          <w:szCs w:val="20"/>
        </w:rPr>
      </w:pPr>
    </w:p>
    <w:p w14:paraId="30CA9CCE" w14:textId="77777777" w:rsidR="00051D7E" w:rsidRPr="001F057F" w:rsidRDefault="00051D7E" w:rsidP="00051D7E">
      <w:pPr>
        <w:tabs>
          <w:tab w:val="left" w:pos="0"/>
        </w:tabs>
        <w:rPr>
          <w:rFonts w:eastAsia="Times New Roman" w:cstheme="minorHAnsi"/>
          <w:bCs/>
          <w:sz w:val="24"/>
          <w:szCs w:val="20"/>
        </w:rPr>
      </w:pPr>
      <w:r>
        <w:rPr>
          <w:rFonts w:eastAsia="Times New Roman" w:cstheme="minorHAnsi"/>
          <w:bCs/>
          <w:sz w:val="24"/>
          <w:szCs w:val="20"/>
        </w:rPr>
        <w:t xml:space="preserve">Under GASB No. 84, </w:t>
      </w:r>
      <w:r w:rsidRPr="001F057F">
        <w:rPr>
          <w:rFonts w:eastAsia="Times New Roman" w:cstheme="minorHAnsi"/>
          <w:bCs/>
          <w:sz w:val="24"/>
          <w:szCs w:val="20"/>
        </w:rPr>
        <w:t xml:space="preserve">fiduciary activities </w:t>
      </w:r>
      <w:r>
        <w:rPr>
          <w:rFonts w:eastAsia="Times New Roman" w:cstheme="minorHAnsi"/>
          <w:bCs/>
          <w:sz w:val="24"/>
          <w:szCs w:val="20"/>
        </w:rPr>
        <w:t xml:space="preserve">are reported </w:t>
      </w:r>
      <w:r w:rsidRPr="001F057F">
        <w:rPr>
          <w:rFonts w:eastAsia="Times New Roman" w:cstheme="minorHAnsi"/>
          <w:bCs/>
          <w:sz w:val="24"/>
          <w:szCs w:val="20"/>
        </w:rPr>
        <w:t>in the fiduciary fund financial</w:t>
      </w:r>
    </w:p>
    <w:p w14:paraId="3513BE8F" w14:textId="77777777" w:rsidR="00AC5E92" w:rsidRDefault="00051D7E" w:rsidP="00051D7E">
      <w:pPr>
        <w:pStyle w:val="Default"/>
        <w:rPr>
          <w:rFonts w:eastAsia="Times New Roman" w:cstheme="minorHAnsi"/>
          <w:bCs/>
          <w:szCs w:val="20"/>
        </w:rPr>
      </w:pPr>
      <w:r w:rsidRPr="001F057F">
        <w:rPr>
          <w:rFonts w:eastAsia="Times New Roman" w:cstheme="minorHAnsi"/>
          <w:bCs/>
          <w:szCs w:val="20"/>
        </w:rPr>
        <w:t xml:space="preserve">statements of the basic financial statements. </w:t>
      </w:r>
      <w:r w:rsidRPr="00C2547B">
        <w:rPr>
          <w:rFonts w:eastAsia="Times New Roman" w:cstheme="minorHAnsi"/>
          <w:bCs/>
          <w:szCs w:val="20"/>
        </w:rPr>
        <w:t xml:space="preserve">The </w:t>
      </w:r>
      <w:r>
        <w:rPr>
          <w:rFonts w:eastAsia="Times New Roman" w:cstheme="minorHAnsi"/>
          <w:bCs/>
          <w:szCs w:val="20"/>
        </w:rPr>
        <w:t>S</w:t>
      </w:r>
      <w:r w:rsidRPr="00C2547B">
        <w:rPr>
          <w:rFonts w:eastAsia="Times New Roman" w:cstheme="minorHAnsi"/>
          <w:bCs/>
          <w:szCs w:val="20"/>
        </w:rPr>
        <w:t>tatement</w:t>
      </w:r>
      <w:r>
        <w:rPr>
          <w:rFonts w:eastAsia="Times New Roman" w:cstheme="minorHAnsi"/>
          <w:bCs/>
          <w:szCs w:val="20"/>
        </w:rPr>
        <w:t>s of F</w:t>
      </w:r>
      <w:r w:rsidRPr="00C2547B">
        <w:rPr>
          <w:rFonts w:eastAsia="Times New Roman" w:cstheme="minorHAnsi"/>
          <w:bCs/>
          <w:szCs w:val="20"/>
        </w:rPr>
        <w:t xml:space="preserve">iduciary </w:t>
      </w:r>
      <w:r>
        <w:rPr>
          <w:rFonts w:eastAsia="Times New Roman" w:cstheme="minorHAnsi"/>
          <w:bCs/>
          <w:szCs w:val="20"/>
        </w:rPr>
        <w:t>N</w:t>
      </w:r>
      <w:r w:rsidRPr="00C2547B">
        <w:rPr>
          <w:rFonts w:eastAsia="Times New Roman" w:cstheme="minorHAnsi"/>
          <w:bCs/>
          <w:szCs w:val="20"/>
        </w:rPr>
        <w:t xml:space="preserve">et </w:t>
      </w:r>
      <w:r>
        <w:rPr>
          <w:rFonts w:eastAsia="Times New Roman" w:cstheme="minorHAnsi"/>
          <w:bCs/>
          <w:szCs w:val="20"/>
        </w:rPr>
        <w:t>P</w:t>
      </w:r>
      <w:r w:rsidRPr="00C2547B">
        <w:rPr>
          <w:rFonts w:eastAsia="Times New Roman" w:cstheme="minorHAnsi"/>
          <w:bCs/>
          <w:szCs w:val="20"/>
        </w:rPr>
        <w:t xml:space="preserve">osition </w:t>
      </w:r>
      <w:r>
        <w:rPr>
          <w:rFonts w:eastAsia="Times New Roman" w:cstheme="minorHAnsi"/>
          <w:bCs/>
          <w:szCs w:val="20"/>
        </w:rPr>
        <w:t>is</w:t>
      </w:r>
      <w:r w:rsidRPr="00C2547B">
        <w:rPr>
          <w:rFonts w:eastAsia="Times New Roman" w:cstheme="minorHAnsi"/>
          <w:bCs/>
          <w:szCs w:val="20"/>
        </w:rPr>
        <w:t xml:space="preserve"> used to report the assets,</w:t>
      </w:r>
      <w:r>
        <w:rPr>
          <w:rFonts w:eastAsia="Times New Roman" w:cstheme="minorHAnsi"/>
          <w:bCs/>
          <w:szCs w:val="20"/>
        </w:rPr>
        <w:t xml:space="preserve"> </w:t>
      </w:r>
      <w:r w:rsidRPr="00C2547B">
        <w:rPr>
          <w:rFonts w:eastAsia="Times New Roman" w:cstheme="minorHAnsi"/>
          <w:bCs/>
          <w:szCs w:val="20"/>
        </w:rPr>
        <w:t xml:space="preserve">deferred outflows of resources, liabilities, deferred inflows of resources, </w:t>
      </w:r>
    </w:p>
    <w:p w14:paraId="709E8AB0" w14:textId="77777777" w:rsidR="00AC5E92" w:rsidRDefault="00AC5E92" w:rsidP="00AC5E92">
      <w:pPr>
        <w:tabs>
          <w:tab w:val="left" w:pos="0"/>
        </w:tabs>
        <w:rPr>
          <w:rFonts w:eastAsia="Times New Roman" w:cstheme="minorHAnsi"/>
          <w:bCs/>
          <w:sz w:val="24"/>
          <w:szCs w:val="20"/>
        </w:rPr>
      </w:pPr>
      <w:r w:rsidRPr="00F54559">
        <w:rPr>
          <w:rFonts w:eastAsiaTheme="majorEastAsia" w:cstheme="minorHAnsi"/>
          <w:b/>
          <w:i/>
          <w:iCs/>
          <w:smallCaps/>
          <w:noProof/>
          <w:color w:val="000000" w:themeColor="text1"/>
          <w:sz w:val="26"/>
          <w:szCs w:val="26"/>
          <w:u w:color="5B9BD5"/>
        </w:rPr>
        <w:lastRenderedPageBreak/>
        <w:t>1. SIGNIFICANT ACCOUNTING POLICIES - CONTINUED</w:t>
      </w:r>
    </w:p>
    <w:p w14:paraId="24CBD870" w14:textId="77777777" w:rsidR="00AC5E92" w:rsidRDefault="00AC5E92" w:rsidP="00051D7E">
      <w:pPr>
        <w:pStyle w:val="Default"/>
        <w:rPr>
          <w:rFonts w:eastAsia="Times New Roman" w:cstheme="minorHAnsi"/>
          <w:bCs/>
          <w:szCs w:val="20"/>
        </w:rPr>
      </w:pPr>
    </w:p>
    <w:p w14:paraId="67EE50F7" w14:textId="10FBBE9A" w:rsidR="00051D7E" w:rsidRDefault="00051D7E" w:rsidP="00051D7E">
      <w:pPr>
        <w:pStyle w:val="Default"/>
        <w:rPr>
          <w:rFonts w:eastAsia="Times New Roman" w:cstheme="minorHAnsi"/>
          <w:bCs/>
          <w:szCs w:val="20"/>
        </w:rPr>
      </w:pPr>
      <w:r w:rsidRPr="00C2547B">
        <w:rPr>
          <w:rFonts w:eastAsia="Times New Roman" w:cstheme="minorHAnsi"/>
          <w:bCs/>
          <w:szCs w:val="20"/>
        </w:rPr>
        <w:t>and</w:t>
      </w:r>
      <w:r>
        <w:rPr>
          <w:rFonts w:eastAsia="Times New Roman" w:cstheme="minorHAnsi"/>
          <w:bCs/>
          <w:szCs w:val="20"/>
        </w:rPr>
        <w:t xml:space="preserve"> </w:t>
      </w:r>
      <w:r w:rsidRPr="00C2547B">
        <w:rPr>
          <w:rFonts w:eastAsia="Times New Roman" w:cstheme="minorHAnsi"/>
          <w:bCs/>
          <w:szCs w:val="20"/>
        </w:rPr>
        <w:t>fiduciary net position of pension (and other employee benefit) trust funds,</w:t>
      </w:r>
      <w:r>
        <w:rPr>
          <w:rFonts w:eastAsia="Times New Roman" w:cstheme="minorHAnsi"/>
          <w:bCs/>
          <w:szCs w:val="20"/>
        </w:rPr>
        <w:t xml:space="preserve"> </w:t>
      </w:r>
      <w:r w:rsidRPr="00C2547B">
        <w:rPr>
          <w:rFonts w:eastAsia="Times New Roman" w:cstheme="minorHAnsi"/>
          <w:bCs/>
          <w:szCs w:val="20"/>
        </w:rPr>
        <w:t>investment trust funds, private-purpose trust funds, and custodial funds.</w:t>
      </w:r>
      <w:r>
        <w:rPr>
          <w:rFonts w:eastAsia="Times New Roman" w:cstheme="minorHAnsi"/>
          <w:bCs/>
          <w:szCs w:val="20"/>
        </w:rPr>
        <w:t xml:space="preserve"> The Statement of Changes in Fiduciary Net Position is used to report additions to and deductions from identified fiduciary funds. </w:t>
      </w:r>
      <w:r w:rsidRPr="00AA74F4">
        <w:rPr>
          <w:rFonts w:eastAsia="Times New Roman" w:cstheme="minorHAnsi"/>
          <w:bCs/>
          <w:szCs w:val="20"/>
        </w:rPr>
        <w:t xml:space="preserve">The System adopted the provisions of GASB No. </w:t>
      </w:r>
      <w:r>
        <w:rPr>
          <w:rFonts w:eastAsia="Times New Roman" w:cstheme="minorHAnsi"/>
          <w:bCs/>
          <w:szCs w:val="20"/>
        </w:rPr>
        <w:t>84</w:t>
      </w:r>
      <w:r w:rsidRPr="00AA74F4">
        <w:rPr>
          <w:rFonts w:eastAsia="Times New Roman" w:cstheme="minorHAnsi"/>
          <w:bCs/>
          <w:szCs w:val="20"/>
        </w:rPr>
        <w:t xml:space="preserve"> retroactive to July 1, 201</w:t>
      </w:r>
      <w:r>
        <w:rPr>
          <w:rFonts w:eastAsia="Times New Roman" w:cstheme="minorHAnsi"/>
          <w:bCs/>
          <w:szCs w:val="20"/>
        </w:rPr>
        <w:t>9</w:t>
      </w:r>
      <w:r w:rsidRPr="00AA74F4">
        <w:rPr>
          <w:rFonts w:eastAsia="Times New Roman" w:cstheme="minorHAnsi"/>
          <w:bCs/>
          <w:szCs w:val="20"/>
        </w:rPr>
        <w:t>, and has restated its FY</w:t>
      </w:r>
      <w:r>
        <w:rPr>
          <w:rFonts w:eastAsia="Times New Roman" w:cstheme="minorHAnsi"/>
          <w:bCs/>
          <w:szCs w:val="20"/>
        </w:rPr>
        <w:t xml:space="preserve">20 </w:t>
      </w:r>
      <w:r w:rsidRPr="00AA74F4">
        <w:rPr>
          <w:rFonts w:eastAsia="Times New Roman" w:cstheme="minorHAnsi"/>
          <w:bCs/>
          <w:szCs w:val="20"/>
        </w:rPr>
        <w:t xml:space="preserve">financial statements in accordance with the provisions of GASB No. </w:t>
      </w:r>
      <w:r>
        <w:rPr>
          <w:rFonts w:eastAsia="Times New Roman" w:cstheme="minorHAnsi"/>
          <w:bCs/>
          <w:szCs w:val="20"/>
        </w:rPr>
        <w:t>84</w:t>
      </w:r>
      <w:r w:rsidRPr="00AA74F4">
        <w:rPr>
          <w:rFonts w:eastAsia="Times New Roman" w:cstheme="minorHAnsi"/>
          <w:bCs/>
          <w:szCs w:val="20"/>
        </w:rPr>
        <w:t xml:space="preserve">.  The </w:t>
      </w:r>
      <w:r>
        <w:rPr>
          <w:rFonts w:eastAsia="Times New Roman" w:cstheme="minorHAnsi"/>
          <w:bCs/>
          <w:szCs w:val="20"/>
        </w:rPr>
        <w:t>adoption of GASB No. 84</w:t>
      </w:r>
      <w:r w:rsidRPr="00AA74F4">
        <w:rPr>
          <w:rFonts w:eastAsia="Times New Roman" w:cstheme="minorHAnsi"/>
          <w:bCs/>
          <w:szCs w:val="20"/>
        </w:rPr>
        <w:t xml:space="preserve"> is described further in Note 18.</w:t>
      </w:r>
    </w:p>
    <w:p w14:paraId="2ED38CDD" w14:textId="489E6307" w:rsidR="00524245" w:rsidRDefault="00524245" w:rsidP="001303CD">
      <w:pPr>
        <w:pStyle w:val="AFR3"/>
        <w:rPr>
          <w:rFonts w:cstheme="minorHAnsi"/>
        </w:rPr>
      </w:pPr>
      <w:r>
        <w:rPr>
          <w:rFonts w:cstheme="minorHAnsi"/>
        </w:rPr>
        <w:t>c</w:t>
      </w:r>
      <w:r w:rsidRPr="00F54559">
        <w:rPr>
          <w:rFonts w:cstheme="minorHAnsi"/>
        </w:rPr>
        <w:t xml:space="preserve">. </w:t>
      </w:r>
      <w:r>
        <w:rPr>
          <w:rFonts w:cstheme="minorHAnsi"/>
        </w:rPr>
        <w:t>Fiduciary Funds</w:t>
      </w:r>
    </w:p>
    <w:p w14:paraId="5CE7EB95" w14:textId="093422F6" w:rsidR="00524245" w:rsidRPr="00542FB3" w:rsidRDefault="00524245" w:rsidP="00524245">
      <w:pPr>
        <w:rPr>
          <w:sz w:val="24"/>
          <w:szCs w:val="24"/>
        </w:rPr>
      </w:pPr>
      <w:r>
        <w:rPr>
          <w:sz w:val="24"/>
          <w:szCs w:val="24"/>
        </w:rPr>
        <w:t>The System holds t</w:t>
      </w:r>
      <w:r w:rsidRPr="00542FB3">
        <w:rPr>
          <w:sz w:val="24"/>
          <w:szCs w:val="24"/>
        </w:rPr>
        <w:t xml:space="preserve">hese </w:t>
      </w:r>
      <w:r>
        <w:rPr>
          <w:sz w:val="24"/>
          <w:szCs w:val="24"/>
        </w:rPr>
        <w:t xml:space="preserve">funds </w:t>
      </w:r>
      <w:r w:rsidRPr="00542FB3">
        <w:rPr>
          <w:sz w:val="24"/>
          <w:szCs w:val="24"/>
        </w:rPr>
        <w:t xml:space="preserve">on behalf of other entities as a trustee or fiduciary. The System is responsible for ensuring such assets are used only for their intended purposes and by those to whom the assets belong. </w:t>
      </w:r>
    </w:p>
    <w:p w14:paraId="6BD7C735" w14:textId="77777777" w:rsidR="00DE01B3" w:rsidRDefault="00DE01B3" w:rsidP="00DE01B3">
      <w:pPr>
        <w:tabs>
          <w:tab w:val="left" w:pos="0"/>
        </w:tabs>
        <w:rPr>
          <w:rFonts w:eastAsia="Times New Roman" w:cstheme="minorHAnsi"/>
          <w:bCs/>
          <w:sz w:val="24"/>
          <w:szCs w:val="20"/>
        </w:rPr>
      </w:pPr>
    </w:p>
    <w:p w14:paraId="4845A0D3" w14:textId="77777777" w:rsidR="00524245" w:rsidRPr="00542FB3" w:rsidRDefault="00524245" w:rsidP="00DE01B3">
      <w:pPr>
        <w:spacing w:after="120"/>
        <w:rPr>
          <w:sz w:val="24"/>
          <w:szCs w:val="24"/>
        </w:rPr>
      </w:pPr>
      <w:r w:rsidRPr="00542FB3">
        <w:rPr>
          <w:sz w:val="24"/>
          <w:szCs w:val="24"/>
        </w:rPr>
        <w:t>The System reports its fiduciary funds in the following financial statements that accompany these notes.</w:t>
      </w:r>
    </w:p>
    <w:p w14:paraId="3237957F" w14:textId="77777777" w:rsidR="00524245" w:rsidRPr="00542FB3" w:rsidRDefault="00524245" w:rsidP="001303CD">
      <w:pPr>
        <w:spacing w:after="120"/>
        <w:ind w:left="540"/>
        <w:rPr>
          <w:sz w:val="24"/>
          <w:szCs w:val="24"/>
        </w:rPr>
      </w:pPr>
      <w:r w:rsidRPr="00542FB3">
        <w:rPr>
          <w:b/>
          <w:sz w:val="24"/>
          <w:szCs w:val="24"/>
        </w:rPr>
        <w:t>Statements of Fiduciary Net Position</w:t>
      </w:r>
      <w:r w:rsidRPr="00542FB3">
        <w:rPr>
          <w:sz w:val="24"/>
          <w:szCs w:val="24"/>
        </w:rPr>
        <w:t xml:space="preserve"> – Presents the assets held by the System in a fiduciary capacity as of June 30 along with the related deferred outflows of resources, liabilities, deferred inflows of resources, and net position.</w:t>
      </w:r>
    </w:p>
    <w:p w14:paraId="196EF09F" w14:textId="02AA9FE8" w:rsidR="00524245" w:rsidRDefault="00524245" w:rsidP="00524245">
      <w:pPr>
        <w:ind w:left="540"/>
        <w:rPr>
          <w:sz w:val="24"/>
          <w:szCs w:val="24"/>
        </w:rPr>
      </w:pPr>
      <w:r w:rsidRPr="00542FB3">
        <w:rPr>
          <w:b/>
          <w:sz w:val="24"/>
          <w:szCs w:val="24"/>
        </w:rPr>
        <w:t>Statements of Changes in Fiduciary Net Position</w:t>
      </w:r>
      <w:r w:rsidRPr="00542FB3">
        <w:rPr>
          <w:sz w:val="24"/>
          <w:szCs w:val="24"/>
        </w:rPr>
        <w:t xml:space="preserve"> – Presents the components of the fiscal year change in net position of the fiduciary funds.</w:t>
      </w:r>
    </w:p>
    <w:p w14:paraId="66C52FD1" w14:textId="77777777" w:rsidR="00524245" w:rsidRPr="00542FB3" w:rsidRDefault="00524245" w:rsidP="00524245">
      <w:pPr>
        <w:ind w:left="540"/>
        <w:rPr>
          <w:sz w:val="24"/>
          <w:szCs w:val="24"/>
        </w:rPr>
      </w:pPr>
    </w:p>
    <w:p w14:paraId="5011C22D" w14:textId="77777777" w:rsidR="00524245" w:rsidRPr="00542FB3" w:rsidRDefault="00524245" w:rsidP="001303CD">
      <w:pPr>
        <w:spacing w:after="120"/>
        <w:rPr>
          <w:sz w:val="24"/>
          <w:szCs w:val="24"/>
        </w:rPr>
      </w:pPr>
      <w:r w:rsidRPr="00542FB3">
        <w:rPr>
          <w:sz w:val="24"/>
          <w:szCs w:val="24"/>
        </w:rPr>
        <w:t>The System’s fiduciary financial statements include the following types of fiduciary funds:</w:t>
      </w:r>
    </w:p>
    <w:p w14:paraId="54531DF3" w14:textId="77777777" w:rsidR="00524245" w:rsidRPr="00542FB3" w:rsidRDefault="00524245" w:rsidP="001303CD">
      <w:pPr>
        <w:spacing w:after="120"/>
        <w:ind w:left="540"/>
        <w:rPr>
          <w:sz w:val="24"/>
          <w:szCs w:val="24"/>
        </w:rPr>
      </w:pPr>
      <w:r w:rsidRPr="00542FB3">
        <w:rPr>
          <w:b/>
          <w:sz w:val="24"/>
          <w:szCs w:val="24"/>
        </w:rPr>
        <w:t>Pension and Other Employee Benefit Trusts</w:t>
      </w:r>
      <w:r w:rsidRPr="00542FB3">
        <w:rPr>
          <w:sz w:val="24"/>
          <w:szCs w:val="24"/>
        </w:rPr>
        <w:t xml:space="preserve"> – These funds include the assets associated with the System’s Defined Benefit Plan for classified employees and its OPEB health plan.</w:t>
      </w:r>
    </w:p>
    <w:p w14:paraId="13B0D8CF" w14:textId="77777777" w:rsidR="00524245" w:rsidRPr="00542FB3" w:rsidRDefault="00524245" w:rsidP="001303CD">
      <w:pPr>
        <w:spacing w:after="120"/>
        <w:ind w:left="540"/>
        <w:rPr>
          <w:sz w:val="24"/>
          <w:szCs w:val="24"/>
        </w:rPr>
      </w:pPr>
      <w:r w:rsidRPr="00542FB3">
        <w:rPr>
          <w:b/>
          <w:sz w:val="24"/>
          <w:szCs w:val="24"/>
        </w:rPr>
        <w:t xml:space="preserve">External Investment Pools </w:t>
      </w:r>
      <w:r w:rsidRPr="00542FB3">
        <w:rPr>
          <w:sz w:val="24"/>
          <w:szCs w:val="24"/>
        </w:rPr>
        <w:t>– These are a type of custodial fund and represent amounts invested by external parties in the System’s management investment and endowment pools.</w:t>
      </w:r>
    </w:p>
    <w:p w14:paraId="7F49E34C" w14:textId="56C4A624" w:rsidR="00524245" w:rsidRPr="001303CD" w:rsidRDefault="00524245" w:rsidP="00CA2417">
      <w:pPr>
        <w:ind w:left="540"/>
        <w:rPr>
          <w:rFonts w:cstheme="minorHAnsi"/>
        </w:rPr>
      </w:pPr>
      <w:r w:rsidRPr="00542FB3">
        <w:rPr>
          <w:b/>
          <w:sz w:val="24"/>
          <w:szCs w:val="24"/>
        </w:rPr>
        <w:t xml:space="preserve">Other Custodial Funds </w:t>
      </w:r>
      <w:r w:rsidRPr="00542FB3">
        <w:rPr>
          <w:sz w:val="24"/>
          <w:szCs w:val="24"/>
        </w:rPr>
        <w:t>– These custodial funds are held on behalf of various student government groups.</w:t>
      </w:r>
    </w:p>
    <w:p w14:paraId="24118877" w14:textId="1295D7A3" w:rsidR="00051D7E" w:rsidRPr="00F54559" w:rsidRDefault="00CA2417" w:rsidP="007531FB">
      <w:pPr>
        <w:pStyle w:val="ReportHeading3"/>
        <w:spacing w:before="240"/>
        <w:rPr>
          <w:rFonts w:cstheme="minorHAnsi"/>
          <w:u w:color="000000" w:themeColor="text1"/>
        </w:rPr>
      </w:pPr>
      <w:r>
        <w:rPr>
          <w:rFonts w:cstheme="minorHAnsi"/>
          <w:u w:color="000000" w:themeColor="text1"/>
        </w:rPr>
        <w:t>d</w:t>
      </w:r>
      <w:r w:rsidR="00051D7E" w:rsidRPr="00F54559">
        <w:rPr>
          <w:rFonts w:cstheme="minorHAnsi"/>
          <w:u w:color="000000" w:themeColor="text1"/>
        </w:rPr>
        <w:t>. Net Position</w:t>
      </w:r>
    </w:p>
    <w:p w14:paraId="4FACF5A7" w14:textId="4C33E5A8" w:rsidR="00051D7E" w:rsidRPr="00F54559" w:rsidRDefault="00051D7E" w:rsidP="00051D7E">
      <w:pPr>
        <w:spacing w:after="160"/>
        <w:rPr>
          <w:rFonts w:eastAsia="Times New Roman" w:cstheme="minorHAnsi"/>
          <w:sz w:val="24"/>
          <w:szCs w:val="20"/>
        </w:rPr>
      </w:pPr>
      <w:r w:rsidRPr="00F54559">
        <w:rPr>
          <w:rFonts w:eastAsia="Times New Roman" w:cstheme="minorHAnsi"/>
          <w:sz w:val="24"/>
          <w:szCs w:val="20"/>
        </w:rPr>
        <w:t xml:space="preserve">The </w:t>
      </w:r>
      <w:r w:rsidR="00CA2417">
        <w:rPr>
          <w:rFonts w:eastAsia="Times New Roman" w:cstheme="minorHAnsi"/>
          <w:sz w:val="24"/>
          <w:szCs w:val="20"/>
        </w:rPr>
        <w:t xml:space="preserve">accompanying Statements of Net Position present the </w:t>
      </w:r>
      <w:r w:rsidRPr="00F54559">
        <w:rPr>
          <w:rFonts w:eastAsia="Times New Roman" w:cstheme="minorHAnsi"/>
          <w:sz w:val="24"/>
          <w:szCs w:val="20"/>
        </w:rPr>
        <w:t>System’s net position (assets plus deferred outflows of resources less liabilities and deferred inflows of resources) in the following four categories:</w:t>
      </w:r>
    </w:p>
    <w:p w14:paraId="3958D8E4" w14:textId="77777777" w:rsidR="00051D7E" w:rsidRPr="00F54559" w:rsidRDefault="00051D7E" w:rsidP="00051D7E">
      <w:pPr>
        <w:suppressAutoHyphens/>
        <w:spacing w:after="160"/>
        <w:ind w:left="720"/>
        <w:rPr>
          <w:rFonts w:eastAsia="Times New Roman" w:cstheme="minorHAnsi"/>
          <w:bCs/>
          <w:spacing w:val="-3"/>
          <w:sz w:val="24"/>
          <w:szCs w:val="20"/>
        </w:rPr>
      </w:pPr>
      <w:r w:rsidRPr="00F54559">
        <w:rPr>
          <w:rFonts w:eastAsia="Times New Roman" w:cstheme="minorHAnsi"/>
          <w:b/>
          <w:sz w:val="24"/>
          <w:szCs w:val="20"/>
        </w:rPr>
        <w:t>Net investment in capital assets:</w:t>
      </w:r>
      <w:r w:rsidRPr="00F54559">
        <w:rPr>
          <w:rFonts w:eastAsia="Times New Roman" w:cstheme="minorHAnsi"/>
          <w:sz w:val="24"/>
          <w:szCs w:val="20"/>
        </w:rPr>
        <w:t xml:space="preserve"> Capital assets, net of accumulated depreciation and outstanding principal balances of debt attributable to the acquisition, construction, repair or improvement of those assets.  It also includes the premiums/discounts related to the outstanding debt. This category excludes the portion of debt attributable to unspent bond proceeds.</w:t>
      </w:r>
    </w:p>
    <w:p w14:paraId="2BD9E067" w14:textId="77777777" w:rsidR="00AC5E92" w:rsidRPr="00F54559" w:rsidRDefault="00AC5E92" w:rsidP="00AC5E92">
      <w:pPr>
        <w:pStyle w:val="ListParagraph"/>
        <w:spacing w:after="160"/>
        <w:ind w:left="0"/>
        <w:rPr>
          <w:rFonts w:asciiTheme="minorHAnsi" w:eastAsiaTheme="majorEastAsia" w:hAnsiTheme="minorHAnsi" w:cstheme="minorHAnsi"/>
          <w:b/>
          <w:i/>
          <w:iCs/>
          <w:smallCaps/>
          <w:noProof/>
          <w:color w:val="000000" w:themeColor="text1"/>
          <w:sz w:val="26"/>
          <w:szCs w:val="26"/>
          <w:u w:color="5B9BD5"/>
        </w:rPr>
      </w:pPr>
      <w:r w:rsidRPr="00F54559">
        <w:rPr>
          <w:rFonts w:asciiTheme="minorHAnsi" w:eastAsiaTheme="majorEastAsia" w:hAnsiTheme="minorHAnsi" w:cstheme="minorHAnsi"/>
          <w:b/>
          <w:i/>
          <w:iCs/>
          <w:smallCaps/>
          <w:noProof/>
          <w:color w:val="000000" w:themeColor="text1"/>
          <w:sz w:val="26"/>
          <w:szCs w:val="26"/>
          <w:u w:color="5B9BD5"/>
        </w:rPr>
        <w:lastRenderedPageBreak/>
        <w:t>1. SIGNIFICANT ACCOUNTING POLICIES - CONTINUED</w:t>
      </w:r>
    </w:p>
    <w:p w14:paraId="208578C6" w14:textId="5B7E06A5" w:rsidR="00051D7E" w:rsidRPr="00F54559" w:rsidRDefault="00051D7E" w:rsidP="00051D7E">
      <w:pPr>
        <w:suppressAutoHyphens/>
        <w:spacing w:after="160"/>
        <w:ind w:left="720"/>
        <w:rPr>
          <w:rFonts w:eastAsia="Times New Roman" w:cstheme="minorHAnsi"/>
          <w:bCs/>
          <w:spacing w:val="-3"/>
          <w:sz w:val="24"/>
          <w:szCs w:val="20"/>
        </w:rPr>
      </w:pPr>
      <w:r w:rsidRPr="00F54559">
        <w:rPr>
          <w:rFonts w:eastAsia="Times New Roman" w:cstheme="minorHAnsi"/>
          <w:b/>
          <w:sz w:val="24"/>
          <w:szCs w:val="20"/>
        </w:rPr>
        <w:t>Restricted – nonexpendable:</w:t>
      </w:r>
      <w:r w:rsidRPr="00F54559">
        <w:rPr>
          <w:rFonts w:eastAsia="Times New Roman" w:cstheme="minorHAnsi"/>
          <w:sz w:val="24"/>
          <w:szCs w:val="20"/>
        </w:rPr>
        <w:t xml:space="preserve"> Net position subject to externally imposed conditions that the System maintain them in perpetuity. </w:t>
      </w:r>
      <w:r w:rsidRPr="00F54559">
        <w:rPr>
          <w:rFonts w:eastAsia="Times New Roman" w:cstheme="minorHAnsi"/>
          <w:bCs/>
          <w:spacing w:val="-3"/>
          <w:sz w:val="24"/>
          <w:szCs w:val="20"/>
        </w:rPr>
        <w:t xml:space="preserve">Such net position includes the historical gift value of restricted true endowment funds. </w:t>
      </w:r>
      <w:r w:rsidRPr="00F54559">
        <w:rPr>
          <w:rFonts w:eastAsia="Times New Roman" w:cstheme="minorHAnsi"/>
          <w:sz w:val="24"/>
          <w:szCs w:val="20"/>
        </w:rPr>
        <w:t>In the event that market fluctuations have caused the fair value of an endowment to fall below corpus, the related net position is valued at the lower fair value amount.</w:t>
      </w:r>
    </w:p>
    <w:p w14:paraId="3B770485" w14:textId="77777777" w:rsidR="00051D7E" w:rsidRPr="00F54559" w:rsidRDefault="00051D7E" w:rsidP="00051D7E">
      <w:pPr>
        <w:spacing w:after="160"/>
        <w:ind w:left="720"/>
        <w:rPr>
          <w:rFonts w:eastAsia="Times New Roman" w:cstheme="minorHAnsi"/>
          <w:sz w:val="24"/>
          <w:szCs w:val="20"/>
        </w:rPr>
      </w:pPr>
      <w:r w:rsidRPr="00F54559">
        <w:rPr>
          <w:rFonts w:eastAsia="Times New Roman" w:cstheme="minorHAnsi"/>
          <w:b/>
          <w:sz w:val="24"/>
          <w:szCs w:val="20"/>
        </w:rPr>
        <w:t>Restricted – expendable:</w:t>
      </w:r>
      <w:r w:rsidRPr="00F54559">
        <w:rPr>
          <w:rFonts w:eastAsia="Times New Roman" w:cstheme="minorHAnsi"/>
          <w:sz w:val="24"/>
          <w:szCs w:val="20"/>
        </w:rPr>
        <w:t xml:space="preserve"> Net position subject to externally imposed conditions that can be fulfilled by the actions of the System or by the passage of time.  </w:t>
      </w:r>
      <w:r w:rsidRPr="00F54559">
        <w:rPr>
          <w:rFonts w:eastAsia="Times New Roman" w:cstheme="minorHAnsi"/>
          <w:bCs/>
          <w:spacing w:val="-3"/>
          <w:sz w:val="24"/>
          <w:szCs w:val="20"/>
        </w:rPr>
        <w:t>Such net position includes the accumulated net gains on true endowment funds, restricted gifts and income, and other similarly restricted funds.</w:t>
      </w:r>
    </w:p>
    <w:p w14:paraId="5FF52BD2" w14:textId="77777777" w:rsidR="00051D7E" w:rsidRPr="00F54559" w:rsidRDefault="00051D7E" w:rsidP="00051D7E">
      <w:pPr>
        <w:spacing w:after="160"/>
        <w:ind w:left="720"/>
        <w:rPr>
          <w:rFonts w:eastAsia="Times New Roman" w:cstheme="minorHAnsi"/>
          <w:sz w:val="24"/>
          <w:szCs w:val="20"/>
        </w:rPr>
      </w:pPr>
      <w:r w:rsidRPr="00F54559">
        <w:rPr>
          <w:rFonts w:eastAsia="Times New Roman" w:cstheme="minorHAnsi"/>
          <w:b/>
          <w:sz w:val="24"/>
          <w:szCs w:val="20"/>
        </w:rPr>
        <w:t>Unrestricted:</w:t>
      </w:r>
      <w:r w:rsidRPr="00F54559">
        <w:rPr>
          <w:rFonts w:eastAsia="Times New Roman" w:cstheme="minorHAnsi"/>
          <w:sz w:val="24"/>
          <w:szCs w:val="20"/>
        </w:rPr>
        <w:t xml:space="preserve"> All other categories of net position.  Unrestricted net position may be committed by actions of the System’s Board of Trustees.</w:t>
      </w:r>
    </w:p>
    <w:p w14:paraId="5B9EF865" w14:textId="77777777" w:rsidR="00051D7E" w:rsidRPr="00F54559" w:rsidRDefault="00051D7E" w:rsidP="00051D7E">
      <w:pPr>
        <w:rPr>
          <w:rFonts w:eastAsia="Times New Roman" w:cstheme="minorHAnsi"/>
          <w:sz w:val="24"/>
          <w:szCs w:val="20"/>
        </w:rPr>
      </w:pPr>
      <w:r w:rsidRPr="00F54559">
        <w:rPr>
          <w:rFonts w:eastAsia="Times New Roman" w:cstheme="minorHAnsi"/>
          <w:sz w:val="24"/>
          <w:szCs w:val="20"/>
        </w:rPr>
        <w:t>The System has adopted a policy of generally utilizing restricted – expendable resources, when available, prior to unrestricted resources.</w:t>
      </w:r>
    </w:p>
    <w:p w14:paraId="7CAC241D" w14:textId="44570784" w:rsidR="00051D7E" w:rsidRPr="00F54559" w:rsidRDefault="00653C92" w:rsidP="00051D7E">
      <w:pPr>
        <w:pStyle w:val="AFR3"/>
        <w:rPr>
          <w:rFonts w:cstheme="minorHAnsi"/>
        </w:rPr>
      </w:pPr>
      <w:r>
        <w:rPr>
          <w:rFonts w:cstheme="minorHAnsi"/>
        </w:rPr>
        <w:t>e</w:t>
      </w:r>
      <w:r w:rsidR="00051D7E" w:rsidRPr="00F54559">
        <w:rPr>
          <w:rFonts w:cstheme="minorHAnsi"/>
        </w:rPr>
        <w:t>. Cash and Cash Equivalents</w:t>
      </w:r>
    </w:p>
    <w:p w14:paraId="72F25C2D" w14:textId="77777777" w:rsidR="00051D7E" w:rsidRPr="00F54559" w:rsidRDefault="00051D7E" w:rsidP="00051D7E">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F54559">
        <w:rPr>
          <w:rFonts w:eastAsia="Times New Roman" w:cstheme="minorHAnsi"/>
          <w:spacing w:val="-3"/>
          <w:sz w:val="24"/>
          <w:szCs w:val="24"/>
        </w:rPr>
        <w:t>The System considers all highly liquid investments (including restricted assets) with a maturity of three months or less when purchased to be cash equivalents.</w:t>
      </w:r>
    </w:p>
    <w:p w14:paraId="56C71D10" w14:textId="732EC9FF" w:rsidR="00051D7E" w:rsidRPr="00F54559" w:rsidRDefault="00CA2417" w:rsidP="00051D7E">
      <w:pPr>
        <w:pStyle w:val="AFR3"/>
        <w:rPr>
          <w:rFonts w:cstheme="minorHAnsi"/>
        </w:rPr>
      </w:pPr>
      <w:r>
        <w:rPr>
          <w:rFonts w:cstheme="minorHAnsi"/>
        </w:rPr>
        <w:t>f</w:t>
      </w:r>
      <w:r w:rsidR="00051D7E" w:rsidRPr="00F54559">
        <w:rPr>
          <w:rFonts w:cstheme="minorHAnsi"/>
        </w:rPr>
        <w:t>. Investments</w:t>
      </w:r>
    </w:p>
    <w:p w14:paraId="2FB2CC40" w14:textId="77777777" w:rsidR="00051D7E" w:rsidRPr="00F54559" w:rsidRDefault="00051D7E" w:rsidP="00051D7E">
      <w:pPr>
        <w:tabs>
          <w:tab w:val="left" w:pos="0"/>
          <w:tab w:val="left" w:pos="450"/>
          <w:tab w:val="left" w:pos="5040"/>
        </w:tabs>
        <w:suppressAutoHyphens/>
        <w:rPr>
          <w:rFonts w:cstheme="minorHAnsi"/>
          <w:spacing w:val="-3"/>
          <w:sz w:val="24"/>
        </w:rPr>
      </w:pPr>
      <w:r w:rsidRPr="00F54559">
        <w:rPr>
          <w:rFonts w:cstheme="minorHAnsi"/>
          <w:spacing w:val="-3"/>
          <w:sz w:val="24"/>
        </w:rPr>
        <w:t xml:space="preserve">All investments are reported at fair value except for the state pool, which is reported at amortized cost. System management is responsible for the fair measurement of investments reported in the financial statements. The System has implemented policies and procedures to assess the reasonableness of the fair values provided and believes that reported fair values at the </w:t>
      </w:r>
      <w:r w:rsidRPr="00F54559">
        <w:rPr>
          <w:rFonts w:cstheme="minorHAnsi"/>
          <w:bCs/>
          <w:sz w:val="24"/>
        </w:rPr>
        <w:t xml:space="preserve">Statements of Net Position </w:t>
      </w:r>
      <w:r w:rsidRPr="00F54559">
        <w:rPr>
          <w:rFonts w:cstheme="minorHAnsi"/>
          <w:spacing w:val="-3"/>
          <w:sz w:val="24"/>
        </w:rPr>
        <w:t>dates are reasonable.</w:t>
      </w:r>
    </w:p>
    <w:p w14:paraId="79527A21" w14:textId="77777777" w:rsidR="00051D7E" w:rsidRPr="00F54559" w:rsidRDefault="00051D7E" w:rsidP="00051D7E">
      <w:pPr>
        <w:tabs>
          <w:tab w:val="left" w:pos="0"/>
          <w:tab w:val="center" w:pos="720"/>
        </w:tabs>
        <w:suppressAutoHyphens/>
        <w:rPr>
          <w:rFonts w:eastAsia="Times New Roman" w:cstheme="minorHAnsi"/>
          <w:spacing w:val="-3"/>
          <w:sz w:val="20"/>
          <w:szCs w:val="20"/>
        </w:rPr>
      </w:pPr>
    </w:p>
    <w:p w14:paraId="6C243DBF" w14:textId="19EAB9E6" w:rsidR="00051D7E" w:rsidRPr="00F54559" w:rsidRDefault="00051D7E" w:rsidP="00051D7E">
      <w:pPr>
        <w:tabs>
          <w:tab w:val="left" w:pos="0"/>
          <w:tab w:val="center" w:pos="720"/>
        </w:tabs>
        <w:suppressAutoHyphens/>
        <w:rPr>
          <w:rFonts w:eastAsia="Times New Roman" w:cstheme="minorHAnsi"/>
          <w:spacing w:val="-3"/>
          <w:sz w:val="24"/>
          <w:szCs w:val="20"/>
        </w:rPr>
      </w:pPr>
      <w:r w:rsidRPr="00F54559">
        <w:rPr>
          <w:rFonts w:eastAsia="Times New Roman" w:cstheme="minorHAnsi"/>
          <w:b/>
          <w:spacing w:val="-3"/>
          <w:sz w:val="24"/>
          <w:szCs w:val="20"/>
        </w:rPr>
        <w:t xml:space="preserve">Pooled Third party investments:  </w:t>
      </w:r>
      <w:r w:rsidRPr="00F54559">
        <w:rPr>
          <w:rFonts w:eastAsia="Times New Roman" w:cstheme="minorHAnsi"/>
          <w:spacing w:val="-3"/>
          <w:sz w:val="24"/>
          <w:szCs w:val="20"/>
        </w:rPr>
        <w:t>Three outside entities, the UMS Other Post</w:t>
      </w:r>
      <w:r w:rsidR="00077F65">
        <w:rPr>
          <w:rFonts w:eastAsia="Times New Roman" w:cstheme="minorHAnsi"/>
          <w:spacing w:val="-3"/>
          <w:sz w:val="24"/>
          <w:szCs w:val="20"/>
        </w:rPr>
        <w:t>e</w:t>
      </w:r>
      <w:r w:rsidRPr="00F54559">
        <w:rPr>
          <w:rFonts w:eastAsia="Times New Roman" w:cstheme="minorHAnsi"/>
          <w:spacing w:val="-3"/>
          <w:sz w:val="24"/>
          <w:szCs w:val="20"/>
        </w:rPr>
        <w:t>mployment Benefit (OPEB) Trust, Maine Maritime Academy and the University of Maine School of Law Foundation, pool monies with the System’s endowment pool.  Investment performance results of these pooled monies are allocated on a pro rata basis based on the number of pool shares held by each entity.</w:t>
      </w:r>
    </w:p>
    <w:p w14:paraId="4E9091B2" w14:textId="6847D45F" w:rsidR="00051D7E" w:rsidRPr="00F54559" w:rsidRDefault="00051D7E" w:rsidP="00051D7E">
      <w:pPr>
        <w:tabs>
          <w:tab w:val="left" w:pos="0"/>
          <w:tab w:val="center" w:pos="720"/>
        </w:tabs>
        <w:suppressAutoHyphens/>
        <w:rPr>
          <w:rFonts w:eastAsia="Times New Roman" w:cstheme="minorHAnsi"/>
          <w:spacing w:val="-3"/>
          <w:sz w:val="24"/>
          <w:szCs w:val="20"/>
        </w:rPr>
      </w:pPr>
      <w:r w:rsidRPr="00F54559">
        <w:rPr>
          <w:rFonts w:eastAsia="Times New Roman" w:cstheme="minorHAnsi"/>
          <w:spacing w:val="-3"/>
          <w:sz w:val="24"/>
          <w:szCs w:val="20"/>
        </w:rPr>
        <w:t>Contributions to and withdrawals from the pool are allowed only on the first business day of a calendar quarter.</w:t>
      </w:r>
    </w:p>
    <w:p w14:paraId="1B3230E2" w14:textId="77777777" w:rsidR="00051D7E" w:rsidRPr="00F54559" w:rsidRDefault="00051D7E" w:rsidP="00051D7E">
      <w:pPr>
        <w:tabs>
          <w:tab w:val="left" w:pos="0"/>
          <w:tab w:val="center" w:pos="720"/>
        </w:tabs>
        <w:suppressAutoHyphens/>
        <w:rPr>
          <w:rFonts w:eastAsia="Times New Roman" w:cstheme="minorHAnsi"/>
          <w:spacing w:val="-3"/>
          <w:sz w:val="20"/>
          <w:szCs w:val="20"/>
        </w:rPr>
      </w:pPr>
    </w:p>
    <w:p w14:paraId="6F8A120F" w14:textId="77777777" w:rsidR="00051D7E" w:rsidRPr="00F54559" w:rsidRDefault="00051D7E" w:rsidP="00051D7E">
      <w:pPr>
        <w:tabs>
          <w:tab w:val="left" w:pos="0"/>
          <w:tab w:val="center" w:pos="720"/>
        </w:tabs>
        <w:suppressAutoHyphens/>
        <w:rPr>
          <w:rFonts w:eastAsia="Times New Roman" w:cstheme="minorHAnsi"/>
          <w:spacing w:val="-3"/>
          <w:sz w:val="24"/>
          <w:szCs w:val="20"/>
        </w:rPr>
      </w:pPr>
      <w:r w:rsidRPr="00F54559">
        <w:rPr>
          <w:rFonts w:eastAsia="Times New Roman" w:cstheme="minorHAnsi"/>
          <w:spacing w:val="-3"/>
          <w:sz w:val="24"/>
          <w:szCs w:val="20"/>
        </w:rPr>
        <w:t>Investment of these monies follows guidelines approved by the System’s Board of Trustees Investment Committee. These guidelines are further disclosed in the remainder of this Note and Note 3 to these financial statements as part of the discussion of endowments.</w:t>
      </w:r>
    </w:p>
    <w:p w14:paraId="1EE3BFFD" w14:textId="0FD76C9F" w:rsidR="00AC5E92" w:rsidRDefault="00AC5E92">
      <w:pPr>
        <w:spacing w:after="160" w:line="259" w:lineRule="auto"/>
        <w:rPr>
          <w:rFonts w:eastAsia="Times New Roman" w:cstheme="minorHAnsi"/>
          <w:spacing w:val="-3"/>
          <w:sz w:val="20"/>
          <w:szCs w:val="20"/>
        </w:rPr>
      </w:pPr>
      <w:r>
        <w:rPr>
          <w:rFonts w:eastAsia="Times New Roman" w:cstheme="minorHAnsi"/>
          <w:spacing w:val="-3"/>
          <w:sz w:val="20"/>
          <w:szCs w:val="20"/>
        </w:rPr>
        <w:br w:type="page"/>
      </w:r>
    </w:p>
    <w:p w14:paraId="07538E0A" w14:textId="77777777" w:rsidR="00AC5E92" w:rsidRPr="00F54559" w:rsidRDefault="00AC5E92" w:rsidP="00AC5E92">
      <w:pPr>
        <w:pStyle w:val="ListParagraph"/>
        <w:spacing w:after="160"/>
        <w:ind w:left="0"/>
        <w:rPr>
          <w:rFonts w:asciiTheme="minorHAnsi" w:eastAsiaTheme="majorEastAsia" w:hAnsiTheme="minorHAnsi" w:cstheme="minorHAnsi"/>
          <w:b/>
          <w:i/>
          <w:iCs/>
          <w:smallCaps/>
          <w:noProof/>
          <w:color w:val="000000" w:themeColor="text1"/>
          <w:sz w:val="26"/>
          <w:szCs w:val="26"/>
          <w:u w:color="5B9BD5"/>
        </w:rPr>
      </w:pPr>
      <w:r w:rsidRPr="00F54559">
        <w:rPr>
          <w:rFonts w:asciiTheme="minorHAnsi" w:eastAsiaTheme="majorEastAsia" w:hAnsiTheme="minorHAnsi" w:cstheme="minorHAnsi"/>
          <w:b/>
          <w:i/>
          <w:iCs/>
          <w:smallCaps/>
          <w:noProof/>
          <w:color w:val="000000" w:themeColor="text1"/>
          <w:sz w:val="26"/>
          <w:szCs w:val="26"/>
          <w:u w:color="5B9BD5"/>
        </w:rPr>
        <w:lastRenderedPageBreak/>
        <w:t>1. SIGNIFICANT ACCOUNTING POLICIES - CONTINUED</w:t>
      </w:r>
    </w:p>
    <w:p w14:paraId="566EC975" w14:textId="77777777" w:rsidR="00051D7E" w:rsidRPr="00F54559" w:rsidRDefault="00051D7E" w:rsidP="00051D7E">
      <w:pPr>
        <w:tabs>
          <w:tab w:val="left" w:pos="0"/>
          <w:tab w:val="center" w:pos="720"/>
        </w:tabs>
        <w:suppressAutoHyphens/>
        <w:rPr>
          <w:rFonts w:eastAsia="Times New Roman" w:cstheme="minorHAnsi"/>
          <w:spacing w:val="-3"/>
          <w:sz w:val="20"/>
          <w:szCs w:val="20"/>
        </w:rPr>
      </w:pPr>
    </w:p>
    <w:p w14:paraId="22490E2D" w14:textId="77777777" w:rsidR="00051D7E" w:rsidRPr="00F54559" w:rsidRDefault="00051D7E" w:rsidP="00051D7E">
      <w:pPr>
        <w:tabs>
          <w:tab w:val="left" w:pos="0"/>
          <w:tab w:val="center" w:pos="720"/>
        </w:tabs>
        <w:suppressAutoHyphens/>
        <w:rPr>
          <w:rFonts w:eastAsia="Times New Roman" w:cstheme="minorHAnsi"/>
          <w:bCs/>
          <w:spacing w:val="-3"/>
          <w:sz w:val="24"/>
          <w:szCs w:val="20"/>
        </w:rPr>
      </w:pPr>
      <w:r w:rsidRPr="00F54559">
        <w:rPr>
          <w:rFonts w:eastAsia="Times New Roman" w:cstheme="minorHAnsi"/>
          <w:b/>
          <w:spacing w:val="-3"/>
          <w:sz w:val="24"/>
          <w:szCs w:val="20"/>
        </w:rPr>
        <w:t>Endowment</w:t>
      </w:r>
      <w:r w:rsidRPr="00F54559">
        <w:rPr>
          <w:rFonts w:eastAsia="Times New Roman" w:cstheme="minorHAnsi"/>
          <w:bCs/>
          <w:spacing w:val="-3"/>
          <w:sz w:val="24"/>
          <w:szCs w:val="20"/>
        </w:rPr>
        <w:t>: The System follows the pooled investment concept for its endowed funds, whereby all invested funds are included in one pool, except for funds that are separately invested as directed by the donor.  Investment income is allocated to each endowed fund in the pool based on its pro rata share of the pool.</w:t>
      </w:r>
    </w:p>
    <w:p w14:paraId="67B18FD7" w14:textId="77777777" w:rsidR="00051D7E" w:rsidRPr="00F54559" w:rsidRDefault="00051D7E" w:rsidP="00051D7E">
      <w:pPr>
        <w:tabs>
          <w:tab w:val="left" w:pos="0"/>
          <w:tab w:val="center" w:pos="720"/>
        </w:tabs>
        <w:suppressAutoHyphens/>
        <w:rPr>
          <w:rFonts w:eastAsia="Times New Roman" w:cstheme="minorHAnsi"/>
          <w:bCs/>
          <w:spacing w:val="-3"/>
          <w:sz w:val="20"/>
          <w:szCs w:val="20"/>
          <w:highlight w:val="yellow"/>
        </w:rPr>
      </w:pPr>
    </w:p>
    <w:p w14:paraId="21E80D7D" w14:textId="77777777" w:rsidR="00051D7E" w:rsidRPr="00F54559" w:rsidRDefault="00051D7E" w:rsidP="00051D7E">
      <w:pPr>
        <w:tabs>
          <w:tab w:val="left" w:pos="0"/>
        </w:tabs>
        <w:suppressAutoHyphens/>
        <w:rPr>
          <w:rFonts w:eastAsia="Times New Roman" w:cstheme="minorHAnsi"/>
          <w:color w:val="000000" w:themeColor="text1"/>
          <w:sz w:val="24"/>
        </w:rPr>
      </w:pPr>
      <w:r w:rsidRPr="00F54559">
        <w:rPr>
          <w:rFonts w:eastAsia="Times New Roman" w:cstheme="minorHAnsi"/>
          <w:bCs/>
          <w:spacing w:val="-3"/>
          <w:sz w:val="24"/>
          <w:szCs w:val="20"/>
        </w:rPr>
        <w:t xml:space="preserve">The income produced by the fund, including realized and unrealized gains, can be used to meet the spending objective.  As determined by policy, the expendable income objective </w:t>
      </w:r>
      <w:r w:rsidRPr="00270683">
        <w:rPr>
          <w:rFonts w:eastAsia="Times New Roman" w:cstheme="minorHAnsi"/>
          <w:bCs/>
          <w:spacing w:val="-3"/>
          <w:sz w:val="24"/>
          <w:szCs w:val="20"/>
        </w:rPr>
        <w:t xml:space="preserve">was </w:t>
      </w:r>
      <w:r w:rsidRPr="00190860">
        <w:rPr>
          <w:rFonts w:eastAsia="Times New Roman" w:cstheme="minorHAnsi"/>
          <w:bCs/>
          <w:spacing w:val="-3"/>
          <w:sz w:val="24"/>
          <w:szCs w:val="20"/>
        </w:rPr>
        <w:t xml:space="preserve">4.5% </w:t>
      </w:r>
      <w:r w:rsidRPr="00A801B2">
        <w:rPr>
          <w:rFonts w:eastAsia="Times New Roman" w:cstheme="minorHAnsi"/>
          <w:bCs/>
          <w:color w:val="000000" w:themeColor="text1"/>
          <w:spacing w:val="-3"/>
          <w:sz w:val="24"/>
          <w:szCs w:val="20"/>
        </w:rPr>
        <w:t>for FY2</w:t>
      </w:r>
      <w:r>
        <w:rPr>
          <w:rFonts w:eastAsia="Times New Roman" w:cstheme="minorHAnsi"/>
          <w:bCs/>
          <w:color w:val="000000" w:themeColor="text1"/>
          <w:spacing w:val="-3"/>
          <w:sz w:val="24"/>
          <w:szCs w:val="20"/>
        </w:rPr>
        <w:t>1</w:t>
      </w:r>
      <w:r w:rsidRPr="00A801B2">
        <w:rPr>
          <w:rFonts w:eastAsia="Times New Roman" w:cstheme="minorHAnsi"/>
          <w:bCs/>
          <w:color w:val="000000" w:themeColor="text1"/>
          <w:spacing w:val="-3"/>
          <w:sz w:val="24"/>
          <w:szCs w:val="20"/>
        </w:rPr>
        <w:t xml:space="preserve"> and FY</w:t>
      </w:r>
      <w:r>
        <w:rPr>
          <w:rFonts w:eastAsia="Times New Roman" w:cstheme="minorHAnsi"/>
          <w:bCs/>
          <w:color w:val="000000" w:themeColor="text1"/>
          <w:spacing w:val="-3"/>
          <w:sz w:val="24"/>
          <w:szCs w:val="20"/>
        </w:rPr>
        <w:t>20</w:t>
      </w:r>
      <w:r w:rsidRPr="00A801B2">
        <w:rPr>
          <w:rFonts w:eastAsia="Times New Roman" w:cstheme="minorHAnsi"/>
          <w:bCs/>
          <w:color w:val="000000" w:themeColor="text1"/>
          <w:spacing w:val="-3"/>
          <w:sz w:val="24"/>
          <w:szCs w:val="20"/>
        </w:rPr>
        <w:t>.</w:t>
      </w:r>
      <w:r w:rsidRPr="00F54559">
        <w:rPr>
          <w:rFonts w:eastAsia="Times New Roman" w:cstheme="minorHAnsi"/>
          <w:bCs/>
          <w:color w:val="000000" w:themeColor="text1"/>
          <w:spacing w:val="-3"/>
          <w:sz w:val="24"/>
          <w:szCs w:val="20"/>
        </w:rPr>
        <w:t xml:space="preserve">  The </w:t>
      </w:r>
      <w:r w:rsidRPr="00F54559">
        <w:rPr>
          <w:rFonts w:eastAsia="Times New Roman" w:cstheme="minorHAnsi"/>
          <w:color w:val="000000" w:themeColor="text1"/>
          <w:sz w:val="24"/>
        </w:rPr>
        <w:t>percentage was applied to a 3-year market value average to determine expendable income.</w:t>
      </w:r>
    </w:p>
    <w:p w14:paraId="5E5A3AD7" w14:textId="77777777" w:rsidR="00051D7E" w:rsidRPr="00F54559" w:rsidRDefault="00051D7E" w:rsidP="00051D7E">
      <w:pPr>
        <w:tabs>
          <w:tab w:val="left" w:pos="0"/>
        </w:tabs>
        <w:suppressAutoHyphens/>
        <w:rPr>
          <w:rFonts w:eastAsia="Times New Roman" w:cstheme="minorHAnsi"/>
          <w:sz w:val="20"/>
          <w:szCs w:val="20"/>
        </w:rPr>
      </w:pPr>
    </w:p>
    <w:p w14:paraId="4690406B" w14:textId="77777777" w:rsidR="00051D7E" w:rsidRPr="00F54559" w:rsidRDefault="00051D7E" w:rsidP="00051D7E">
      <w:pPr>
        <w:tabs>
          <w:tab w:val="left" w:pos="0"/>
          <w:tab w:val="center" w:pos="720"/>
        </w:tabs>
        <w:suppressAutoHyphens/>
        <w:rPr>
          <w:rFonts w:eastAsia="Times New Roman" w:cstheme="minorHAnsi"/>
          <w:bCs/>
          <w:sz w:val="24"/>
          <w:szCs w:val="20"/>
        </w:rPr>
      </w:pPr>
      <w:r w:rsidRPr="00F54559">
        <w:rPr>
          <w:rFonts w:eastAsia="Times New Roman" w:cstheme="minorHAnsi"/>
          <w:bCs/>
          <w:sz w:val="24"/>
          <w:szCs w:val="20"/>
        </w:rPr>
        <w:t>Under State of Maine law, s</w:t>
      </w:r>
      <w:r w:rsidRPr="00F54559">
        <w:rPr>
          <w:rFonts w:eastAsia="Times New Roman" w:cstheme="minorHAnsi"/>
          <w:spacing w:val="-3"/>
          <w:sz w:val="24"/>
          <w:szCs w:val="20"/>
        </w:rPr>
        <w:t>ubject to the intent of a donor expressed in the gift instrument, an institution may appropriate for expenditure or accumulate so much of an endowment fund as the institution determines is prudent for the uses, benefits, purposes and duration for which the endowment fund is established. T</w:t>
      </w:r>
      <w:r w:rsidRPr="00F54559">
        <w:rPr>
          <w:rFonts w:eastAsia="Times New Roman" w:cstheme="minorHAnsi"/>
          <w:bCs/>
          <w:sz w:val="24"/>
          <w:szCs w:val="20"/>
        </w:rPr>
        <w:t>he System’s policy is to spend endowment appreciation to the extent of the approved annual spending rate while not invading corpus.  The return (loss) net of the amount used for operations is presented as Other Changes in Net Position in the Statements of Revenues, Expenses and Changes in Net Position.</w:t>
      </w:r>
    </w:p>
    <w:p w14:paraId="27041B72" w14:textId="77777777" w:rsidR="00051D7E" w:rsidRPr="00F54559" w:rsidRDefault="00051D7E" w:rsidP="00051D7E">
      <w:pPr>
        <w:tabs>
          <w:tab w:val="left" w:pos="0"/>
          <w:tab w:val="center" w:pos="720"/>
        </w:tabs>
        <w:suppressAutoHyphens/>
        <w:rPr>
          <w:rFonts w:eastAsia="Times New Roman" w:cstheme="minorHAnsi"/>
          <w:bCs/>
          <w:sz w:val="20"/>
          <w:szCs w:val="20"/>
        </w:rPr>
      </w:pPr>
    </w:p>
    <w:p w14:paraId="639D9E55" w14:textId="77777777" w:rsidR="00051D7E" w:rsidRPr="00F54559" w:rsidRDefault="00051D7E" w:rsidP="00051D7E">
      <w:pPr>
        <w:tabs>
          <w:tab w:val="left" w:pos="0"/>
          <w:tab w:val="center" w:pos="720"/>
          <w:tab w:val="left" w:pos="1710"/>
        </w:tabs>
        <w:suppressAutoHyphens/>
        <w:spacing w:after="160"/>
        <w:rPr>
          <w:rFonts w:eastAsia="Times New Roman" w:cstheme="minorHAnsi"/>
          <w:bCs/>
          <w:spacing w:val="-3"/>
          <w:sz w:val="24"/>
          <w:szCs w:val="20"/>
        </w:rPr>
      </w:pPr>
      <w:r w:rsidRPr="00F54559">
        <w:rPr>
          <w:rFonts w:eastAsia="Times New Roman" w:cstheme="minorHAnsi"/>
          <w:b/>
          <w:color w:val="000000" w:themeColor="text1"/>
          <w:spacing w:val="-3"/>
          <w:sz w:val="24"/>
          <w:szCs w:val="20"/>
        </w:rPr>
        <w:t xml:space="preserve">Authorized Investment Vehicles - Operating Investments: </w:t>
      </w:r>
      <w:r w:rsidRPr="00F54559">
        <w:rPr>
          <w:rFonts w:eastAsia="Times New Roman" w:cstheme="minorHAnsi"/>
          <w:b/>
          <w:spacing w:val="-3"/>
          <w:sz w:val="24"/>
          <w:szCs w:val="20"/>
        </w:rPr>
        <w:t xml:space="preserve"> </w:t>
      </w:r>
      <w:r w:rsidRPr="00F54559">
        <w:rPr>
          <w:rFonts w:eastAsia="Times New Roman" w:cstheme="minorHAnsi"/>
          <w:bCs/>
          <w:spacing w:val="-3"/>
          <w:sz w:val="24"/>
          <w:szCs w:val="20"/>
        </w:rPr>
        <w:t>The System has a three-tiered approach regarding its operating investments:</w:t>
      </w:r>
    </w:p>
    <w:p w14:paraId="30D00C61" w14:textId="77777777" w:rsidR="00051D7E" w:rsidRPr="00F54559" w:rsidRDefault="00051D7E" w:rsidP="00051D7E">
      <w:pPr>
        <w:numPr>
          <w:ilvl w:val="0"/>
          <w:numId w:val="6"/>
        </w:numPr>
        <w:tabs>
          <w:tab w:val="left" w:pos="0"/>
        </w:tabs>
        <w:suppressAutoHyphens/>
        <w:spacing w:after="160"/>
        <w:rPr>
          <w:rFonts w:eastAsia="Times New Roman" w:cstheme="minorHAnsi"/>
          <w:bCs/>
          <w:spacing w:val="-3"/>
          <w:sz w:val="24"/>
          <w:szCs w:val="20"/>
        </w:rPr>
      </w:pPr>
      <w:r w:rsidRPr="00C77851">
        <w:rPr>
          <w:rFonts w:eastAsia="Times New Roman" w:cstheme="minorHAnsi"/>
          <w:b/>
          <w:bCs/>
          <w:spacing w:val="-3"/>
          <w:sz w:val="24"/>
          <w:szCs w:val="20"/>
        </w:rPr>
        <w:t>Liquidity Pool</w:t>
      </w:r>
      <w:r w:rsidRPr="00F54559">
        <w:rPr>
          <w:rFonts w:eastAsia="Times New Roman" w:cstheme="minorHAnsi"/>
          <w:bCs/>
          <w:spacing w:val="-3"/>
          <w:sz w:val="24"/>
          <w:szCs w:val="20"/>
        </w:rPr>
        <w:t xml:space="preserve"> – The purpose of this pool is to meet the day-to-day obligations of the System. It consists of funds that are invested in a portfolio of highest quality short-term fixed-income securities (e.g., Treasury obligations, agency securities, repurchase agreements, money market funds, commercial paper, and/or short-term bond mutual funds) with adequate liquidity.  The average quality of the pool will be rated at least “A-1” by Standard and Poor’s (or equivalent).</w:t>
      </w:r>
    </w:p>
    <w:p w14:paraId="3877B57D" w14:textId="77777777" w:rsidR="00051D7E" w:rsidRPr="00F54559" w:rsidRDefault="00051D7E" w:rsidP="00051D7E">
      <w:pPr>
        <w:numPr>
          <w:ilvl w:val="0"/>
          <w:numId w:val="6"/>
        </w:numPr>
        <w:tabs>
          <w:tab w:val="left" w:pos="0"/>
        </w:tabs>
        <w:suppressAutoHyphens/>
        <w:spacing w:after="160"/>
        <w:rPr>
          <w:rFonts w:eastAsia="Times New Roman" w:cstheme="minorHAnsi"/>
          <w:bCs/>
          <w:spacing w:val="-3"/>
          <w:sz w:val="24"/>
          <w:szCs w:val="20"/>
        </w:rPr>
      </w:pPr>
      <w:r w:rsidRPr="00C77851">
        <w:rPr>
          <w:rFonts w:eastAsia="Times New Roman" w:cstheme="minorHAnsi"/>
          <w:b/>
          <w:bCs/>
          <w:spacing w:val="-3"/>
          <w:sz w:val="24"/>
          <w:szCs w:val="20"/>
        </w:rPr>
        <w:t>Income Pool</w:t>
      </w:r>
      <w:r w:rsidRPr="00F54559">
        <w:rPr>
          <w:rFonts w:eastAsia="Times New Roman" w:cstheme="minorHAnsi"/>
          <w:bCs/>
          <w:spacing w:val="-3"/>
          <w:sz w:val="24"/>
          <w:szCs w:val="20"/>
        </w:rPr>
        <w:t xml:space="preserve"> – The purpose of this pool is to provide sufficient income to meet budgetary goals and provide additional diversification to minimize downside risk. This pool invests in a diversified portfolio which may include items such as, but not limited to, fixed income securities, Federal Deposit Insurance Corporation insured or adequately collateralized certificates of deposit (CDs), or unconstrained, short or intermediate term bond funds with a normal average duration of </w:t>
      </w:r>
      <w:r w:rsidRPr="007A78F5">
        <w:rPr>
          <w:rFonts w:eastAsia="Times New Roman" w:cstheme="minorHAnsi"/>
          <w:bCs/>
          <w:spacing w:val="-3"/>
          <w:sz w:val="24"/>
          <w:szCs w:val="20"/>
        </w:rPr>
        <w:t xml:space="preserve">-2 to 7 </w:t>
      </w:r>
      <w:r w:rsidRPr="00F54559">
        <w:rPr>
          <w:rFonts w:eastAsia="Times New Roman" w:cstheme="minorHAnsi"/>
          <w:bCs/>
          <w:spacing w:val="-3"/>
          <w:sz w:val="24"/>
          <w:szCs w:val="20"/>
        </w:rPr>
        <w:t>years. The pool may invest in funds rated from BB to AAA quality. The overall average quality rating of this pool will be at least “A-” by Standard and Poor’s (or equivalent).</w:t>
      </w:r>
    </w:p>
    <w:p w14:paraId="64A26592" w14:textId="77777777" w:rsidR="00051D7E" w:rsidRPr="00F54559" w:rsidRDefault="00051D7E" w:rsidP="00051D7E">
      <w:pPr>
        <w:numPr>
          <w:ilvl w:val="0"/>
          <w:numId w:val="6"/>
        </w:numPr>
        <w:tabs>
          <w:tab w:val="left" w:pos="0"/>
          <w:tab w:val="left" w:pos="1440"/>
          <w:tab w:val="left" w:pos="1710"/>
        </w:tabs>
        <w:suppressAutoHyphens/>
        <w:rPr>
          <w:rFonts w:eastAsia="Times New Roman" w:cstheme="minorHAnsi"/>
          <w:b/>
          <w:spacing w:val="-3"/>
          <w:sz w:val="24"/>
          <w:szCs w:val="20"/>
        </w:rPr>
      </w:pPr>
      <w:r w:rsidRPr="00F54559">
        <w:rPr>
          <w:rFonts w:eastAsia="Times New Roman" w:cstheme="minorHAnsi"/>
          <w:b/>
          <w:bCs/>
          <w:spacing w:val="-3"/>
          <w:sz w:val="24"/>
          <w:szCs w:val="20"/>
        </w:rPr>
        <w:t>Total Return Pool</w:t>
      </w:r>
      <w:r w:rsidRPr="00F54559">
        <w:rPr>
          <w:rFonts w:eastAsia="Times New Roman" w:cstheme="minorHAnsi"/>
          <w:bCs/>
          <w:spacing w:val="-3"/>
          <w:sz w:val="24"/>
          <w:szCs w:val="20"/>
        </w:rPr>
        <w:t xml:space="preserve"> – This pool is expected to add diversification and growth to the portfolio and may invest in diversified assets made up of, but not limited to, equities, hedge funds, and global asset allocation mandates.</w:t>
      </w:r>
    </w:p>
    <w:p w14:paraId="451F7D09" w14:textId="77777777" w:rsidR="00051D7E" w:rsidRPr="00F54559" w:rsidRDefault="00051D7E" w:rsidP="00051D7E">
      <w:pPr>
        <w:rPr>
          <w:rFonts w:eastAsia="Times New Roman" w:cstheme="minorHAnsi"/>
          <w:spacing w:val="-3"/>
          <w:sz w:val="16"/>
          <w:szCs w:val="20"/>
        </w:rPr>
      </w:pPr>
    </w:p>
    <w:p w14:paraId="16BF4C95" w14:textId="77777777" w:rsidR="00AC5E92" w:rsidRDefault="00AC5E92">
      <w:pPr>
        <w:spacing w:after="160" w:line="259" w:lineRule="auto"/>
        <w:rPr>
          <w:rFonts w:eastAsia="Times New Roman" w:cstheme="minorHAnsi"/>
          <w:b/>
          <w:spacing w:val="-3"/>
          <w:sz w:val="24"/>
          <w:szCs w:val="20"/>
        </w:rPr>
      </w:pPr>
      <w:r>
        <w:rPr>
          <w:rFonts w:eastAsia="Times New Roman" w:cstheme="minorHAnsi"/>
          <w:b/>
          <w:spacing w:val="-3"/>
          <w:sz w:val="24"/>
          <w:szCs w:val="20"/>
        </w:rPr>
        <w:br w:type="page"/>
      </w:r>
    </w:p>
    <w:p w14:paraId="4FA685F3" w14:textId="77777777" w:rsidR="00AC5E92" w:rsidRPr="00F54559" w:rsidRDefault="00AC5E92" w:rsidP="00AC5E92">
      <w:pPr>
        <w:tabs>
          <w:tab w:val="left" w:pos="0"/>
        </w:tabs>
        <w:suppressAutoHyphens/>
        <w:spacing w:after="160"/>
        <w:rPr>
          <w:rFonts w:eastAsia="Times New Roman" w:cstheme="minorHAnsi"/>
          <w:bCs/>
          <w:spacing w:val="-3"/>
          <w:sz w:val="24"/>
          <w:szCs w:val="20"/>
        </w:rPr>
      </w:pPr>
      <w:r w:rsidRPr="00F54559">
        <w:rPr>
          <w:rFonts w:eastAsiaTheme="majorEastAsia" w:cstheme="minorHAnsi"/>
          <w:b/>
          <w:i/>
          <w:iCs/>
          <w:smallCaps/>
          <w:noProof/>
          <w:color w:val="000000" w:themeColor="text1"/>
          <w:sz w:val="26"/>
          <w:szCs w:val="26"/>
          <w:u w:color="5B9BD5"/>
        </w:rPr>
        <w:lastRenderedPageBreak/>
        <w:t>1. SIGNIFICANT ACCOUNTING POLICIES - CONTINUED</w:t>
      </w:r>
    </w:p>
    <w:p w14:paraId="640CAACB" w14:textId="36708C33" w:rsidR="00051D7E" w:rsidRPr="00F54559" w:rsidRDefault="00051D7E" w:rsidP="00051D7E">
      <w:pPr>
        <w:spacing w:after="240"/>
        <w:rPr>
          <w:rFonts w:eastAsia="Times New Roman" w:cstheme="minorHAnsi"/>
          <w:bCs/>
          <w:spacing w:val="-3"/>
          <w:sz w:val="24"/>
          <w:szCs w:val="20"/>
        </w:rPr>
      </w:pPr>
      <w:r w:rsidRPr="00F54559">
        <w:rPr>
          <w:rFonts w:eastAsia="Times New Roman" w:cstheme="minorHAnsi"/>
          <w:b/>
          <w:spacing w:val="-3"/>
          <w:sz w:val="24"/>
          <w:szCs w:val="20"/>
        </w:rPr>
        <w:t>Authorized Investment Vehicles - Endowment Investments:</w:t>
      </w:r>
      <w:r w:rsidRPr="00F54559">
        <w:rPr>
          <w:rFonts w:eastAsia="Times New Roman" w:cstheme="minorHAnsi"/>
          <w:bCs/>
          <w:spacing w:val="-3"/>
          <w:sz w:val="24"/>
          <w:szCs w:val="20"/>
        </w:rPr>
        <w:t xml:space="preserve">  The fund is diversified both by asset class and within asset classes.  To have a reasonable probability of consistently achieving the Fund’s return objectives, the following asset allocation policy ranges were applicable as of June 30, 20</w:t>
      </w:r>
      <w:r>
        <w:rPr>
          <w:rFonts w:eastAsia="Times New Roman" w:cstheme="minorHAnsi"/>
          <w:bCs/>
          <w:spacing w:val="-3"/>
          <w:sz w:val="24"/>
          <w:szCs w:val="20"/>
        </w:rPr>
        <w:t>21</w:t>
      </w:r>
      <w:r w:rsidRPr="00F54559">
        <w:rPr>
          <w:rFonts w:eastAsia="Times New Roman" w:cstheme="minorHAnsi"/>
          <w:bCs/>
          <w:spacing w:val="-3"/>
          <w:sz w:val="24"/>
          <w:szCs w:val="20"/>
        </w:rPr>
        <w:t xml:space="preserve"> and 20</w:t>
      </w:r>
      <w:r>
        <w:rPr>
          <w:rFonts w:eastAsia="Times New Roman" w:cstheme="minorHAnsi"/>
          <w:bCs/>
          <w:spacing w:val="-3"/>
          <w:sz w:val="24"/>
          <w:szCs w:val="20"/>
        </w:rPr>
        <w:t>20</w:t>
      </w:r>
      <w:r w:rsidRPr="00F54559">
        <w:rPr>
          <w:rFonts w:eastAsia="Times New Roman" w:cstheme="minorHAnsi"/>
          <w:bCs/>
          <w:spacing w:val="-3"/>
          <w:sz w:val="24"/>
          <w:szCs w:val="20"/>
        </w:rPr>
        <w:t>:</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hows the System's asset allocation policy ranges applicable at June 30, 2018 and 2019.  Equity securities increased from 35-55% in FY18 to 45-65% in FY19; Fixed income securities increased from 13-29% in FY18 to 15-35% in FY19, other decreased from 24-44% in FY18 to 10-30% in FY19; cash remained at 0-10%."/>
      </w:tblPr>
      <w:tblGrid>
        <w:gridCol w:w="3060"/>
        <w:gridCol w:w="1170"/>
        <w:gridCol w:w="1170"/>
      </w:tblGrid>
      <w:tr w:rsidR="00051D7E" w:rsidRPr="00A454B4" w14:paraId="2613E9E2" w14:textId="77777777" w:rsidTr="007531FB">
        <w:trPr>
          <w:trHeight w:val="234"/>
          <w:tblHeader/>
          <w:jc w:val="center"/>
        </w:trPr>
        <w:tc>
          <w:tcPr>
            <w:tcW w:w="3060" w:type="dxa"/>
          </w:tcPr>
          <w:p w14:paraId="5501167F" w14:textId="317A82FA" w:rsidR="00051D7E" w:rsidRPr="00F54559" w:rsidRDefault="00A23D24" w:rsidP="007531FB">
            <w:pPr>
              <w:pStyle w:val="Heading4"/>
              <w:pBdr>
                <w:bottom w:val="none" w:sz="0" w:space="0" w:color="auto"/>
              </w:pBdr>
              <w:spacing w:after="0"/>
              <w:outlineLvl w:val="3"/>
              <w:rPr>
                <w:rFonts w:cstheme="minorHAnsi"/>
                <w:i w:val="0"/>
                <w:sz w:val="24"/>
              </w:rPr>
            </w:pPr>
            <w:r>
              <w:rPr>
                <w:rFonts w:cstheme="minorHAnsi"/>
                <w:i w:val="0"/>
                <w:sz w:val="24"/>
              </w:rPr>
              <w:t xml:space="preserve"> </w:t>
            </w:r>
          </w:p>
        </w:tc>
        <w:tc>
          <w:tcPr>
            <w:tcW w:w="1170" w:type="dxa"/>
            <w:shd w:val="clear" w:color="auto" w:fill="auto"/>
          </w:tcPr>
          <w:p w14:paraId="25C8DD6E" w14:textId="77777777" w:rsidR="00051D7E" w:rsidRPr="001A18A6" w:rsidRDefault="00051D7E" w:rsidP="007531FB">
            <w:pPr>
              <w:pStyle w:val="Heading4"/>
              <w:pBdr>
                <w:bottom w:val="none" w:sz="0" w:space="0" w:color="auto"/>
              </w:pBdr>
              <w:spacing w:after="0"/>
              <w:jc w:val="center"/>
              <w:outlineLvl w:val="3"/>
              <w:rPr>
                <w:rFonts w:cstheme="minorHAnsi"/>
                <w:b/>
                <w:i w:val="0"/>
                <w:sz w:val="24"/>
              </w:rPr>
            </w:pPr>
            <w:r>
              <w:rPr>
                <w:rFonts w:cstheme="minorHAnsi"/>
                <w:b/>
                <w:i w:val="0"/>
                <w:sz w:val="24"/>
              </w:rPr>
              <w:t>2021</w:t>
            </w:r>
          </w:p>
        </w:tc>
        <w:tc>
          <w:tcPr>
            <w:tcW w:w="1170" w:type="dxa"/>
            <w:shd w:val="clear" w:color="auto" w:fill="D9D9D9" w:themeFill="background1" w:themeFillShade="D9"/>
          </w:tcPr>
          <w:p w14:paraId="25E38FE4" w14:textId="77777777" w:rsidR="00051D7E" w:rsidRPr="001A18A6" w:rsidRDefault="00051D7E" w:rsidP="007531FB">
            <w:pPr>
              <w:pStyle w:val="Heading4"/>
              <w:pBdr>
                <w:bottom w:val="none" w:sz="0" w:space="0" w:color="auto"/>
              </w:pBdr>
              <w:spacing w:after="0"/>
              <w:jc w:val="center"/>
              <w:outlineLvl w:val="3"/>
              <w:rPr>
                <w:rFonts w:cstheme="minorHAnsi"/>
                <w:b/>
                <w:i w:val="0"/>
                <w:sz w:val="24"/>
              </w:rPr>
            </w:pPr>
            <w:r w:rsidRPr="001A18A6">
              <w:rPr>
                <w:rFonts w:cstheme="minorHAnsi"/>
                <w:b/>
                <w:i w:val="0"/>
                <w:sz w:val="24"/>
              </w:rPr>
              <w:t>20</w:t>
            </w:r>
            <w:r>
              <w:rPr>
                <w:rFonts w:cstheme="minorHAnsi"/>
                <w:b/>
                <w:i w:val="0"/>
                <w:sz w:val="24"/>
              </w:rPr>
              <w:t>20</w:t>
            </w:r>
          </w:p>
        </w:tc>
      </w:tr>
      <w:tr w:rsidR="00051D7E" w:rsidRPr="00A454B4" w14:paraId="4E8C8268" w14:textId="77777777" w:rsidTr="007531FB">
        <w:trPr>
          <w:jc w:val="center"/>
        </w:trPr>
        <w:tc>
          <w:tcPr>
            <w:tcW w:w="3060" w:type="dxa"/>
          </w:tcPr>
          <w:p w14:paraId="65004496" w14:textId="77777777" w:rsidR="00051D7E" w:rsidRPr="00F54559" w:rsidRDefault="00051D7E" w:rsidP="007531FB">
            <w:pPr>
              <w:tabs>
                <w:tab w:val="left" w:pos="0"/>
                <w:tab w:val="left" w:pos="1440"/>
                <w:tab w:val="left" w:pos="1710"/>
              </w:tabs>
              <w:suppressAutoHyphens/>
              <w:rPr>
                <w:rFonts w:eastAsia="Times New Roman" w:cstheme="minorHAnsi"/>
                <w:bCs/>
                <w:spacing w:val="-3"/>
                <w:sz w:val="24"/>
                <w:szCs w:val="20"/>
              </w:rPr>
            </w:pPr>
            <w:r w:rsidRPr="00F54559">
              <w:rPr>
                <w:rFonts w:eastAsia="Times New Roman" w:cstheme="minorHAnsi"/>
                <w:bCs/>
                <w:spacing w:val="-3"/>
                <w:sz w:val="24"/>
                <w:szCs w:val="20"/>
              </w:rPr>
              <w:t>Equity securities</w:t>
            </w:r>
          </w:p>
        </w:tc>
        <w:tc>
          <w:tcPr>
            <w:tcW w:w="1170" w:type="dxa"/>
            <w:shd w:val="clear" w:color="auto" w:fill="auto"/>
          </w:tcPr>
          <w:p w14:paraId="56542541" w14:textId="77777777" w:rsidR="00051D7E" w:rsidRPr="006A130B" w:rsidRDefault="00051D7E" w:rsidP="007531FB">
            <w:pPr>
              <w:tabs>
                <w:tab w:val="left" w:pos="0"/>
                <w:tab w:val="left" w:pos="1440"/>
                <w:tab w:val="left" w:pos="1710"/>
              </w:tabs>
              <w:suppressAutoHyphens/>
              <w:jc w:val="right"/>
              <w:rPr>
                <w:rFonts w:eastAsia="Times New Roman" w:cstheme="minorHAnsi"/>
                <w:bCs/>
                <w:spacing w:val="-3"/>
                <w:sz w:val="24"/>
                <w:szCs w:val="20"/>
              </w:rPr>
            </w:pPr>
            <w:r w:rsidRPr="006A130B">
              <w:rPr>
                <w:rFonts w:eastAsia="Times New Roman" w:cstheme="minorHAnsi"/>
                <w:bCs/>
                <w:spacing w:val="-3"/>
                <w:sz w:val="24"/>
                <w:szCs w:val="20"/>
              </w:rPr>
              <w:t>49-69%</w:t>
            </w:r>
          </w:p>
        </w:tc>
        <w:tc>
          <w:tcPr>
            <w:tcW w:w="1170" w:type="dxa"/>
            <w:shd w:val="clear" w:color="auto" w:fill="D9D9D9" w:themeFill="background1" w:themeFillShade="D9"/>
          </w:tcPr>
          <w:p w14:paraId="752604A1" w14:textId="77777777" w:rsidR="00051D7E" w:rsidRPr="00F54559" w:rsidRDefault="00051D7E" w:rsidP="007531FB">
            <w:pPr>
              <w:tabs>
                <w:tab w:val="left" w:pos="0"/>
                <w:tab w:val="left" w:pos="1440"/>
                <w:tab w:val="left" w:pos="1710"/>
              </w:tabs>
              <w:suppressAutoHyphens/>
              <w:jc w:val="right"/>
              <w:rPr>
                <w:rFonts w:eastAsia="Times New Roman" w:cstheme="minorHAnsi"/>
                <w:bCs/>
                <w:spacing w:val="-3"/>
                <w:sz w:val="24"/>
                <w:szCs w:val="20"/>
              </w:rPr>
            </w:pPr>
            <w:r>
              <w:rPr>
                <w:rFonts w:eastAsia="Times New Roman" w:cstheme="minorHAnsi"/>
                <w:bCs/>
                <w:spacing w:val="-3"/>
                <w:sz w:val="24"/>
                <w:szCs w:val="20"/>
              </w:rPr>
              <w:t>45-65</w:t>
            </w:r>
            <w:r w:rsidRPr="00F54559">
              <w:rPr>
                <w:rFonts w:eastAsia="Times New Roman" w:cstheme="minorHAnsi"/>
                <w:bCs/>
                <w:spacing w:val="-3"/>
                <w:sz w:val="24"/>
                <w:szCs w:val="20"/>
              </w:rPr>
              <w:t>%</w:t>
            </w:r>
          </w:p>
        </w:tc>
      </w:tr>
      <w:tr w:rsidR="00051D7E" w:rsidRPr="00A454B4" w14:paraId="0991B41D" w14:textId="77777777" w:rsidTr="007531FB">
        <w:trPr>
          <w:jc w:val="center"/>
        </w:trPr>
        <w:tc>
          <w:tcPr>
            <w:tcW w:w="3060" w:type="dxa"/>
          </w:tcPr>
          <w:p w14:paraId="7F73BB99" w14:textId="77777777" w:rsidR="00051D7E" w:rsidRPr="00F54559" w:rsidRDefault="00051D7E" w:rsidP="007531FB">
            <w:pPr>
              <w:tabs>
                <w:tab w:val="left" w:pos="0"/>
                <w:tab w:val="left" w:pos="1440"/>
                <w:tab w:val="left" w:pos="1710"/>
              </w:tabs>
              <w:suppressAutoHyphens/>
              <w:rPr>
                <w:rFonts w:eastAsia="Times New Roman" w:cstheme="minorHAnsi"/>
                <w:bCs/>
                <w:spacing w:val="-3"/>
                <w:sz w:val="24"/>
                <w:szCs w:val="20"/>
              </w:rPr>
            </w:pPr>
            <w:r w:rsidRPr="00F54559">
              <w:rPr>
                <w:rFonts w:eastAsia="Times New Roman" w:cstheme="minorHAnsi"/>
                <w:bCs/>
                <w:spacing w:val="-3"/>
                <w:sz w:val="24"/>
                <w:szCs w:val="20"/>
              </w:rPr>
              <w:t>Fixed income securities</w:t>
            </w:r>
          </w:p>
        </w:tc>
        <w:tc>
          <w:tcPr>
            <w:tcW w:w="1170" w:type="dxa"/>
            <w:shd w:val="clear" w:color="auto" w:fill="auto"/>
          </w:tcPr>
          <w:p w14:paraId="15F0EB66" w14:textId="77777777" w:rsidR="00051D7E" w:rsidRPr="006A130B" w:rsidRDefault="00051D7E" w:rsidP="007531FB">
            <w:pPr>
              <w:tabs>
                <w:tab w:val="left" w:pos="0"/>
                <w:tab w:val="left" w:pos="1440"/>
                <w:tab w:val="left" w:pos="1710"/>
              </w:tabs>
              <w:suppressAutoHyphens/>
              <w:jc w:val="right"/>
              <w:rPr>
                <w:rFonts w:eastAsia="Times New Roman" w:cstheme="minorHAnsi"/>
                <w:bCs/>
                <w:spacing w:val="-3"/>
                <w:sz w:val="24"/>
                <w:szCs w:val="20"/>
              </w:rPr>
            </w:pPr>
            <w:r w:rsidRPr="006A130B">
              <w:rPr>
                <w:rFonts w:eastAsia="Times New Roman" w:cstheme="minorHAnsi"/>
                <w:bCs/>
                <w:spacing w:val="-3"/>
                <w:sz w:val="24"/>
                <w:szCs w:val="20"/>
              </w:rPr>
              <w:t>16-36%</w:t>
            </w:r>
          </w:p>
        </w:tc>
        <w:tc>
          <w:tcPr>
            <w:tcW w:w="1170" w:type="dxa"/>
            <w:shd w:val="clear" w:color="auto" w:fill="D9D9D9" w:themeFill="background1" w:themeFillShade="D9"/>
          </w:tcPr>
          <w:p w14:paraId="5683639F" w14:textId="77777777" w:rsidR="00051D7E" w:rsidRPr="00F54559" w:rsidRDefault="00051D7E" w:rsidP="007531FB">
            <w:pPr>
              <w:tabs>
                <w:tab w:val="left" w:pos="0"/>
                <w:tab w:val="left" w:pos="1440"/>
                <w:tab w:val="left" w:pos="1710"/>
              </w:tabs>
              <w:suppressAutoHyphens/>
              <w:jc w:val="right"/>
              <w:rPr>
                <w:rFonts w:eastAsia="Times New Roman" w:cstheme="minorHAnsi"/>
                <w:bCs/>
                <w:spacing w:val="-3"/>
                <w:sz w:val="24"/>
                <w:szCs w:val="20"/>
              </w:rPr>
            </w:pPr>
            <w:r>
              <w:rPr>
                <w:rFonts w:eastAsia="Times New Roman" w:cstheme="minorHAnsi"/>
                <w:bCs/>
                <w:spacing w:val="-3"/>
                <w:sz w:val="24"/>
                <w:szCs w:val="20"/>
              </w:rPr>
              <w:t>15-35</w:t>
            </w:r>
            <w:r w:rsidRPr="00F54559">
              <w:rPr>
                <w:rFonts w:eastAsia="Times New Roman" w:cstheme="minorHAnsi"/>
                <w:bCs/>
                <w:spacing w:val="-3"/>
                <w:sz w:val="24"/>
                <w:szCs w:val="20"/>
              </w:rPr>
              <w:t>%</w:t>
            </w:r>
          </w:p>
        </w:tc>
      </w:tr>
      <w:tr w:rsidR="00051D7E" w:rsidRPr="00A454B4" w14:paraId="35C3CBCF" w14:textId="77777777" w:rsidTr="007531FB">
        <w:trPr>
          <w:jc w:val="center"/>
        </w:trPr>
        <w:tc>
          <w:tcPr>
            <w:tcW w:w="3060" w:type="dxa"/>
          </w:tcPr>
          <w:p w14:paraId="35B77ED9" w14:textId="77777777" w:rsidR="00051D7E" w:rsidRPr="00F54559" w:rsidRDefault="00051D7E" w:rsidP="007531FB">
            <w:pPr>
              <w:tabs>
                <w:tab w:val="left" w:pos="0"/>
                <w:tab w:val="left" w:pos="1440"/>
                <w:tab w:val="left" w:pos="1710"/>
              </w:tabs>
              <w:suppressAutoHyphens/>
              <w:rPr>
                <w:rFonts w:eastAsia="Times New Roman" w:cstheme="minorHAnsi"/>
                <w:bCs/>
                <w:spacing w:val="-3"/>
                <w:sz w:val="24"/>
                <w:szCs w:val="20"/>
              </w:rPr>
            </w:pPr>
            <w:r w:rsidRPr="00F54559">
              <w:rPr>
                <w:rFonts w:eastAsia="Times New Roman" w:cstheme="minorHAnsi"/>
                <w:bCs/>
                <w:spacing w:val="-3"/>
                <w:sz w:val="24"/>
                <w:szCs w:val="20"/>
              </w:rPr>
              <w:t>Other</w:t>
            </w:r>
          </w:p>
        </w:tc>
        <w:tc>
          <w:tcPr>
            <w:tcW w:w="1170" w:type="dxa"/>
            <w:shd w:val="clear" w:color="auto" w:fill="auto"/>
          </w:tcPr>
          <w:p w14:paraId="5B8A1B27" w14:textId="77777777" w:rsidR="00051D7E" w:rsidRPr="006A130B" w:rsidRDefault="00051D7E" w:rsidP="007531FB">
            <w:pPr>
              <w:tabs>
                <w:tab w:val="left" w:pos="0"/>
                <w:tab w:val="left" w:pos="1440"/>
                <w:tab w:val="left" w:pos="1710"/>
              </w:tabs>
              <w:suppressAutoHyphens/>
              <w:jc w:val="right"/>
              <w:rPr>
                <w:rFonts w:eastAsia="Times New Roman" w:cstheme="minorHAnsi"/>
                <w:bCs/>
                <w:spacing w:val="-3"/>
                <w:sz w:val="24"/>
                <w:szCs w:val="20"/>
              </w:rPr>
            </w:pPr>
            <w:r w:rsidRPr="006A130B">
              <w:rPr>
                <w:rFonts w:eastAsia="Times New Roman" w:cstheme="minorHAnsi"/>
                <w:bCs/>
                <w:spacing w:val="-3"/>
                <w:sz w:val="24"/>
                <w:szCs w:val="20"/>
              </w:rPr>
              <w:t>5-25%</w:t>
            </w:r>
          </w:p>
        </w:tc>
        <w:tc>
          <w:tcPr>
            <w:tcW w:w="1170" w:type="dxa"/>
            <w:shd w:val="clear" w:color="auto" w:fill="D9D9D9" w:themeFill="background1" w:themeFillShade="D9"/>
          </w:tcPr>
          <w:p w14:paraId="5C409C94" w14:textId="77777777" w:rsidR="00051D7E" w:rsidRPr="00F54559" w:rsidRDefault="00051D7E" w:rsidP="007531FB">
            <w:pPr>
              <w:tabs>
                <w:tab w:val="left" w:pos="0"/>
                <w:tab w:val="left" w:pos="1440"/>
                <w:tab w:val="left" w:pos="1710"/>
              </w:tabs>
              <w:suppressAutoHyphens/>
              <w:jc w:val="right"/>
              <w:rPr>
                <w:rFonts w:eastAsia="Times New Roman" w:cstheme="minorHAnsi"/>
                <w:bCs/>
                <w:spacing w:val="-3"/>
                <w:sz w:val="24"/>
                <w:szCs w:val="20"/>
              </w:rPr>
            </w:pPr>
            <w:r>
              <w:rPr>
                <w:rFonts w:eastAsia="Times New Roman" w:cstheme="minorHAnsi"/>
                <w:bCs/>
                <w:spacing w:val="-3"/>
                <w:sz w:val="24"/>
                <w:szCs w:val="20"/>
              </w:rPr>
              <w:t>10-30</w:t>
            </w:r>
            <w:r w:rsidRPr="00F54559">
              <w:rPr>
                <w:rFonts w:eastAsia="Times New Roman" w:cstheme="minorHAnsi"/>
                <w:bCs/>
                <w:spacing w:val="-3"/>
                <w:sz w:val="24"/>
                <w:szCs w:val="20"/>
              </w:rPr>
              <w:t>%</w:t>
            </w:r>
          </w:p>
        </w:tc>
      </w:tr>
      <w:tr w:rsidR="00051D7E" w:rsidRPr="00A454B4" w14:paraId="682D096D" w14:textId="77777777" w:rsidTr="007531FB">
        <w:trPr>
          <w:jc w:val="center"/>
        </w:trPr>
        <w:tc>
          <w:tcPr>
            <w:tcW w:w="3060" w:type="dxa"/>
          </w:tcPr>
          <w:p w14:paraId="336E8936" w14:textId="77777777" w:rsidR="00051D7E" w:rsidRPr="00F54559" w:rsidRDefault="00051D7E" w:rsidP="007531FB">
            <w:pPr>
              <w:tabs>
                <w:tab w:val="left" w:pos="0"/>
                <w:tab w:val="left" w:pos="1440"/>
                <w:tab w:val="left" w:pos="1710"/>
              </w:tabs>
              <w:suppressAutoHyphens/>
              <w:rPr>
                <w:rFonts w:eastAsia="Times New Roman" w:cstheme="minorHAnsi"/>
                <w:bCs/>
                <w:spacing w:val="-3"/>
                <w:sz w:val="24"/>
                <w:szCs w:val="20"/>
              </w:rPr>
            </w:pPr>
            <w:r w:rsidRPr="00F54559">
              <w:rPr>
                <w:rFonts w:eastAsia="Times New Roman" w:cstheme="minorHAnsi"/>
                <w:bCs/>
                <w:spacing w:val="-3"/>
                <w:sz w:val="24"/>
                <w:szCs w:val="20"/>
              </w:rPr>
              <w:t>Cash</w:t>
            </w:r>
          </w:p>
        </w:tc>
        <w:tc>
          <w:tcPr>
            <w:tcW w:w="1170" w:type="dxa"/>
            <w:shd w:val="clear" w:color="auto" w:fill="auto"/>
          </w:tcPr>
          <w:p w14:paraId="32929B42" w14:textId="77777777" w:rsidR="00051D7E" w:rsidRPr="006A130B" w:rsidRDefault="00051D7E" w:rsidP="007531FB">
            <w:pPr>
              <w:tabs>
                <w:tab w:val="left" w:pos="0"/>
                <w:tab w:val="left" w:pos="1440"/>
                <w:tab w:val="left" w:pos="1710"/>
              </w:tabs>
              <w:suppressAutoHyphens/>
              <w:jc w:val="right"/>
              <w:rPr>
                <w:rFonts w:eastAsia="Times New Roman" w:cstheme="minorHAnsi"/>
                <w:bCs/>
                <w:spacing w:val="-3"/>
                <w:sz w:val="24"/>
                <w:szCs w:val="20"/>
              </w:rPr>
            </w:pPr>
            <w:r w:rsidRPr="006A130B">
              <w:rPr>
                <w:rFonts w:eastAsia="Times New Roman" w:cstheme="minorHAnsi"/>
                <w:bCs/>
                <w:spacing w:val="-3"/>
                <w:sz w:val="24"/>
                <w:szCs w:val="20"/>
              </w:rPr>
              <w:t>0-10%</w:t>
            </w:r>
          </w:p>
        </w:tc>
        <w:tc>
          <w:tcPr>
            <w:tcW w:w="1170" w:type="dxa"/>
            <w:shd w:val="clear" w:color="auto" w:fill="D9D9D9" w:themeFill="background1" w:themeFillShade="D9"/>
          </w:tcPr>
          <w:p w14:paraId="3D5B071F" w14:textId="77777777" w:rsidR="00051D7E" w:rsidRPr="00F54559" w:rsidRDefault="00051D7E" w:rsidP="007531FB">
            <w:pPr>
              <w:tabs>
                <w:tab w:val="left" w:pos="0"/>
                <w:tab w:val="left" w:pos="1440"/>
                <w:tab w:val="left" w:pos="1710"/>
              </w:tabs>
              <w:suppressAutoHyphens/>
              <w:jc w:val="right"/>
              <w:rPr>
                <w:rFonts w:eastAsia="Times New Roman" w:cstheme="minorHAnsi"/>
                <w:bCs/>
                <w:spacing w:val="-3"/>
                <w:sz w:val="24"/>
                <w:szCs w:val="20"/>
              </w:rPr>
            </w:pPr>
            <w:r w:rsidRPr="00F54559">
              <w:rPr>
                <w:rFonts w:eastAsia="Times New Roman" w:cstheme="minorHAnsi"/>
                <w:bCs/>
                <w:spacing w:val="-3"/>
                <w:sz w:val="24"/>
                <w:szCs w:val="20"/>
              </w:rPr>
              <w:t>0-10%</w:t>
            </w:r>
          </w:p>
        </w:tc>
      </w:tr>
    </w:tbl>
    <w:p w14:paraId="22CF7A48" w14:textId="77777777" w:rsidR="00051D7E" w:rsidRPr="00F54559" w:rsidRDefault="00051D7E" w:rsidP="00051D7E">
      <w:pPr>
        <w:tabs>
          <w:tab w:val="left" w:pos="0"/>
          <w:tab w:val="left" w:pos="1440"/>
          <w:tab w:val="left" w:pos="1710"/>
        </w:tabs>
        <w:suppressAutoHyphens/>
        <w:rPr>
          <w:rFonts w:eastAsia="Times New Roman" w:cstheme="minorHAnsi"/>
          <w:bCs/>
          <w:spacing w:val="-3"/>
          <w:sz w:val="16"/>
          <w:szCs w:val="20"/>
          <w:highlight w:val="yellow"/>
        </w:rPr>
      </w:pPr>
    </w:p>
    <w:p w14:paraId="0C92F446" w14:textId="77777777" w:rsidR="00051D7E" w:rsidRPr="00F54559" w:rsidRDefault="00051D7E" w:rsidP="00051D7E">
      <w:pPr>
        <w:tabs>
          <w:tab w:val="left" w:pos="0"/>
          <w:tab w:val="center" w:pos="720"/>
          <w:tab w:val="left" w:pos="1800"/>
        </w:tabs>
        <w:suppressAutoHyphens/>
        <w:rPr>
          <w:rFonts w:eastAsia="Times New Roman" w:cstheme="minorHAnsi"/>
          <w:bCs/>
          <w:spacing w:val="-3"/>
          <w:sz w:val="24"/>
          <w:szCs w:val="20"/>
        </w:rPr>
      </w:pPr>
      <w:r w:rsidRPr="00F54559">
        <w:rPr>
          <w:rFonts w:eastAsia="Times New Roman" w:cstheme="minorHAnsi"/>
          <w:b/>
          <w:spacing w:val="-3"/>
          <w:sz w:val="24"/>
          <w:szCs w:val="20"/>
        </w:rPr>
        <w:t>Authorized Investment Vehicles - Deposits with Bond Trustees</w:t>
      </w:r>
      <w:r w:rsidRPr="00F54559">
        <w:rPr>
          <w:rFonts w:eastAsia="Times New Roman" w:cstheme="minorHAnsi"/>
          <w:bCs/>
          <w:spacing w:val="-3"/>
          <w:sz w:val="24"/>
          <w:szCs w:val="20"/>
        </w:rPr>
        <w:t>:  These monies are invested in accordance with the governing bond resolutions and arbitrage certificates.</w:t>
      </w:r>
    </w:p>
    <w:p w14:paraId="7CB1EC48" w14:textId="386CD738" w:rsidR="00051D7E" w:rsidRPr="00F54559" w:rsidRDefault="00CA2417" w:rsidP="00051D7E">
      <w:pPr>
        <w:pStyle w:val="AFR3"/>
        <w:rPr>
          <w:rFonts w:cstheme="minorHAnsi"/>
        </w:rPr>
      </w:pPr>
      <w:r>
        <w:rPr>
          <w:rFonts w:cstheme="minorHAnsi"/>
        </w:rPr>
        <w:t>g</w:t>
      </w:r>
      <w:r w:rsidR="00051D7E" w:rsidRPr="00F54559">
        <w:rPr>
          <w:rFonts w:cstheme="minorHAnsi"/>
        </w:rPr>
        <w:t>. Gifts and Pledges</w:t>
      </w:r>
    </w:p>
    <w:p w14:paraId="50C2719A" w14:textId="77777777" w:rsidR="00051D7E" w:rsidRPr="00F54559" w:rsidRDefault="00051D7E" w:rsidP="00051D7E">
      <w:pPr>
        <w:tabs>
          <w:tab w:val="left" w:pos="720"/>
          <w:tab w:val="left" w:pos="1080"/>
          <w:tab w:val="left" w:pos="5040"/>
        </w:tabs>
        <w:suppressAutoHyphens/>
        <w:rPr>
          <w:rFonts w:cstheme="minorHAnsi"/>
          <w:spacing w:val="-3"/>
          <w:sz w:val="24"/>
        </w:rPr>
      </w:pPr>
      <w:r w:rsidRPr="00F54559">
        <w:rPr>
          <w:rFonts w:cstheme="minorHAnsi"/>
          <w:spacing w:val="-3"/>
          <w:sz w:val="24"/>
        </w:rPr>
        <w:t>Gifts are recorded at their fair value at the date of gift.  Promises to donate to the System are recorded as receivables and revenues when the System has met all applicable eligibility and time requirements. Gifts and bequests to be used for endowment purposes are categorized as endowment gifts. Other gifts are categorized as currently expendable. Pledges receivable are reported net of amounts deemed uncollectible and after discounting to the present value of the expected future cash flows. Since the System cannot fulfill the time requirement for gifts to endowments until the gift is received, pledges to endowments are not reported. Because of uncertainties with regard to their realizability and valuation, bequests and intentions to give and other conditional promises are not recognized as assets until the specified conditions are met.</w:t>
      </w:r>
    </w:p>
    <w:p w14:paraId="4E8D0D11" w14:textId="30005EBA" w:rsidR="00051D7E" w:rsidRPr="00F54559" w:rsidRDefault="00CA2417" w:rsidP="00051D7E">
      <w:pPr>
        <w:pStyle w:val="AFR3"/>
        <w:rPr>
          <w:rFonts w:cstheme="minorHAnsi"/>
        </w:rPr>
      </w:pPr>
      <w:r>
        <w:rPr>
          <w:rFonts w:cstheme="minorHAnsi"/>
        </w:rPr>
        <w:t>h</w:t>
      </w:r>
      <w:r w:rsidR="00051D7E" w:rsidRPr="00F54559">
        <w:rPr>
          <w:rFonts w:cstheme="minorHAnsi"/>
        </w:rPr>
        <w:t>. Grants and Contracts and Capital Appropriations</w:t>
      </w:r>
    </w:p>
    <w:p w14:paraId="143B2324" w14:textId="77777777" w:rsidR="00051D7E" w:rsidRPr="00F54559" w:rsidRDefault="00051D7E" w:rsidP="00051D7E">
      <w:pPr>
        <w:tabs>
          <w:tab w:val="left" w:pos="720"/>
          <w:tab w:val="left" w:pos="1080"/>
          <w:tab w:val="left" w:pos="5040"/>
        </w:tabs>
        <w:suppressAutoHyphens/>
        <w:rPr>
          <w:rFonts w:cstheme="minorHAnsi"/>
          <w:spacing w:val="-3"/>
          <w:sz w:val="24"/>
        </w:rPr>
      </w:pPr>
      <w:r w:rsidRPr="00F54559">
        <w:rPr>
          <w:rFonts w:cstheme="minorHAnsi"/>
          <w:spacing w:val="-3"/>
          <w:sz w:val="24"/>
        </w:rPr>
        <w:t>The System records a receivable and corresponding revenue for grants and contracts and capital appropriations at the point all eligibility requirements (e.g., allowable costs are incurred) are met.</w:t>
      </w:r>
    </w:p>
    <w:p w14:paraId="3BBFC703" w14:textId="63530C34" w:rsidR="00051D7E" w:rsidRPr="00F54559" w:rsidRDefault="00CA2417" w:rsidP="00051D7E">
      <w:pPr>
        <w:pStyle w:val="AFR3"/>
        <w:rPr>
          <w:rFonts w:cstheme="minorHAnsi"/>
        </w:rPr>
      </w:pPr>
      <w:proofErr w:type="spellStart"/>
      <w:r>
        <w:rPr>
          <w:rFonts w:cstheme="minorHAnsi"/>
        </w:rPr>
        <w:t>i</w:t>
      </w:r>
      <w:proofErr w:type="spellEnd"/>
      <w:r w:rsidR="00051D7E" w:rsidRPr="00F54559">
        <w:rPr>
          <w:rFonts w:cstheme="minorHAnsi"/>
        </w:rPr>
        <w:t>. Inventories</w:t>
      </w:r>
    </w:p>
    <w:p w14:paraId="47429B00" w14:textId="77777777" w:rsidR="00051D7E" w:rsidRPr="00F54559" w:rsidRDefault="00051D7E" w:rsidP="00051D7E">
      <w:pPr>
        <w:tabs>
          <w:tab w:val="left" w:pos="720"/>
          <w:tab w:val="left" w:pos="1080"/>
          <w:tab w:val="left" w:pos="5040"/>
        </w:tabs>
        <w:suppressAutoHyphens/>
        <w:rPr>
          <w:rFonts w:eastAsia="Times New Roman" w:cstheme="minorHAnsi"/>
          <w:bCs/>
          <w:spacing w:val="-3"/>
          <w:sz w:val="24"/>
          <w:szCs w:val="20"/>
        </w:rPr>
      </w:pPr>
      <w:r w:rsidRPr="00F54559">
        <w:rPr>
          <w:rFonts w:eastAsia="Times New Roman" w:cstheme="minorHAnsi"/>
          <w:bCs/>
          <w:spacing w:val="-3"/>
          <w:sz w:val="24"/>
          <w:szCs w:val="20"/>
        </w:rPr>
        <w:t>Inventories are stated at cost.  Cost is determined using the first-in, first-out method or the average-cost method.</w:t>
      </w:r>
    </w:p>
    <w:p w14:paraId="614131D4" w14:textId="17BCA910" w:rsidR="00051D7E" w:rsidRPr="00F54559" w:rsidRDefault="00CA2417" w:rsidP="00051D7E">
      <w:pPr>
        <w:pStyle w:val="AFR3"/>
        <w:rPr>
          <w:rFonts w:cstheme="minorHAnsi"/>
        </w:rPr>
      </w:pPr>
      <w:r>
        <w:rPr>
          <w:rFonts w:cstheme="minorHAnsi"/>
        </w:rPr>
        <w:t>j</w:t>
      </w:r>
      <w:r w:rsidR="00051D7E" w:rsidRPr="00F54559">
        <w:rPr>
          <w:rFonts w:cstheme="minorHAnsi"/>
        </w:rPr>
        <w:t>. Capital Assets</w:t>
      </w:r>
    </w:p>
    <w:p w14:paraId="1D218243" w14:textId="77777777" w:rsidR="00051D7E" w:rsidRPr="00F54559" w:rsidRDefault="00051D7E" w:rsidP="00051D7E">
      <w:pPr>
        <w:pStyle w:val="ListParagraph"/>
        <w:spacing w:after="160"/>
        <w:ind w:left="0"/>
        <w:rPr>
          <w:rFonts w:asciiTheme="minorHAnsi" w:hAnsiTheme="minorHAnsi" w:cstheme="minorHAnsi"/>
          <w:bCs/>
          <w:spacing w:val="-3"/>
          <w:szCs w:val="20"/>
        </w:rPr>
      </w:pPr>
      <w:r w:rsidRPr="00F54559">
        <w:rPr>
          <w:rFonts w:asciiTheme="minorHAnsi" w:hAnsiTheme="minorHAnsi" w:cstheme="minorHAnsi"/>
          <w:spacing w:val="-3"/>
          <w:szCs w:val="20"/>
        </w:rPr>
        <w:t xml:space="preserve">Capital assets which include property, plant, equipment, intangible assets and library holdings are recorded at cost when purchased or constructed and at acquisition value at date of donation.  </w:t>
      </w:r>
      <w:r w:rsidRPr="00F54559">
        <w:rPr>
          <w:rFonts w:asciiTheme="minorHAnsi" w:hAnsiTheme="minorHAnsi" w:cstheme="minorHAnsi"/>
          <w:bCs/>
          <w:spacing w:val="-3"/>
          <w:szCs w:val="20"/>
        </w:rPr>
        <w:t>Costs for maintenance, repairs and minor renewals and replacements are expensed as incurred; major</w:t>
      </w:r>
      <w:r>
        <w:rPr>
          <w:rFonts w:asciiTheme="minorHAnsi" w:hAnsiTheme="minorHAnsi" w:cstheme="minorHAnsi"/>
          <w:bCs/>
          <w:spacing w:val="-3"/>
          <w:szCs w:val="20"/>
        </w:rPr>
        <w:t xml:space="preserve"> renewals and replacements are capitalized.</w:t>
      </w:r>
    </w:p>
    <w:p w14:paraId="0FE04FE6" w14:textId="77777777" w:rsidR="00C82007" w:rsidRDefault="00C82007">
      <w:pPr>
        <w:spacing w:after="160" w:line="259" w:lineRule="auto"/>
        <w:rPr>
          <w:rFonts w:eastAsiaTheme="majorEastAsia" w:cstheme="minorHAnsi"/>
          <w:b/>
          <w:i/>
          <w:iCs/>
          <w:smallCaps/>
          <w:noProof/>
          <w:color w:val="000000" w:themeColor="text1"/>
          <w:sz w:val="26"/>
          <w:szCs w:val="26"/>
          <w:u w:color="5B9BD5"/>
        </w:rPr>
      </w:pPr>
      <w:r>
        <w:rPr>
          <w:rFonts w:eastAsiaTheme="majorEastAsia" w:cstheme="minorHAnsi"/>
          <w:b/>
          <w:i/>
          <w:iCs/>
          <w:smallCaps/>
          <w:noProof/>
          <w:color w:val="000000" w:themeColor="text1"/>
          <w:sz w:val="26"/>
          <w:szCs w:val="26"/>
          <w:u w:color="5B9BD5"/>
        </w:rPr>
        <w:br w:type="page"/>
      </w:r>
    </w:p>
    <w:p w14:paraId="298EFB90" w14:textId="34111F08" w:rsidR="00051D7E" w:rsidRPr="00F54559" w:rsidRDefault="00051D7E" w:rsidP="00051D7E">
      <w:pPr>
        <w:pStyle w:val="ListParagraph"/>
        <w:spacing w:after="160"/>
        <w:ind w:left="0"/>
        <w:rPr>
          <w:rFonts w:asciiTheme="minorHAnsi" w:eastAsiaTheme="majorEastAsia" w:hAnsiTheme="minorHAnsi" w:cstheme="minorHAnsi"/>
          <w:b/>
          <w:i/>
          <w:iCs/>
          <w:smallCaps/>
          <w:noProof/>
          <w:color w:val="000000" w:themeColor="text1"/>
          <w:sz w:val="26"/>
          <w:szCs w:val="26"/>
          <w:u w:color="5B9BD5"/>
        </w:rPr>
      </w:pPr>
      <w:r w:rsidRPr="00F54559">
        <w:rPr>
          <w:rFonts w:asciiTheme="minorHAnsi" w:eastAsiaTheme="majorEastAsia" w:hAnsiTheme="minorHAnsi" w:cstheme="minorHAnsi"/>
          <w:b/>
          <w:i/>
          <w:iCs/>
          <w:smallCaps/>
          <w:noProof/>
          <w:color w:val="000000" w:themeColor="text1"/>
          <w:sz w:val="26"/>
          <w:szCs w:val="26"/>
          <w:u w:color="5B9BD5"/>
        </w:rPr>
        <w:lastRenderedPageBreak/>
        <w:t>1. SIGNIFICANT ACCOUNTING POLICIES - CONTINUED</w:t>
      </w:r>
    </w:p>
    <w:p w14:paraId="6D559821" w14:textId="77777777" w:rsidR="00051D7E" w:rsidRPr="00F54559" w:rsidRDefault="00051D7E" w:rsidP="00051D7E">
      <w:pPr>
        <w:tabs>
          <w:tab w:val="left" w:pos="1440"/>
          <w:tab w:val="left" w:pos="5040"/>
        </w:tabs>
        <w:suppressAutoHyphens/>
        <w:rPr>
          <w:rFonts w:eastAsia="Times New Roman" w:cstheme="minorHAnsi"/>
          <w:spacing w:val="-3"/>
          <w:sz w:val="24"/>
          <w:szCs w:val="20"/>
        </w:rPr>
      </w:pPr>
      <w:r w:rsidRPr="00F54559">
        <w:rPr>
          <w:rFonts w:eastAsia="Times New Roman" w:cstheme="minorHAnsi"/>
          <w:spacing w:val="-3"/>
          <w:sz w:val="24"/>
          <w:szCs w:val="20"/>
        </w:rPr>
        <w:t>Prior to July 1, 2003, library materials were generally capitalized and depreciated over a ten-year period.  Effective July 1, 2003, the System began to expense library materials as incurred.  The System will retain the undepreciated library materials balance as a core non-depreciating asset.</w:t>
      </w:r>
    </w:p>
    <w:p w14:paraId="07BA1B82" w14:textId="77777777" w:rsidR="00051D7E" w:rsidRPr="00F54559" w:rsidRDefault="00051D7E" w:rsidP="00051D7E">
      <w:pPr>
        <w:tabs>
          <w:tab w:val="left" w:pos="1440"/>
          <w:tab w:val="left" w:pos="1848"/>
          <w:tab w:val="left" w:pos="5040"/>
          <w:tab w:val="right" w:pos="7260"/>
        </w:tabs>
        <w:suppressAutoHyphens/>
        <w:ind w:left="1080"/>
        <w:rPr>
          <w:rFonts w:eastAsia="Times New Roman" w:cstheme="minorHAnsi"/>
          <w:bCs/>
          <w:spacing w:val="-3"/>
          <w:sz w:val="24"/>
          <w:szCs w:val="20"/>
        </w:rPr>
      </w:pPr>
    </w:p>
    <w:p w14:paraId="09BE04E6" w14:textId="77777777" w:rsidR="00051D7E" w:rsidRPr="00F54559" w:rsidRDefault="00051D7E" w:rsidP="00051D7E">
      <w:pPr>
        <w:tabs>
          <w:tab w:val="left" w:pos="1440"/>
          <w:tab w:val="left" w:pos="1848"/>
          <w:tab w:val="left" w:pos="5040"/>
          <w:tab w:val="right" w:pos="7260"/>
        </w:tabs>
        <w:suppressAutoHyphens/>
        <w:spacing w:after="160"/>
        <w:rPr>
          <w:rFonts w:eastAsia="Times New Roman" w:cstheme="minorHAnsi"/>
          <w:bCs/>
          <w:spacing w:val="-3"/>
          <w:sz w:val="24"/>
          <w:szCs w:val="20"/>
        </w:rPr>
      </w:pPr>
      <w:r w:rsidRPr="00F54559">
        <w:rPr>
          <w:rFonts w:eastAsia="Times New Roman" w:cstheme="minorHAnsi"/>
          <w:bCs/>
          <w:spacing w:val="-3"/>
          <w:sz w:val="24"/>
          <w:szCs w:val="20"/>
        </w:rPr>
        <w:t>The System does not capitalize and depreciate its collections of historical treasures and works of art because it is the System’s policy that:</w:t>
      </w:r>
    </w:p>
    <w:p w14:paraId="59CEA7A5" w14:textId="77777777" w:rsidR="00051D7E" w:rsidRPr="00F54559" w:rsidRDefault="00051D7E" w:rsidP="00051D7E">
      <w:pPr>
        <w:numPr>
          <w:ilvl w:val="0"/>
          <w:numId w:val="7"/>
        </w:numPr>
        <w:tabs>
          <w:tab w:val="left" w:pos="1848"/>
          <w:tab w:val="left" w:pos="2520"/>
          <w:tab w:val="left" w:pos="5040"/>
          <w:tab w:val="right" w:pos="7260"/>
        </w:tabs>
        <w:suppressAutoHyphens/>
        <w:spacing w:after="160"/>
        <w:ind w:hanging="446"/>
        <w:rPr>
          <w:rFonts w:eastAsia="Times New Roman" w:cstheme="minorHAnsi"/>
          <w:bCs/>
          <w:spacing w:val="-3"/>
          <w:sz w:val="24"/>
          <w:szCs w:val="20"/>
        </w:rPr>
      </w:pPr>
      <w:r w:rsidRPr="00F54559">
        <w:rPr>
          <w:rFonts w:eastAsia="Times New Roman" w:cstheme="minorHAnsi"/>
          <w:bCs/>
          <w:spacing w:val="-3"/>
          <w:sz w:val="24"/>
          <w:szCs w:val="20"/>
        </w:rPr>
        <w:t>Works of art and historical treasures are to be held for public exhibition, education, or research in furtherance of public service, rather than for financial gain.</w:t>
      </w:r>
    </w:p>
    <w:p w14:paraId="680258B4" w14:textId="77777777" w:rsidR="00051D7E" w:rsidRPr="00F54559" w:rsidRDefault="00051D7E" w:rsidP="00051D7E">
      <w:pPr>
        <w:numPr>
          <w:ilvl w:val="0"/>
          <w:numId w:val="7"/>
        </w:numPr>
        <w:tabs>
          <w:tab w:val="left" w:pos="1440"/>
          <w:tab w:val="left" w:pos="1848"/>
          <w:tab w:val="left" w:pos="5040"/>
          <w:tab w:val="right" w:pos="7260"/>
        </w:tabs>
        <w:suppressAutoHyphens/>
        <w:spacing w:after="160"/>
        <w:ind w:hanging="446"/>
        <w:rPr>
          <w:rFonts w:eastAsia="Times New Roman" w:cstheme="minorHAnsi"/>
          <w:bCs/>
          <w:spacing w:val="-3"/>
          <w:sz w:val="24"/>
          <w:szCs w:val="20"/>
        </w:rPr>
      </w:pPr>
      <w:r w:rsidRPr="00F54559">
        <w:rPr>
          <w:rFonts w:eastAsia="Times New Roman" w:cstheme="minorHAnsi"/>
          <w:bCs/>
          <w:spacing w:val="-3"/>
          <w:sz w:val="24"/>
          <w:szCs w:val="20"/>
        </w:rPr>
        <w:t>Works of art and historical treasures are to be protected, kept unencumbered, cared for, and preserved.</w:t>
      </w:r>
    </w:p>
    <w:p w14:paraId="3D11E395" w14:textId="77777777" w:rsidR="00051D7E" w:rsidRPr="00F54559" w:rsidRDefault="00051D7E" w:rsidP="00051D7E">
      <w:pPr>
        <w:numPr>
          <w:ilvl w:val="0"/>
          <w:numId w:val="7"/>
        </w:numPr>
        <w:tabs>
          <w:tab w:val="left" w:pos="1440"/>
          <w:tab w:val="left" w:pos="1848"/>
          <w:tab w:val="left" w:pos="5040"/>
          <w:tab w:val="right" w:pos="7260"/>
        </w:tabs>
        <w:suppressAutoHyphens/>
        <w:spacing w:after="160"/>
        <w:ind w:hanging="446"/>
        <w:rPr>
          <w:rFonts w:eastAsia="Times New Roman" w:cstheme="minorHAnsi"/>
          <w:bCs/>
          <w:spacing w:val="-3"/>
          <w:sz w:val="24"/>
          <w:szCs w:val="20"/>
        </w:rPr>
      </w:pPr>
      <w:r w:rsidRPr="00F54559">
        <w:rPr>
          <w:rFonts w:eastAsia="Times New Roman" w:cstheme="minorHAnsi"/>
          <w:bCs/>
          <w:spacing w:val="-3"/>
          <w:sz w:val="24"/>
          <w:szCs w:val="20"/>
        </w:rPr>
        <w:t>Proceeds from sale of works of art and historical treasures are to be used to acquire other items for the collections.</w:t>
      </w:r>
    </w:p>
    <w:p w14:paraId="72549E12" w14:textId="77777777" w:rsidR="00051D7E" w:rsidRPr="00F54559" w:rsidRDefault="00051D7E" w:rsidP="00051D7E">
      <w:pPr>
        <w:tabs>
          <w:tab w:val="left" w:pos="1440"/>
          <w:tab w:val="left" w:pos="5040"/>
        </w:tabs>
        <w:suppressAutoHyphens/>
        <w:rPr>
          <w:rFonts w:eastAsia="Times New Roman" w:cstheme="minorHAnsi"/>
          <w:bCs/>
          <w:spacing w:val="-3"/>
          <w:sz w:val="24"/>
          <w:szCs w:val="20"/>
        </w:rPr>
      </w:pPr>
      <w:r w:rsidRPr="00F54559">
        <w:rPr>
          <w:rFonts w:eastAsia="Times New Roman" w:cstheme="minorHAnsi"/>
          <w:spacing w:val="-3"/>
          <w:sz w:val="24"/>
          <w:szCs w:val="20"/>
        </w:rPr>
        <w:t xml:space="preserve">A capitalization threshold of $50 is used for buildings, building additions and improvements, land improvements and internally generated intangibles. Equipment (including equipment acquired under capital leases) and purchased software are capitalized with a unit cost of $5 or more. </w:t>
      </w:r>
      <w:r w:rsidRPr="00F54559">
        <w:rPr>
          <w:rFonts w:eastAsia="Times New Roman" w:cstheme="minorHAnsi"/>
          <w:bCs/>
          <w:spacing w:val="-3"/>
          <w:sz w:val="24"/>
          <w:szCs w:val="20"/>
        </w:rPr>
        <w:t xml:space="preserve">These assets, with the exception of land, are depreciated and amortized using the straight-line basis over the estimated useful lives of the related assets, which range from </w:t>
      </w:r>
      <w:r w:rsidRPr="002E6633">
        <w:rPr>
          <w:rFonts w:eastAsia="Times New Roman" w:cstheme="minorHAnsi"/>
          <w:bCs/>
          <w:spacing w:val="-3"/>
          <w:sz w:val="24"/>
          <w:szCs w:val="20"/>
        </w:rPr>
        <w:t>4 to 60</w:t>
      </w:r>
      <w:r w:rsidRPr="00F54559">
        <w:rPr>
          <w:rFonts w:eastAsia="Times New Roman" w:cstheme="minorHAnsi"/>
          <w:bCs/>
          <w:spacing w:val="-3"/>
          <w:sz w:val="24"/>
          <w:szCs w:val="20"/>
        </w:rPr>
        <w:t xml:space="preserve"> years.</w:t>
      </w:r>
    </w:p>
    <w:p w14:paraId="33411BAA" w14:textId="49FD9E11" w:rsidR="00051D7E" w:rsidRPr="00F54559" w:rsidRDefault="00CA2417" w:rsidP="00051D7E">
      <w:pPr>
        <w:pStyle w:val="AFR3"/>
        <w:rPr>
          <w:rFonts w:cstheme="minorHAnsi"/>
        </w:rPr>
      </w:pPr>
      <w:r>
        <w:rPr>
          <w:rFonts w:cstheme="minorHAnsi"/>
        </w:rPr>
        <w:t>k</w:t>
      </w:r>
      <w:r w:rsidR="00051D7E" w:rsidRPr="00F54559">
        <w:rPr>
          <w:rFonts w:cstheme="minorHAnsi"/>
        </w:rPr>
        <w:t>. Irrevocable Split-Interest Agreements</w:t>
      </w:r>
    </w:p>
    <w:p w14:paraId="63CF1DCD" w14:textId="77777777" w:rsidR="00051D7E" w:rsidRPr="00F54559" w:rsidRDefault="00051D7E" w:rsidP="00051D7E">
      <w:pPr>
        <w:pStyle w:val="ReportHeading3"/>
        <w:spacing w:before="240"/>
        <w:rPr>
          <w:rFonts w:eastAsia="Times New Roman" w:cstheme="minorHAnsi"/>
          <w:b w:val="0"/>
          <w:i w:val="0"/>
          <w:color w:val="000000"/>
          <w:sz w:val="24"/>
          <w:szCs w:val="20"/>
          <w:u w:val="none"/>
        </w:rPr>
      </w:pPr>
      <w:r w:rsidRPr="00F54559">
        <w:rPr>
          <w:rFonts w:eastAsia="Times New Roman" w:cstheme="minorHAnsi"/>
          <w:b w:val="0"/>
          <w:i w:val="0"/>
          <w:color w:val="000000"/>
          <w:sz w:val="24"/>
          <w:szCs w:val="20"/>
          <w:u w:val="none"/>
        </w:rPr>
        <w:t>The System’s irrevocable split-interest agreements consist of the System’s remainder interest in trusts held by third parties.  The System reports these irrevocable split-interest agreements as assets and deferred inflows of resources when it becomes aware of the agreement and has sufficient information to measure its beneficial interest.   The System recognizes the annual change in the fair values of the split interest agreements as an increase or decrease in the asset and the related deferred inflows of resources. The System will recognize revenue at the termination of the agreement, as stipulated in the irrevocable split-interest agreement.  Also, at the termination of the agreement, the split-interest asset and the related deferred inflow of resources will be eliminated.</w:t>
      </w:r>
    </w:p>
    <w:p w14:paraId="1BB72189" w14:textId="5234BB1F" w:rsidR="00051D7E" w:rsidRPr="00F54559" w:rsidRDefault="00CA2417" w:rsidP="00051D7E">
      <w:pPr>
        <w:pStyle w:val="ReportHeading3"/>
        <w:spacing w:before="240"/>
        <w:rPr>
          <w:rFonts w:cstheme="minorHAnsi"/>
        </w:rPr>
      </w:pPr>
      <w:r>
        <w:rPr>
          <w:rFonts w:cstheme="minorHAnsi"/>
        </w:rPr>
        <w:t>l</w:t>
      </w:r>
      <w:r w:rsidR="00051D7E" w:rsidRPr="00F54559">
        <w:rPr>
          <w:rFonts w:cstheme="minorHAnsi"/>
        </w:rPr>
        <w:t>. Unearned Revenue and Deposits</w:t>
      </w:r>
    </w:p>
    <w:p w14:paraId="5B8E3300" w14:textId="77777777" w:rsidR="00051D7E" w:rsidRPr="00DF23E5" w:rsidRDefault="00051D7E" w:rsidP="00051D7E">
      <w:pPr>
        <w:tabs>
          <w:tab w:val="left" w:pos="0"/>
        </w:tabs>
        <w:rPr>
          <w:rFonts w:cstheme="minorHAnsi"/>
          <w:spacing w:val="-3"/>
          <w:sz w:val="24"/>
        </w:rPr>
      </w:pPr>
      <w:r w:rsidRPr="00F54559">
        <w:rPr>
          <w:rFonts w:cstheme="minorHAnsi"/>
          <w:spacing w:val="-3"/>
          <w:sz w:val="24"/>
        </w:rPr>
        <w:t xml:space="preserve">Unearned revenue and deposits in the Statements of Net Position consists primarily of grant and contract advances and deposits and advance payments received for tuition and fees related to certain summer programs and tuition received for the following academic year.  Unearned revenue for summer programs is presented net of </w:t>
      </w:r>
      <w:r>
        <w:rPr>
          <w:rFonts w:cstheme="minorHAnsi"/>
          <w:spacing w:val="-3"/>
          <w:sz w:val="24"/>
        </w:rPr>
        <w:t xml:space="preserve">waivers. Other expenses </w:t>
      </w:r>
      <w:r w:rsidRPr="00F54559">
        <w:rPr>
          <w:rFonts w:cstheme="minorHAnsi"/>
          <w:spacing w:val="-3"/>
          <w:sz w:val="24"/>
        </w:rPr>
        <w:t xml:space="preserve">related </w:t>
      </w:r>
      <w:r>
        <w:rPr>
          <w:rFonts w:cstheme="minorHAnsi"/>
          <w:spacing w:val="-3"/>
          <w:sz w:val="24"/>
        </w:rPr>
        <w:t>to unearned revenue for summer programs are presented as prepaids in the Statements of Net Position</w:t>
      </w:r>
      <w:r w:rsidRPr="00F54559">
        <w:rPr>
          <w:rFonts w:cstheme="minorHAnsi"/>
          <w:spacing w:val="-3"/>
          <w:sz w:val="24"/>
        </w:rPr>
        <w:t xml:space="preserve"> (e.g., </w:t>
      </w:r>
      <w:r>
        <w:rPr>
          <w:rFonts w:cstheme="minorHAnsi"/>
          <w:spacing w:val="-3"/>
          <w:sz w:val="24"/>
        </w:rPr>
        <w:t>scholarships, supplies</w:t>
      </w:r>
      <w:r w:rsidRPr="00F54559">
        <w:rPr>
          <w:rFonts w:cstheme="minorHAnsi"/>
          <w:spacing w:val="-3"/>
          <w:sz w:val="24"/>
        </w:rPr>
        <w:t>).</w:t>
      </w:r>
      <w:r w:rsidRPr="00F54559">
        <w:rPr>
          <w:rFonts w:cstheme="minorHAnsi"/>
          <w:spacing w:val="-3"/>
        </w:rPr>
        <w:br w:type="page"/>
      </w:r>
    </w:p>
    <w:p w14:paraId="7947639C" w14:textId="77777777" w:rsidR="00051D7E" w:rsidRPr="00F54559" w:rsidRDefault="00051D7E" w:rsidP="00051D7E">
      <w:pPr>
        <w:pStyle w:val="ListParagraph"/>
        <w:spacing w:after="160"/>
        <w:ind w:left="0"/>
        <w:rPr>
          <w:rFonts w:asciiTheme="minorHAnsi" w:eastAsiaTheme="majorEastAsia" w:hAnsiTheme="minorHAnsi" w:cstheme="minorHAnsi"/>
          <w:b/>
          <w:i/>
          <w:iCs/>
          <w:smallCaps/>
          <w:noProof/>
          <w:color w:val="000000" w:themeColor="text1"/>
          <w:sz w:val="26"/>
          <w:szCs w:val="26"/>
          <w:u w:color="5B9BD5"/>
        </w:rPr>
      </w:pPr>
      <w:r w:rsidRPr="00F54559">
        <w:rPr>
          <w:rFonts w:asciiTheme="minorHAnsi" w:eastAsiaTheme="majorEastAsia" w:hAnsiTheme="minorHAnsi" w:cstheme="minorHAnsi"/>
          <w:b/>
          <w:i/>
          <w:iCs/>
          <w:smallCaps/>
          <w:noProof/>
          <w:color w:val="000000" w:themeColor="text1"/>
          <w:sz w:val="26"/>
          <w:szCs w:val="26"/>
          <w:u w:color="5B9BD5"/>
        </w:rPr>
        <w:lastRenderedPageBreak/>
        <w:t>1. SIGNIFICANT ACCOUNTING POLICIES - CONTINUED</w:t>
      </w:r>
    </w:p>
    <w:p w14:paraId="42C544FE" w14:textId="545DB16C" w:rsidR="00051D7E" w:rsidRPr="00F54559" w:rsidRDefault="00CA2417" w:rsidP="00051D7E">
      <w:pPr>
        <w:pStyle w:val="AFR3"/>
        <w:rPr>
          <w:rFonts w:cstheme="minorHAnsi"/>
        </w:rPr>
      </w:pPr>
      <w:r>
        <w:rPr>
          <w:rFonts w:cstheme="minorHAnsi"/>
        </w:rPr>
        <w:t>m</w:t>
      </w:r>
      <w:r w:rsidR="00051D7E" w:rsidRPr="00F54559">
        <w:rPr>
          <w:rFonts w:cstheme="minorHAnsi"/>
        </w:rPr>
        <w:t>. Compensated Absences</w:t>
      </w:r>
    </w:p>
    <w:p w14:paraId="24F49EB7" w14:textId="77777777" w:rsidR="00051D7E" w:rsidRPr="00F54559" w:rsidRDefault="00051D7E" w:rsidP="00051D7E">
      <w:pPr>
        <w:tabs>
          <w:tab w:val="left" w:pos="720"/>
          <w:tab w:val="left" w:pos="1080"/>
          <w:tab w:val="left" w:pos="5040"/>
        </w:tabs>
        <w:suppressAutoHyphens/>
        <w:rPr>
          <w:rFonts w:cstheme="minorHAnsi"/>
          <w:bCs/>
          <w:spacing w:val="-3"/>
          <w:sz w:val="24"/>
        </w:rPr>
      </w:pPr>
      <w:r w:rsidRPr="00F54559">
        <w:rPr>
          <w:rFonts w:cstheme="minorHAnsi"/>
          <w:bCs/>
          <w:spacing w:val="-3"/>
          <w:sz w:val="24"/>
        </w:rPr>
        <w:t>Employees earn the right to be compensated during absences for annual vacation leave. The accompanying Statements of Net Position reflect an accrual for the amounts earned, including related benefits ultimately payable.  The System accounts for the vacation leave hours on a last-in, first-out basis.  A portion of this liability is classified as current and represents the System’s estimate of vacation time that will be paid during the next fiscal year to employees leaving the System.</w:t>
      </w:r>
    </w:p>
    <w:p w14:paraId="57798F2C" w14:textId="2D4DD796" w:rsidR="00051D7E" w:rsidRPr="00F54559" w:rsidRDefault="00CA2417" w:rsidP="00051D7E">
      <w:pPr>
        <w:pStyle w:val="AFR3"/>
        <w:rPr>
          <w:rFonts w:cstheme="minorHAnsi"/>
        </w:rPr>
      </w:pPr>
      <w:r>
        <w:rPr>
          <w:rFonts w:cstheme="minorHAnsi"/>
        </w:rPr>
        <w:t>n</w:t>
      </w:r>
      <w:r w:rsidR="00051D7E" w:rsidRPr="00F54559">
        <w:rPr>
          <w:rFonts w:cstheme="minorHAnsi"/>
        </w:rPr>
        <w:t>. Deferred Outflows and Deferred Inflows of Resources</w:t>
      </w:r>
    </w:p>
    <w:p w14:paraId="6D7669C4" w14:textId="77777777" w:rsidR="00051D7E" w:rsidRPr="00F54559" w:rsidRDefault="00051D7E" w:rsidP="00051D7E">
      <w:pPr>
        <w:tabs>
          <w:tab w:val="left" w:pos="1080"/>
          <w:tab w:val="left" w:pos="5040"/>
        </w:tabs>
        <w:suppressAutoHyphens/>
        <w:rPr>
          <w:rFonts w:cstheme="minorHAnsi"/>
          <w:bCs/>
          <w:spacing w:val="-3"/>
          <w:sz w:val="24"/>
        </w:rPr>
      </w:pPr>
      <w:r w:rsidRPr="00F54559">
        <w:rPr>
          <w:rFonts w:cstheme="minorHAnsi"/>
          <w:bCs/>
          <w:spacing w:val="-3"/>
          <w:sz w:val="24"/>
        </w:rPr>
        <w:t>Deferred outflows of resources are the consumption of assets or increase in liabilities that is applicable to future reporting periods. Deferred outflows of resources are presented separately after Total Assets in the Statements of Net Position.</w:t>
      </w:r>
    </w:p>
    <w:p w14:paraId="72C47BC9" w14:textId="77777777" w:rsidR="00051D7E" w:rsidRPr="00F54559" w:rsidRDefault="00051D7E" w:rsidP="00051D7E">
      <w:pPr>
        <w:tabs>
          <w:tab w:val="left" w:pos="1080"/>
          <w:tab w:val="left" w:pos="5040"/>
        </w:tabs>
        <w:suppressAutoHyphens/>
        <w:rPr>
          <w:rFonts w:cstheme="minorHAnsi"/>
          <w:bCs/>
          <w:spacing w:val="-3"/>
          <w:sz w:val="24"/>
          <w:szCs w:val="20"/>
        </w:rPr>
      </w:pPr>
    </w:p>
    <w:p w14:paraId="76CDCA53" w14:textId="77777777" w:rsidR="00051D7E" w:rsidRPr="00F54559" w:rsidRDefault="00051D7E" w:rsidP="00051D7E">
      <w:pPr>
        <w:autoSpaceDE w:val="0"/>
        <w:autoSpaceDN w:val="0"/>
        <w:adjustRightInd w:val="0"/>
        <w:spacing w:after="160"/>
        <w:rPr>
          <w:rFonts w:eastAsia="Calibri" w:cstheme="minorHAnsi"/>
          <w:bCs/>
          <w:color w:val="000000"/>
          <w:spacing w:val="-3"/>
          <w:sz w:val="24"/>
          <w:szCs w:val="24"/>
        </w:rPr>
      </w:pPr>
      <w:r w:rsidRPr="00F54559">
        <w:rPr>
          <w:rFonts w:eastAsia="Calibri" w:cstheme="minorHAnsi"/>
          <w:bCs/>
          <w:color w:val="000000"/>
          <w:spacing w:val="-3"/>
          <w:sz w:val="24"/>
          <w:szCs w:val="24"/>
        </w:rPr>
        <w:t xml:space="preserve">The System’s deferred outflows consist of: </w:t>
      </w:r>
    </w:p>
    <w:p w14:paraId="4FD7B92E" w14:textId="77777777" w:rsidR="00051D7E" w:rsidRPr="00F54559" w:rsidRDefault="00051D7E" w:rsidP="00051D7E">
      <w:pPr>
        <w:numPr>
          <w:ilvl w:val="0"/>
          <w:numId w:val="8"/>
        </w:numPr>
        <w:autoSpaceDE w:val="0"/>
        <w:autoSpaceDN w:val="0"/>
        <w:adjustRightInd w:val="0"/>
        <w:spacing w:after="160"/>
        <w:ind w:hanging="446"/>
        <w:rPr>
          <w:rFonts w:eastAsia="Calibri" w:cstheme="minorHAnsi"/>
          <w:bCs/>
          <w:color w:val="000000"/>
          <w:spacing w:val="-3"/>
          <w:sz w:val="24"/>
        </w:rPr>
      </w:pPr>
      <w:r w:rsidRPr="00F54559">
        <w:rPr>
          <w:rFonts w:eastAsia="Calibri" w:cstheme="minorHAnsi"/>
          <w:bCs/>
          <w:color w:val="000000"/>
          <w:spacing w:val="-3"/>
          <w:sz w:val="24"/>
          <w:szCs w:val="24"/>
        </w:rPr>
        <w:t xml:space="preserve">The difference between the reacquisition price and the carrying value of refunded revenue bonds.  These amounts are to be recognized as a component of interest expense over the shorter of the remaining life of the refunded bonds or the life of the </w:t>
      </w:r>
      <w:r w:rsidRPr="00F54559">
        <w:rPr>
          <w:rFonts w:eastAsia="Calibri" w:cstheme="minorHAnsi"/>
          <w:bCs/>
          <w:color w:val="000000"/>
          <w:spacing w:val="-3"/>
          <w:sz w:val="24"/>
        </w:rPr>
        <w:t>new bonds.</w:t>
      </w:r>
    </w:p>
    <w:p w14:paraId="21E7EA43" w14:textId="77777777" w:rsidR="00051D7E" w:rsidRPr="00F54559" w:rsidRDefault="00051D7E" w:rsidP="00051D7E">
      <w:pPr>
        <w:numPr>
          <w:ilvl w:val="0"/>
          <w:numId w:val="8"/>
        </w:numPr>
        <w:autoSpaceDE w:val="0"/>
        <w:autoSpaceDN w:val="0"/>
        <w:adjustRightInd w:val="0"/>
        <w:ind w:hanging="446"/>
        <w:rPr>
          <w:rFonts w:eastAsia="Times New Roman" w:cstheme="minorHAnsi"/>
          <w:color w:val="000000"/>
          <w:sz w:val="24"/>
        </w:rPr>
      </w:pPr>
      <w:r w:rsidRPr="00F54559">
        <w:rPr>
          <w:rFonts w:eastAsia="Times New Roman" w:cstheme="minorHAnsi"/>
          <w:color w:val="000000"/>
          <w:sz w:val="24"/>
        </w:rPr>
        <w:t>Assumption and experience changes and net investment losses that increase the pension and OPEB liabilities. These amounts are to be recognized as components of pension and postemployment health expense in future reporting periods.</w:t>
      </w:r>
    </w:p>
    <w:p w14:paraId="5912C9EE" w14:textId="77777777" w:rsidR="00051D7E" w:rsidRPr="00F54559" w:rsidRDefault="00051D7E" w:rsidP="00051D7E">
      <w:pPr>
        <w:tabs>
          <w:tab w:val="left" w:pos="1080"/>
          <w:tab w:val="left" w:pos="5040"/>
        </w:tabs>
        <w:suppressAutoHyphens/>
        <w:ind w:left="1080"/>
        <w:rPr>
          <w:rFonts w:cstheme="minorHAnsi"/>
          <w:bCs/>
          <w:spacing w:val="-3"/>
          <w:sz w:val="20"/>
          <w:szCs w:val="20"/>
        </w:rPr>
      </w:pPr>
    </w:p>
    <w:p w14:paraId="40D99524" w14:textId="77777777" w:rsidR="00051D7E" w:rsidRPr="00F54559" w:rsidRDefault="00051D7E" w:rsidP="00051D7E">
      <w:pPr>
        <w:tabs>
          <w:tab w:val="left" w:pos="1080"/>
          <w:tab w:val="left" w:pos="5040"/>
        </w:tabs>
        <w:suppressAutoHyphens/>
        <w:rPr>
          <w:rFonts w:cstheme="minorHAnsi"/>
          <w:bCs/>
          <w:spacing w:val="-3"/>
          <w:sz w:val="24"/>
        </w:rPr>
      </w:pPr>
      <w:r w:rsidRPr="00F54559">
        <w:rPr>
          <w:rFonts w:cstheme="minorHAnsi"/>
          <w:bCs/>
          <w:spacing w:val="-3"/>
          <w:sz w:val="24"/>
        </w:rPr>
        <w:t>Deferred inflows of resources are the acquisition of assets or reduction of liabilities that is applicable to future reporting periods. Deferred inflows of resources are presented separately after Total Liabilities in the Statements of Net Position.</w:t>
      </w:r>
    </w:p>
    <w:p w14:paraId="763B4C35" w14:textId="77777777" w:rsidR="00051D7E" w:rsidRPr="00F54559" w:rsidRDefault="00051D7E" w:rsidP="00051D7E">
      <w:pPr>
        <w:rPr>
          <w:rFonts w:cstheme="minorHAnsi"/>
          <w:sz w:val="24"/>
          <w:szCs w:val="24"/>
        </w:rPr>
      </w:pPr>
    </w:p>
    <w:p w14:paraId="5BE78E0E" w14:textId="77777777" w:rsidR="00051D7E" w:rsidRPr="00F54559" w:rsidRDefault="00051D7E" w:rsidP="00051D7E">
      <w:pPr>
        <w:spacing w:after="160"/>
        <w:rPr>
          <w:rFonts w:cstheme="minorHAnsi"/>
          <w:sz w:val="24"/>
          <w:szCs w:val="24"/>
        </w:rPr>
      </w:pPr>
      <w:r w:rsidRPr="00F54559">
        <w:rPr>
          <w:rFonts w:cstheme="minorHAnsi"/>
          <w:sz w:val="24"/>
          <w:szCs w:val="24"/>
        </w:rPr>
        <w:t>The System’s deferred inflows of resources consist of:</w:t>
      </w:r>
    </w:p>
    <w:p w14:paraId="5D419237" w14:textId="77777777" w:rsidR="00051D7E" w:rsidRPr="00F54559" w:rsidRDefault="00051D7E" w:rsidP="00051D7E">
      <w:pPr>
        <w:numPr>
          <w:ilvl w:val="0"/>
          <w:numId w:val="13"/>
        </w:numPr>
        <w:spacing w:after="160"/>
        <w:rPr>
          <w:rFonts w:eastAsia="Times New Roman" w:cstheme="minorHAnsi"/>
          <w:sz w:val="24"/>
          <w:szCs w:val="24"/>
        </w:rPr>
      </w:pPr>
      <w:r w:rsidRPr="00F54559">
        <w:rPr>
          <w:rFonts w:eastAsia="Times New Roman" w:cstheme="minorHAnsi"/>
          <w:color w:val="000000"/>
          <w:sz w:val="24"/>
        </w:rPr>
        <w:t>Assumption and experience changes</w:t>
      </w:r>
      <w:r w:rsidRPr="00F54559">
        <w:rPr>
          <w:rFonts w:eastAsia="Times New Roman" w:cstheme="minorHAnsi"/>
          <w:sz w:val="24"/>
          <w:szCs w:val="24"/>
        </w:rPr>
        <w:t xml:space="preserve"> and net investment gains that reduce the pension </w:t>
      </w:r>
      <w:r w:rsidRPr="00F54559">
        <w:rPr>
          <w:rFonts w:eastAsia="Times New Roman" w:cstheme="minorHAnsi"/>
          <w:color w:val="000000"/>
          <w:sz w:val="24"/>
        </w:rPr>
        <w:t>and OPEB liabilities. These amounts are</w:t>
      </w:r>
      <w:r w:rsidRPr="00F54559" w:rsidDel="00D436FC">
        <w:rPr>
          <w:rFonts w:eastAsia="Times New Roman" w:cstheme="minorHAnsi"/>
          <w:sz w:val="24"/>
          <w:szCs w:val="24"/>
        </w:rPr>
        <w:t xml:space="preserve"> </w:t>
      </w:r>
      <w:r w:rsidRPr="00F54559">
        <w:rPr>
          <w:rFonts w:eastAsia="Times New Roman" w:cstheme="minorHAnsi"/>
          <w:sz w:val="24"/>
          <w:szCs w:val="24"/>
        </w:rPr>
        <w:t>to be recognized as components</w:t>
      </w:r>
      <w:r w:rsidRPr="00F54559">
        <w:rPr>
          <w:rFonts w:eastAsia="Times New Roman" w:cstheme="minorHAnsi"/>
          <w:color w:val="000000"/>
          <w:sz w:val="24"/>
        </w:rPr>
        <w:t xml:space="preserve"> of pension and postemployment health expense in future reporting periods.</w:t>
      </w:r>
    </w:p>
    <w:p w14:paraId="37932DBC" w14:textId="77777777" w:rsidR="00051D7E" w:rsidRPr="00F54559" w:rsidRDefault="00051D7E" w:rsidP="00051D7E">
      <w:pPr>
        <w:numPr>
          <w:ilvl w:val="0"/>
          <w:numId w:val="13"/>
        </w:numPr>
        <w:spacing w:after="160"/>
        <w:rPr>
          <w:rFonts w:eastAsia="Times New Roman" w:cstheme="minorHAnsi"/>
          <w:sz w:val="24"/>
          <w:szCs w:val="24"/>
        </w:rPr>
      </w:pPr>
      <w:r w:rsidRPr="00F54559">
        <w:rPr>
          <w:rFonts w:eastAsia="Times New Roman" w:cstheme="minorHAnsi"/>
          <w:sz w:val="24"/>
          <w:szCs w:val="24"/>
        </w:rPr>
        <w:t xml:space="preserve">The unamortized balances of a service concession arrangement with Sodexo America, LLC that provided the System with equipment, facility improvements, and a signing </w:t>
      </w:r>
      <w:r w:rsidRPr="00F54559">
        <w:rPr>
          <w:rFonts w:eastAsia="Times New Roman" w:cstheme="minorHAnsi"/>
          <w:color w:val="000000"/>
          <w:sz w:val="24"/>
        </w:rPr>
        <w:t>bonus. These amounts will be recognized as revenue over the life of the</w:t>
      </w:r>
      <w:r w:rsidRPr="00F54559">
        <w:rPr>
          <w:rFonts w:eastAsia="Times New Roman" w:cstheme="minorHAnsi"/>
          <w:sz w:val="24"/>
          <w:szCs w:val="24"/>
        </w:rPr>
        <w:t xml:space="preserve"> agreement.</w:t>
      </w:r>
    </w:p>
    <w:p w14:paraId="244E5266" w14:textId="77777777" w:rsidR="00051D7E" w:rsidRPr="00E97B80" w:rsidRDefault="00051D7E" w:rsidP="00051D7E">
      <w:pPr>
        <w:numPr>
          <w:ilvl w:val="0"/>
          <w:numId w:val="13"/>
        </w:numPr>
        <w:spacing w:after="160" w:line="259" w:lineRule="auto"/>
        <w:rPr>
          <w:rFonts w:eastAsiaTheme="majorEastAsia" w:cstheme="minorHAnsi"/>
          <w:b/>
          <w:i/>
          <w:iCs/>
          <w:smallCaps/>
          <w:noProof/>
          <w:color w:val="000000" w:themeColor="text1"/>
          <w:sz w:val="26"/>
          <w:szCs w:val="26"/>
          <w:u w:color="5B9BD5"/>
        </w:rPr>
      </w:pPr>
      <w:r w:rsidRPr="00E97B80">
        <w:rPr>
          <w:rFonts w:eastAsia="Times New Roman" w:cstheme="minorHAnsi"/>
          <w:sz w:val="24"/>
          <w:szCs w:val="24"/>
        </w:rPr>
        <w:t>An offsetting credit to the fair value of the System’s remainder interest in irrevocable split-interest agreements.  These deferrals will be recognized as gift income at the termination of the split-interest agreement.</w:t>
      </w:r>
      <w:r w:rsidRPr="00E97B80">
        <w:rPr>
          <w:rFonts w:eastAsiaTheme="majorEastAsia" w:cstheme="minorHAnsi"/>
          <w:b/>
          <w:i/>
          <w:iCs/>
          <w:smallCaps/>
          <w:noProof/>
          <w:color w:val="000000" w:themeColor="text1"/>
          <w:sz w:val="26"/>
          <w:szCs w:val="26"/>
          <w:u w:color="5B9BD5"/>
        </w:rPr>
        <w:br w:type="page"/>
      </w:r>
    </w:p>
    <w:p w14:paraId="6BBBE95F" w14:textId="77777777" w:rsidR="00051D7E" w:rsidRPr="00F54559" w:rsidRDefault="00051D7E" w:rsidP="00051D7E">
      <w:pPr>
        <w:spacing w:after="240"/>
        <w:rPr>
          <w:rFonts w:eastAsia="Times New Roman" w:cstheme="minorHAnsi"/>
          <w:sz w:val="24"/>
          <w:szCs w:val="24"/>
        </w:rPr>
      </w:pPr>
      <w:r w:rsidRPr="00F54559">
        <w:rPr>
          <w:rFonts w:eastAsiaTheme="majorEastAsia" w:cstheme="minorHAnsi"/>
          <w:b/>
          <w:i/>
          <w:iCs/>
          <w:smallCaps/>
          <w:noProof/>
          <w:color w:val="000000" w:themeColor="text1"/>
          <w:sz w:val="26"/>
          <w:szCs w:val="26"/>
          <w:u w:color="5B9BD5"/>
        </w:rPr>
        <w:lastRenderedPageBreak/>
        <w:t>1. SIGNIFICANT ACCOUNTING POLICIES - CONTINUED</w:t>
      </w:r>
    </w:p>
    <w:p w14:paraId="22F4C4F2" w14:textId="01943B7E" w:rsidR="00051D7E" w:rsidRPr="00F54559" w:rsidRDefault="00CA2417" w:rsidP="00051D7E">
      <w:pPr>
        <w:pStyle w:val="AFR3"/>
        <w:rPr>
          <w:rFonts w:cstheme="minorHAnsi"/>
        </w:rPr>
      </w:pPr>
      <w:r>
        <w:rPr>
          <w:rFonts w:cstheme="minorHAnsi"/>
        </w:rPr>
        <w:t>o</w:t>
      </w:r>
      <w:r w:rsidR="00051D7E" w:rsidRPr="00F54559">
        <w:rPr>
          <w:rFonts w:cstheme="minorHAnsi"/>
        </w:rPr>
        <w:t>. Net Student Fees</w:t>
      </w:r>
    </w:p>
    <w:p w14:paraId="23342CE4" w14:textId="77777777" w:rsidR="00051D7E" w:rsidRPr="00F54559" w:rsidRDefault="00051D7E" w:rsidP="00051D7E">
      <w:pPr>
        <w:tabs>
          <w:tab w:val="left" w:pos="900"/>
          <w:tab w:val="left" w:pos="1440"/>
          <w:tab w:val="left" w:pos="5040"/>
        </w:tabs>
        <w:suppressAutoHyphens/>
        <w:rPr>
          <w:rFonts w:eastAsia="Times New Roman" w:cstheme="minorHAnsi"/>
          <w:spacing w:val="-3"/>
          <w:sz w:val="24"/>
          <w:szCs w:val="24"/>
        </w:rPr>
      </w:pPr>
      <w:r w:rsidRPr="00F54559">
        <w:rPr>
          <w:rFonts w:eastAsia="Times New Roman" w:cstheme="minorHAnsi"/>
          <w:spacing w:val="-3"/>
          <w:sz w:val="24"/>
          <w:szCs w:val="24"/>
        </w:rPr>
        <w:t>Student tuition, dining, residence, and other fees are presented net of scholarships and fellowships applied to students’ accounts.  Certain other scholarship amounts are paid directly to, or refunded to, the student and are generally reflected as student aid expense.</w:t>
      </w:r>
    </w:p>
    <w:p w14:paraId="23AAEA6A" w14:textId="73B94378" w:rsidR="00051D7E" w:rsidRPr="00F54559" w:rsidRDefault="00CA2417" w:rsidP="00051D7E">
      <w:pPr>
        <w:pStyle w:val="AFR3"/>
        <w:rPr>
          <w:rFonts w:cstheme="minorHAnsi"/>
        </w:rPr>
      </w:pPr>
      <w:r>
        <w:rPr>
          <w:rFonts w:cstheme="minorHAnsi"/>
        </w:rPr>
        <w:t>p</w:t>
      </w:r>
      <w:r w:rsidR="00051D7E" w:rsidRPr="00F54559">
        <w:rPr>
          <w:rFonts w:cstheme="minorHAnsi"/>
        </w:rPr>
        <w:t>. Tax Status</w:t>
      </w:r>
    </w:p>
    <w:p w14:paraId="6EEFB833" w14:textId="77777777" w:rsidR="00051D7E" w:rsidRPr="00F54559" w:rsidRDefault="00051D7E" w:rsidP="00051D7E">
      <w:pPr>
        <w:rPr>
          <w:rFonts w:cstheme="minorHAnsi"/>
          <w:sz w:val="24"/>
        </w:rPr>
      </w:pPr>
      <w:r w:rsidRPr="00F54559">
        <w:rPr>
          <w:rFonts w:cstheme="minorHAnsi"/>
          <w:sz w:val="24"/>
        </w:rPr>
        <w:t>The System is exempt from income taxes under Section 115 of the Internal Revenue Code (“the Code”) as a governmental entity.  It is also recognized by the Internal Revenue Service as an organization described in Section 501(c)(3) of the Code.</w:t>
      </w:r>
    </w:p>
    <w:p w14:paraId="7D7A789B" w14:textId="5159A4D6" w:rsidR="00051D7E" w:rsidRPr="00F54559" w:rsidRDefault="00CA2417" w:rsidP="00051D7E">
      <w:pPr>
        <w:pStyle w:val="AFR3"/>
        <w:rPr>
          <w:rFonts w:cstheme="minorHAnsi"/>
        </w:rPr>
      </w:pPr>
      <w:r>
        <w:rPr>
          <w:rFonts w:cstheme="minorHAnsi"/>
        </w:rPr>
        <w:t>q</w:t>
      </w:r>
      <w:r w:rsidR="00051D7E" w:rsidRPr="00F54559">
        <w:rPr>
          <w:rFonts w:cstheme="minorHAnsi"/>
        </w:rPr>
        <w:t>. Use of Estimates</w:t>
      </w:r>
    </w:p>
    <w:p w14:paraId="5E71CAB8" w14:textId="77777777" w:rsidR="00051D7E" w:rsidRPr="00F54559" w:rsidRDefault="00051D7E" w:rsidP="00051D7E">
      <w:pPr>
        <w:tabs>
          <w:tab w:val="left" w:pos="1440"/>
          <w:tab w:val="left" w:pos="1848"/>
          <w:tab w:val="left" w:pos="5040"/>
          <w:tab w:val="right" w:pos="7260"/>
        </w:tabs>
        <w:suppressAutoHyphens/>
        <w:rPr>
          <w:rFonts w:cstheme="minorHAnsi"/>
          <w:spacing w:val="-3"/>
          <w:sz w:val="24"/>
        </w:rPr>
      </w:pPr>
      <w:r w:rsidRPr="00F54559">
        <w:rPr>
          <w:rFonts w:cstheme="minorHAnsi"/>
          <w:spacing w:val="-3"/>
          <w:sz w:val="24"/>
        </w:rPr>
        <w:t xml:space="preserve">The preparation of financial statements in conformity with U.S. </w:t>
      </w:r>
      <w:r w:rsidRPr="00F54559">
        <w:rPr>
          <w:rFonts w:cstheme="minorHAnsi"/>
          <w:sz w:val="24"/>
        </w:rPr>
        <w:t>GAAP</w:t>
      </w:r>
      <w:r w:rsidRPr="00F54559">
        <w:rPr>
          <w:rFonts w:cstheme="minorHAnsi"/>
          <w:spacing w:val="-3"/>
          <w:sz w:val="24"/>
        </w:rPr>
        <w:t xml:space="preserve"> requires management to make estimates and assumptions that affect the reported amounts of assets and liabilities and disclosures of contingent assets and liabilities at the dates of the financial statements and the reported amounts of revenues and expenses during the reporting periods.  The most significant estimates in the financial statements include liabilities for self-insured plans, pension and other retirement benefit obligations, as well as allowances for uncollectible receivables.  Actual results could differ from those estimates.</w:t>
      </w:r>
    </w:p>
    <w:p w14:paraId="4E7ACAC9" w14:textId="6FC1BC46" w:rsidR="00051D7E" w:rsidRPr="00F54559" w:rsidRDefault="00CA2417" w:rsidP="00051D7E">
      <w:pPr>
        <w:pStyle w:val="AFR3"/>
        <w:rPr>
          <w:rFonts w:cstheme="minorHAnsi"/>
        </w:rPr>
      </w:pPr>
      <w:r>
        <w:rPr>
          <w:rFonts w:cstheme="minorHAnsi"/>
        </w:rPr>
        <w:t>r</w:t>
      </w:r>
      <w:r w:rsidR="00051D7E" w:rsidRPr="00F54559">
        <w:rPr>
          <w:rFonts w:cstheme="minorHAnsi"/>
        </w:rPr>
        <w:t>. Reclassifications</w:t>
      </w:r>
    </w:p>
    <w:p w14:paraId="57C267F8" w14:textId="596549FB" w:rsidR="00051D7E" w:rsidRPr="00F54559" w:rsidRDefault="00051D7E" w:rsidP="00051D7E">
      <w:pPr>
        <w:tabs>
          <w:tab w:val="left" w:pos="1440"/>
          <w:tab w:val="left" w:pos="1848"/>
          <w:tab w:val="left" w:pos="5040"/>
          <w:tab w:val="right" w:pos="7260"/>
        </w:tabs>
        <w:suppressAutoHyphens/>
        <w:rPr>
          <w:rFonts w:cstheme="minorHAnsi"/>
          <w:spacing w:val="-3"/>
          <w:sz w:val="24"/>
        </w:rPr>
      </w:pPr>
      <w:r w:rsidRPr="00F54559">
        <w:rPr>
          <w:rFonts w:cstheme="minorHAnsi"/>
          <w:spacing w:val="-3"/>
          <w:sz w:val="24"/>
        </w:rPr>
        <w:t>Certain FY</w:t>
      </w:r>
      <w:r>
        <w:rPr>
          <w:rFonts w:cstheme="minorHAnsi"/>
          <w:spacing w:val="-3"/>
          <w:sz w:val="24"/>
        </w:rPr>
        <w:t>20</w:t>
      </w:r>
      <w:r w:rsidRPr="00F54559">
        <w:rPr>
          <w:rFonts w:cstheme="minorHAnsi"/>
          <w:spacing w:val="-3"/>
          <w:sz w:val="24"/>
        </w:rPr>
        <w:t xml:space="preserve"> items in the accompanying financial statements have been reclassified, without effect on total net position, to conform to the FY</w:t>
      </w:r>
      <w:r>
        <w:rPr>
          <w:rFonts w:cstheme="minorHAnsi"/>
          <w:spacing w:val="-3"/>
          <w:sz w:val="24"/>
        </w:rPr>
        <w:t>21</w:t>
      </w:r>
      <w:r w:rsidRPr="00F54559">
        <w:rPr>
          <w:rFonts w:cstheme="minorHAnsi"/>
          <w:spacing w:val="-3"/>
          <w:sz w:val="24"/>
        </w:rPr>
        <w:t xml:space="preserve"> presentation.</w:t>
      </w:r>
      <w:r w:rsidR="00ED3C0B">
        <w:rPr>
          <w:rFonts w:cstheme="minorHAnsi"/>
          <w:spacing w:val="-3"/>
          <w:sz w:val="24"/>
        </w:rPr>
        <w:t xml:space="preserve"> The most significant change was the reclassification of federal Pell grant revenue from the operating revenues section of the Statements of Revenues, Expenses and Changes in Net Position to the nonoperating revenues section.</w:t>
      </w:r>
    </w:p>
    <w:p w14:paraId="581B84F6" w14:textId="77777777" w:rsidR="00051D7E" w:rsidRPr="00F54559" w:rsidRDefault="00051D7E" w:rsidP="00051D7E">
      <w:pPr>
        <w:pStyle w:val="AFR2"/>
        <w:rPr>
          <w:rFonts w:cstheme="minorHAnsi"/>
          <w:sz w:val="26"/>
          <w:szCs w:val="26"/>
        </w:rPr>
      </w:pPr>
      <w:r w:rsidRPr="00F54559">
        <w:rPr>
          <w:rFonts w:cstheme="minorHAnsi"/>
          <w:sz w:val="26"/>
          <w:szCs w:val="26"/>
        </w:rPr>
        <w:t>2. CASH AND CASH EQUIVALENTS</w:t>
      </w:r>
    </w:p>
    <w:p w14:paraId="32C8B27A" w14:textId="4C721267" w:rsidR="00051D7E" w:rsidRPr="00F54559" w:rsidRDefault="00051D7E" w:rsidP="00051D7E">
      <w:pPr>
        <w:tabs>
          <w:tab w:val="left" w:pos="720"/>
          <w:tab w:val="left" w:pos="1440"/>
          <w:tab w:val="left" w:pos="5040"/>
        </w:tabs>
        <w:suppressAutoHyphens/>
        <w:rPr>
          <w:rFonts w:eastAsiaTheme="majorEastAsia" w:cstheme="minorHAnsi"/>
          <w:b/>
          <w:i/>
          <w:iCs/>
          <w:smallCaps/>
          <w:noProof/>
          <w:color w:val="000000" w:themeColor="text1"/>
          <w:sz w:val="24"/>
          <w:szCs w:val="28"/>
          <w:u w:color="5B9BD5"/>
        </w:rPr>
      </w:pPr>
      <w:r w:rsidRPr="00F54559">
        <w:rPr>
          <w:rFonts w:cstheme="minorHAnsi"/>
          <w:sz w:val="24"/>
        </w:rPr>
        <w:t>Custodial credit risk is the risk that in the event of bank failure, the System’s deposits</w:t>
      </w:r>
      <w:r w:rsidR="0033247F">
        <w:rPr>
          <w:rFonts w:cstheme="minorHAnsi"/>
          <w:sz w:val="24"/>
        </w:rPr>
        <w:t>, including those held in a fiduciary capacity,</w:t>
      </w:r>
      <w:r w:rsidRPr="00F54559">
        <w:rPr>
          <w:rFonts w:cstheme="minorHAnsi"/>
          <w:sz w:val="24"/>
        </w:rPr>
        <w:t xml:space="preserve"> may not be returned. Deposits are considered uninsured if they are not covered by depository insurance and are (a) uncollateralized, (b) collateralized with securities held by the pledging financial institution, or (c) collateralized with securities held by the pledging financial institution’s trust department or agent but not in the System’s name.  The System’s policy is that with the exception of daily operating cash, it will carry no deposits that are uncollateralized or uninsured.  As of June 30, 20</w:t>
      </w:r>
      <w:r>
        <w:rPr>
          <w:rFonts w:cstheme="minorHAnsi"/>
          <w:sz w:val="24"/>
        </w:rPr>
        <w:t>21</w:t>
      </w:r>
      <w:r w:rsidRPr="00F54559">
        <w:rPr>
          <w:rFonts w:cstheme="minorHAnsi"/>
          <w:b/>
          <w:sz w:val="24"/>
        </w:rPr>
        <w:t xml:space="preserve"> </w:t>
      </w:r>
      <w:r w:rsidRPr="00F54559">
        <w:rPr>
          <w:rFonts w:cstheme="minorHAnsi"/>
          <w:sz w:val="24"/>
        </w:rPr>
        <w:t>and 20</w:t>
      </w:r>
      <w:r>
        <w:rPr>
          <w:rFonts w:cstheme="minorHAnsi"/>
          <w:sz w:val="24"/>
        </w:rPr>
        <w:t>20</w:t>
      </w:r>
      <w:r w:rsidRPr="00F54559">
        <w:rPr>
          <w:rFonts w:cstheme="minorHAnsi"/>
          <w:sz w:val="24"/>
        </w:rPr>
        <w:t>, bank balances with uninsured or uncollateralized operating cash deposits were $</w:t>
      </w:r>
      <w:r w:rsidRPr="00190860">
        <w:rPr>
          <w:rFonts w:cstheme="minorHAnsi"/>
          <w:sz w:val="24"/>
        </w:rPr>
        <w:t xml:space="preserve">1,156 </w:t>
      </w:r>
      <w:r w:rsidRPr="00F54559">
        <w:rPr>
          <w:rFonts w:cstheme="minorHAnsi"/>
          <w:sz w:val="24"/>
        </w:rPr>
        <w:t>and $</w:t>
      </w:r>
      <w:r>
        <w:rPr>
          <w:rFonts w:cstheme="minorHAnsi"/>
          <w:sz w:val="24"/>
        </w:rPr>
        <w:t>726</w:t>
      </w:r>
      <w:r w:rsidRPr="00F54559">
        <w:rPr>
          <w:rFonts w:cstheme="minorHAnsi"/>
          <w:sz w:val="24"/>
        </w:rPr>
        <w:t>, respectively.</w:t>
      </w:r>
      <w:r w:rsidRPr="00F54559">
        <w:rPr>
          <w:rFonts w:cstheme="minorHAnsi"/>
          <w:sz w:val="24"/>
        </w:rPr>
        <w:br w:type="page"/>
      </w:r>
    </w:p>
    <w:p w14:paraId="5873B561" w14:textId="77777777" w:rsidR="00051D7E" w:rsidRPr="00F54559" w:rsidRDefault="00051D7E" w:rsidP="00051D7E">
      <w:pPr>
        <w:pStyle w:val="AFR2"/>
        <w:rPr>
          <w:rFonts w:cstheme="minorHAnsi"/>
          <w:sz w:val="26"/>
          <w:szCs w:val="26"/>
        </w:rPr>
      </w:pPr>
      <w:r w:rsidRPr="00F54559">
        <w:rPr>
          <w:rFonts w:cstheme="minorHAnsi"/>
          <w:sz w:val="26"/>
          <w:szCs w:val="26"/>
        </w:rPr>
        <w:lastRenderedPageBreak/>
        <w:t>3. INVESTMENTS</w:t>
      </w:r>
    </w:p>
    <w:p w14:paraId="6A0239E1" w14:textId="77777777" w:rsidR="00051D7E" w:rsidRPr="00F54559" w:rsidRDefault="00051D7E" w:rsidP="00051D7E">
      <w:pPr>
        <w:pStyle w:val="AFR3"/>
        <w:rPr>
          <w:rFonts w:cstheme="minorHAnsi"/>
        </w:rPr>
      </w:pPr>
      <w:r w:rsidRPr="00F54559">
        <w:rPr>
          <w:rFonts w:cstheme="minorHAnsi"/>
        </w:rPr>
        <w:t>a. Composition and Fair Value Measurements</w:t>
      </w:r>
    </w:p>
    <w:p w14:paraId="72735F4D" w14:textId="77777777" w:rsidR="00051D7E" w:rsidRPr="00F54559" w:rsidRDefault="00051D7E" w:rsidP="00051D7E">
      <w:pPr>
        <w:pStyle w:val="AFR5"/>
        <w:spacing w:after="120"/>
        <w:ind w:left="0"/>
        <w:jc w:val="left"/>
        <w:rPr>
          <w:rFonts w:asciiTheme="minorHAnsi" w:hAnsiTheme="minorHAnsi" w:cstheme="minorHAnsi"/>
          <w:u w:val="single"/>
        </w:rPr>
      </w:pPr>
      <w:r w:rsidRPr="00F54559">
        <w:rPr>
          <w:rFonts w:asciiTheme="minorHAnsi" w:hAnsiTheme="minorHAnsi" w:cstheme="minorHAnsi"/>
          <w:u w:val="single"/>
        </w:rPr>
        <w:t>Composition and Purpose of Investments:</w:t>
      </w:r>
    </w:p>
    <w:p w14:paraId="4F1C02C2" w14:textId="5ACCE80E" w:rsidR="00051D7E" w:rsidRPr="00F54559" w:rsidRDefault="00051D7E" w:rsidP="00051D7E">
      <w:pPr>
        <w:tabs>
          <w:tab w:val="left" w:pos="1080"/>
        </w:tabs>
        <w:rPr>
          <w:rFonts w:cstheme="minorHAnsi"/>
          <w:sz w:val="24"/>
        </w:rPr>
      </w:pPr>
      <w:r w:rsidRPr="00F54559">
        <w:rPr>
          <w:rFonts w:cstheme="minorHAnsi"/>
          <w:sz w:val="24"/>
        </w:rPr>
        <w:t>The System uses a pooled investment approach for its endowments (including Affiliates’ endowments invested with the System) unless otherwise required by the donor.  As previously noted, t</w:t>
      </w:r>
      <w:r w:rsidRPr="00F54559">
        <w:rPr>
          <w:rFonts w:cstheme="minorHAnsi"/>
          <w:spacing w:val="-3"/>
          <w:sz w:val="24"/>
        </w:rPr>
        <w:t>hree outside entities - the UMS OPEB Trust, Maine Maritime Academy, and the University of Maine School of Law Foundation -</w:t>
      </w:r>
      <w:r w:rsidRPr="00F54559">
        <w:rPr>
          <w:rFonts w:cstheme="minorHAnsi"/>
          <w:sz w:val="24"/>
        </w:rPr>
        <w:t xml:space="preserve"> pool monies for investment purposes with the System’s endowment. Investment policies and strategies are determined for this combined Managed Investment Pool (MIP).  Fair values, credit ratings, and interest rate risk for the entire investment pool are presented below under </w:t>
      </w:r>
      <w:r w:rsidR="00413458">
        <w:rPr>
          <w:rFonts w:cstheme="minorHAnsi"/>
          <w:sz w:val="24"/>
        </w:rPr>
        <w:t>“</w:t>
      </w:r>
      <w:r>
        <w:rPr>
          <w:rFonts w:cstheme="minorHAnsi"/>
          <w:sz w:val="24"/>
        </w:rPr>
        <w:t>DB Plan and MIP investments”</w:t>
      </w:r>
      <w:r w:rsidRPr="00F54559">
        <w:rPr>
          <w:rFonts w:cstheme="minorHAnsi"/>
          <w:sz w:val="24"/>
        </w:rPr>
        <w:t xml:space="preserve">.  The amount held for the three outside entities </w:t>
      </w:r>
      <w:r>
        <w:rPr>
          <w:rFonts w:cstheme="minorHAnsi"/>
          <w:sz w:val="24"/>
        </w:rPr>
        <w:t xml:space="preserve">are shown as “MIP held on behalf of outside entities”. </w:t>
      </w:r>
    </w:p>
    <w:p w14:paraId="00A2BB00" w14:textId="77777777" w:rsidR="00051D7E" w:rsidRPr="00F54559" w:rsidRDefault="00051D7E" w:rsidP="00051D7E">
      <w:pPr>
        <w:tabs>
          <w:tab w:val="left" w:pos="0"/>
          <w:tab w:val="left" w:pos="1080"/>
          <w:tab w:val="decimal" w:pos="6786"/>
          <w:tab w:val="decimal" w:pos="9187"/>
        </w:tabs>
        <w:suppressAutoHyphens/>
        <w:rPr>
          <w:rFonts w:eastAsia="Times New Roman" w:cstheme="minorHAnsi"/>
          <w:spacing w:val="-3"/>
          <w:sz w:val="20"/>
          <w:szCs w:val="20"/>
        </w:rPr>
      </w:pPr>
    </w:p>
    <w:p w14:paraId="7DEC9F66" w14:textId="77777777" w:rsidR="00051D7E" w:rsidRDefault="00051D7E" w:rsidP="00051D7E">
      <w:pPr>
        <w:tabs>
          <w:tab w:val="left" w:pos="0"/>
          <w:tab w:val="left" w:pos="1080"/>
          <w:tab w:val="decimal" w:pos="6786"/>
          <w:tab w:val="decimal" w:pos="9187"/>
        </w:tabs>
        <w:suppressAutoHyphens/>
        <w:rPr>
          <w:rFonts w:eastAsia="Times New Roman" w:cstheme="minorHAnsi"/>
          <w:bCs/>
          <w:spacing w:val="-3"/>
          <w:sz w:val="24"/>
          <w:szCs w:val="20"/>
        </w:rPr>
      </w:pPr>
      <w:r w:rsidRPr="00F54559">
        <w:rPr>
          <w:rFonts w:eastAsia="Times New Roman" w:cstheme="minorHAnsi"/>
          <w:b/>
          <w:i/>
          <w:spacing w:val="-3"/>
          <w:sz w:val="24"/>
          <w:szCs w:val="20"/>
        </w:rPr>
        <w:t>Operating Investments:</w:t>
      </w:r>
      <w:r w:rsidRPr="00F54559">
        <w:rPr>
          <w:rFonts w:eastAsia="Times New Roman" w:cstheme="minorHAnsi"/>
          <w:bCs/>
          <w:spacing w:val="-3"/>
          <w:sz w:val="24"/>
          <w:szCs w:val="20"/>
        </w:rPr>
        <w:t xml:space="preserve">  The System’s operating investments are available to fund operations or other purposes as determined by System management.</w:t>
      </w:r>
    </w:p>
    <w:p w14:paraId="79AC194B" w14:textId="77777777" w:rsidR="00051D7E" w:rsidRDefault="00051D7E" w:rsidP="00051D7E">
      <w:pPr>
        <w:tabs>
          <w:tab w:val="left" w:pos="0"/>
          <w:tab w:val="left" w:pos="1080"/>
          <w:tab w:val="decimal" w:pos="6786"/>
          <w:tab w:val="decimal" w:pos="9187"/>
        </w:tabs>
        <w:suppressAutoHyphens/>
        <w:rPr>
          <w:rFonts w:eastAsia="Times New Roman" w:cstheme="minorHAnsi"/>
          <w:bCs/>
          <w:spacing w:val="-3"/>
          <w:sz w:val="24"/>
          <w:szCs w:val="20"/>
        </w:rPr>
      </w:pPr>
    </w:p>
    <w:p w14:paraId="5A5346C2" w14:textId="40508074" w:rsidR="00051D7E" w:rsidRDefault="00051D7E" w:rsidP="00051D7E">
      <w:pPr>
        <w:tabs>
          <w:tab w:val="left" w:pos="0"/>
          <w:tab w:val="left" w:pos="1080"/>
          <w:tab w:val="decimal" w:pos="6786"/>
          <w:tab w:val="decimal" w:pos="9187"/>
        </w:tabs>
        <w:suppressAutoHyphens/>
        <w:rPr>
          <w:rFonts w:cstheme="minorHAnsi"/>
          <w:bCs/>
          <w:spacing w:val="-3"/>
          <w:sz w:val="24"/>
          <w:szCs w:val="24"/>
        </w:rPr>
      </w:pPr>
      <w:r w:rsidRPr="00F54559">
        <w:rPr>
          <w:rFonts w:cstheme="minorHAnsi"/>
          <w:b/>
          <w:i/>
          <w:spacing w:val="-3"/>
          <w:sz w:val="24"/>
          <w:szCs w:val="24"/>
        </w:rPr>
        <w:t>Deposits with Bond Trustees</w:t>
      </w:r>
      <w:r w:rsidRPr="00F54559">
        <w:rPr>
          <w:rFonts w:cstheme="minorHAnsi"/>
          <w:bCs/>
          <w:spacing w:val="-3"/>
          <w:sz w:val="24"/>
          <w:szCs w:val="24"/>
        </w:rPr>
        <w:t>:  Deposits with bond trustees are composed of unexpended bond proceeds</w:t>
      </w:r>
      <w:r w:rsidR="00ED3C0B">
        <w:rPr>
          <w:rFonts w:cstheme="minorHAnsi"/>
          <w:bCs/>
          <w:spacing w:val="-3"/>
          <w:sz w:val="24"/>
          <w:szCs w:val="24"/>
        </w:rPr>
        <w:t xml:space="preserve"> from bond issuances, bond anticipation notes and escrow accounts associated with the System’s lease-purchase program.</w:t>
      </w:r>
    </w:p>
    <w:p w14:paraId="47CE6BB3" w14:textId="77777777" w:rsidR="00051D7E" w:rsidRPr="00F54559" w:rsidRDefault="00051D7E" w:rsidP="00051D7E">
      <w:pPr>
        <w:tabs>
          <w:tab w:val="left" w:pos="0"/>
          <w:tab w:val="left" w:pos="1080"/>
          <w:tab w:val="decimal" w:pos="6786"/>
          <w:tab w:val="decimal" w:pos="9187"/>
        </w:tabs>
        <w:suppressAutoHyphens/>
        <w:rPr>
          <w:rFonts w:eastAsia="Times New Roman" w:cstheme="minorHAnsi"/>
          <w:bCs/>
          <w:spacing w:val="-3"/>
          <w:sz w:val="24"/>
          <w:szCs w:val="20"/>
        </w:rPr>
      </w:pPr>
    </w:p>
    <w:p w14:paraId="55068918" w14:textId="496D0843" w:rsidR="00051D7E" w:rsidRPr="00F54559" w:rsidRDefault="00051D7E" w:rsidP="00051D7E">
      <w:pPr>
        <w:tabs>
          <w:tab w:val="left" w:pos="0"/>
          <w:tab w:val="left" w:pos="1080"/>
          <w:tab w:val="decimal" w:pos="6786"/>
          <w:tab w:val="decimal" w:pos="9079"/>
        </w:tabs>
        <w:suppressAutoHyphens/>
        <w:rPr>
          <w:rFonts w:eastAsia="Times New Roman" w:cstheme="minorHAnsi"/>
          <w:bCs/>
          <w:spacing w:val="-3"/>
          <w:sz w:val="24"/>
          <w:szCs w:val="20"/>
        </w:rPr>
      </w:pPr>
      <w:r w:rsidRPr="00F54559">
        <w:rPr>
          <w:rFonts w:eastAsia="Times New Roman" w:cstheme="minorHAnsi"/>
          <w:b/>
          <w:i/>
          <w:spacing w:val="-3"/>
          <w:sz w:val="24"/>
          <w:szCs w:val="20"/>
        </w:rPr>
        <w:t>Endowment Investments:</w:t>
      </w:r>
      <w:r w:rsidRPr="00F54559">
        <w:rPr>
          <w:rFonts w:eastAsia="Times New Roman" w:cstheme="minorHAnsi"/>
          <w:sz w:val="24"/>
        </w:rPr>
        <w:t xml:space="preserve">  Except for certain gifts invested separately at the request of the donors (</w:t>
      </w:r>
      <w:r w:rsidRPr="00A801B2">
        <w:rPr>
          <w:rFonts w:eastAsia="Times New Roman" w:cstheme="minorHAnsi"/>
          <w:sz w:val="24"/>
        </w:rPr>
        <w:t>$</w:t>
      </w:r>
      <w:r w:rsidRPr="002D7AEE">
        <w:rPr>
          <w:rFonts w:eastAsia="Times New Roman" w:cstheme="minorHAnsi"/>
          <w:sz w:val="24"/>
        </w:rPr>
        <w:t>716</w:t>
      </w:r>
      <w:r w:rsidRPr="00F54559">
        <w:rPr>
          <w:rFonts w:eastAsia="Times New Roman" w:cstheme="minorHAnsi"/>
          <w:color w:val="FF0000"/>
          <w:sz w:val="24"/>
        </w:rPr>
        <w:t xml:space="preserve"> </w:t>
      </w:r>
      <w:r w:rsidRPr="00F54559">
        <w:rPr>
          <w:rFonts w:eastAsia="Times New Roman" w:cstheme="minorHAnsi"/>
          <w:sz w:val="24"/>
        </w:rPr>
        <w:t>and $</w:t>
      </w:r>
      <w:r>
        <w:rPr>
          <w:rFonts w:eastAsia="Times New Roman" w:cstheme="minorHAnsi"/>
          <w:color w:val="000000" w:themeColor="text1"/>
          <w:sz w:val="24"/>
        </w:rPr>
        <w:t>491</w:t>
      </w:r>
      <w:r w:rsidRPr="00F54559">
        <w:rPr>
          <w:rFonts w:eastAsia="Times New Roman" w:cstheme="minorHAnsi"/>
          <w:sz w:val="24"/>
        </w:rPr>
        <w:t xml:space="preserve"> at June 30, 20</w:t>
      </w:r>
      <w:r>
        <w:rPr>
          <w:rFonts w:eastAsia="Times New Roman" w:cstheme="minorHAnsi"/>
          <w:sz w:val="24"/>
        </w:rPr>
        <w:t>21</w:t>
      </w:r>
      <w:r w:rsidRPr="00F54559">
        <w:rPr>
          <w:rFonts w:eastAsia="Times New Roman" w:cstheme="minorHAnsi"/>
          <w:sz w:val="24"/>
        </w:rPr>
        <w:t xml:space="preserve"> and 20</w:t>
      </w:r>
      <w:r>
        <w:rPr>
          <w:rFonts w:eastAsia="Times New Roman" w:cstheme="minorHAnsi"/>
          <w:sz w:val="24"/>
        </w:rPr>
        <w:t>20</w:t>
      </w:r>
      <w:r w:rsidRPr="00F54559">
        <w:rPr>
          <w:rFonts w:eastAsia="Times New Roman" w:cstheme="minorHAnsi"/>
          <w:sz w:val="24"/>
        </w:rPr>
        <w:t>, respectively), the System's endowment is managed as a pooled investment fund using external investment managers. The University of Maine at Fort Kent Foundation, the University of Southern Maine Foundation, and the John L. Martin Scholarship Fund, Inc. participate in the System’s endowment pool through a management agreement. The fair values of the investments held for these affiliated organizations at June 30, 2</w:t>
      </w:r>
      <w:r>
        <w:rPr>
          <w:rFonts w:eastAsia="Times New Roman" w:cstheme="minorHAnsi"/>
          <w:sz w:val="24"/>
        </w:rPr>
        <w:t>021</w:t>
      </w:r>
      <w:r w:rsidRPr="00F54559">
        <w:rPr>
          <w:rFonts w:eastAsia="Times New Roman" w:cstheme="minorHAnsi"/>
          <w:sz w:val="24"/>
        </w:rPr>
        <w:t xml:space="preserve"> and 20</w:t>
      </w:r>
      <w:r>
        <w:rPr>
          <w:rFonts w:eastAsia="Times New Roman" w:cstheme="minorHAnsi"/>
          <w:sz w:val="24"/>
        </w:rPr>
        <w:t>20</w:t>
      </w:r>
      <w:r w:rsidRPr="00F54559">
        <w:rPr>
          <w:rFonts w:eastAsia="Times New Roman" w:cstheme="minorHAnsi"/>
          <w:sz w:val="24"/>
        </w:rPr>
        <w:t xml:space="preserve">, respectively are </w:t>
      </w:r>
      <w:r w:rsidRPr="00A801B2">
        <w:rPr>
          <w:rFonts w:eastAsia="Times New Roman" w:cstheme="minorHAnsi"/>
          <w:sz w:val="24"/>
        </w:rPr>
        <w:t>$</w:t>
      </w:r>
      <w:r w:rsidRPr="00832C1E">
        <w:rPr>
          <w:rFonts w:eastAsia="Times New Roman" w:cstheme="minorHAnsi"/>
          <w:sz w:val="24"/>
        </w:rPr>
        <w:t>35,</w:t>
      </w:r>
      <w:r w:rsidR="00AC01B9">
        <w:rPr>
          <w:rFonts w:eastAsia="Times New Roman" w:cstheme="minorHAnsi"/>
          <w:sz w:val="24"/>
        </w:rPr>
        <w:t>190</w:t>
      </w:r>
      <w:r w:rsidR="00AC01B9" w:rsidRPr="00832C1E">
        <w:rPr>
          <w:rFonts w:eastAsia="Times New Roman" w:cstheme="minorHAnsi"/>
          <w:sz w:val="24"/>
        </w:rPr>
        <w:t xml:space="preserve"> </w:t>
      </w:r>
      <w:r w:rsidRPr="00F54559">
        <w:rPr>
          <w:rFonts w:eastAsia="Times New Roman" w:cstheme="minorHAnsi"/>
          <w:sz w:val="24"/>
        </w:rPr>
        <w:t>and $</w:t>
      </w:r>
      <w:r w:rsidR="00AC01B9">
        <w:rPr>
          <w:rFonts w:eastAsia="Times New Roman" w:cstheme="minorHAnsi"/>
          <w:color w:val="000000" w:themeColor="text1"/>
          <w:sz w:val="24"/>
        </w:rPr>
        <w:t>25,857</w:t>
      </w:r>
      <w:r w:rsidRPr="00F54559">
        <w:rPr>
          <w:rFonts w:eastAsia="Times New Roman" w:cstheme="minorHAnsi"/>
          <w:sz w:val="24"/>
        </w:rPr>
        <w:t xml:space="preserve">, and are reported as </w:t>
      </w:r>
      <w:r w:rsidR="00ED3C0B">
        <w:rPr>
          <w:rFonts w:eastAsia="Times New Roman" w:cstheme="minorHAnsi"/>
          <w:sz w:val="24"/>
        </w:rPr>
        <w:t>investments in the</w:t>
      </w:r>
      <w:r w:rsidR="00727E3D">
        <w:rPr>
          <w:rFonts w:eastAsia="Times New Roman" w:cstheme="minorHAnsi"/>
          <w:sz w:val="24"/>
        </w:rPr>
        <w:t xml:space="preserve"> UMS endowm</w:t>
      </w:r>
      <w:r w:rsidR="00AC01B9">
        <w:rPr>
          <w:rFonts w:eastAsia="Times New Roman" w:cstheme="minorHAnsi"/>
          <w:sz w:val="24"/>
        </w:rPr>
        <w:t>e</w:t>
      </w:r>
      <w:r w:rsidR="00727E3D">
        <w:rPr>
          <w:rFonts w:eastAsia="Times New Roman" w:cstheme="minorHAnsi"/>
          <w:sz w:val="24"/>
        </w:rPr>
        <w:t xml:space="preserve">nt pool </w:t>
      </w:r>
      <w:r w:rsidRPr="00F54559">
        <w:rPr>
          <w:rFonts w:eastAsia="Times New Roman" w:cstheme="minorHAnsi"/>
          <w:sz w:val="24"/>
        </w:rPr>
        <w:t xml:space="preserve">in the accompanying Statements of </w:t>
      </w:r>
      <w:r w:rsidR="00727E3D">
        <w:rPr>
          <w:rFonts w:eastAsia="Times New Roman" w:cstheme="minorHAnsi"/>
          <w:sz w:val="24"/>
        </w:rPr>
        <w:t xml:space="preserve">Fiduciary </w:t>
      </w:r>
      <w:r w:rsidRPr="00F54559">
        <w:rPr>
          <w:rFonts w:eastAsia="Times New Roman" w:cstheme="minorHAnsi"/>
          <w:sz w:val="24"/>
        </w:rPr>
        <w:t>Net Position.</w:t>
      </w:r>
    </w:p>
    <w:p w14:paraId="76C63A1A" w14:textId="77777777" w:rsidR="00051D7E" w:rsidRPr="00DF23E5" w:rsidRDefault="00051D7E" w:rsidP="00051D7E">
      <w:pPr>
        <w:tabs>
          <w:tab w:val="left" w:pos="0"/>
          <w:tab w:val="left" w:pos="1080"/>
          <w:tab w:val="decimal" w:pos="6786"/>
          <w:tab w:val="decimal" w:pos="9079"/>
        </w:tabs>
        <w:suppressAutoHyphens/>
        <w:rPr>
          <w:rFonts w:eastAsia="Times New Roman" w:cstheme="minorHAnsi"/>
          <w:bCs/>
          <w:spacing w:val="-3"/>
          <w:sz w:val="24"/>
          <w:szCs w:val="24"/>
        </w:rPr>
      </w:pPr>
    </w:p>
    <w:p w14:paraId="2DAFF63A" w14:textId="77777777" w:rsidR="00051D7E" w:rsidRPr="00F54559" w:rsidRDefault="00051D7E" w:rsidP="00051D7E">
      <w:pPr>
        <w:tabs>
          <w:tab w:val="left" w:pos="0"/>
          <w:tab w:val="left" w:pos="1080"/>
          <w:tab w:val="decimal" w:pos="6786"/>
          <w:tab w:val="decimal" w:pos="9079"/>
        </w:tabs>
        <w:suppressAutoHyphens/>
        <w:spacing w:after="60"/>
        <w:rPr>
          <w:rFonts w:eastAsia="Times New Roman" w:cstheme="minorHAnsi"/>
          <w:bCs/>
          <w:spacing w:val="-3"/>
          <w:sz w:val="24"/>
          <w:szCs w:val="20"/>
        </w:rPr>
      </w:pPr>
      <w:r w:rsidRPr="00F54559">
        <w:rPr>
          <w:rFonts w:eastAsia="Times New Roman" w:cstheme="minorHAnsi"/>
          <w:bCs/>
          <w:spacing w:val="-3"/>
          <w:sz w:val="24"/>
          <w:szCs w:val="20"/>
        </w:rPr>
        <w:t>Endowed gifts are invested to generate income to be used to fund various activities such as scholarships and research as specified by the donors.  The total endowment accumulated net income and appreciation available to the System for spending is as follows at June 30:</w:t>
      </w:r>
    </w:p>
    <w:p w14:paraId="5285CF6F" w14:textId="77777777" w:rsidR="00051D7E" w:rsidRPr="00F54559" w:rsidRDefault="00051D7E" w:rsidP="00051D7E">
      <w:pPr>
        <w:tabs>
          <w:tab w:val="left" w:pos="0"/>
          <w:tab w:val="left" w:pos="1080"/>
          <w:tab w:val="decimal" w:pos="6786"/>
          <w:tab w:val="decimal" w:pos="9079"/>
        </w:tabs>
        <w:suppressAutoHyphens/>
        <w:rPr>
          <w:rFonts w:eastAsia="Times New Roman" w:cstheme="minorHAnsi"/>
          <w:bCs/>
          <w:spacing w:val="-3"/>
          <w:sz w:val="20"/>
          <w:szCs w:val="20"/>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otal endowment accumulated net income and appreciation available for spending as of June 30, 2018 and 2019.  In thousands, restricted - expendable decreased from $55,678 in FY18 to $54,432 in FY19; unrestricted increased from $16,012 in FY18 to $17,165 in FY19; and total available for spending which decreased from $71,690 in FY18 to $71,597 in FY19."/>
      </w:tblPr>
      <w:tblGrid>
        <w:gridCol w:w="3330"/>
        <w:gridCol w:w="1080"/>
        <w:gridCol w:w="1158"/>
      </w:tblGrid>
      <w:tr w:rsidR="00051D7E" w:rsidRPr="00A454B4" w14:paraId="7C620A54" w14:textId="77777777" w:rsidTr="000544FC">
        <w:trPr>
          <w:trHeight w:val="323"/>
          <w:tblHeader/>
          <w:jc w:val="center"/>
        </w:trPr>
        <w:tc>
          <w:tcPr>
            <w:tcW w:w="3330" w:type="dxa"/>
          </w:tcPr>
          <w:p w14:paraId="7273B049" w14:textId="77777777" w:rsidR="00051D7E" w:rsidRPr="00F54559" w:rsidRDefault="00051D7E" w:rsidP="007531FB">
            <w:pPr>
              <w:tabs>
                <w:tab w:val="left" w:pos="720"/>
                <w:tab w:val="left" w:pos="1440"/>
                <w:tab w:val="decimal" w:pos="6786"/>
                <w:tab w:val="decimal" w:pos="8100"/>
              </w:tabs>
              <w:suppressAutoHyphens/>
              <w:rPr>
                <w:rFonts w:eastAsia="Times New Roman" w:cstheme="minorHAnsi"/>
                <w:bCs/>
                <w:spacing w:val="-3"/>
                <w:sz w:val="24"/>
                <w:szCs w:val="24"/>
              </w:rPr>
            </w:pPr>
          </w:p>
        </w:tc>
        <w:tc>
          <w:tcPr>
            <w:tcW w:w="1080" w:type="dxa"/>
            <w:shd w:val="clear" w:color="auto" w:fill="auto"/>
          </w:tcPr>
          <w:p w14:paraId="5B3ECDFD" w14:textId="5B00E088" w:rsidR="00051D7E" w:rsidRPr="001A18A6" w:rsidRDefault="00051D7E" w:rsidP="000544FC">
            <w:pPr>
              <w:tabs>
                <w:tab w:val="left" w:pos="1440"/>
                <w:tab w:val="decimal" w:pos="6786"/>
                <w:tab w:val="decimal" w:pos="8100"/>
              </w:tabs>
              <w:suppressAutoHyphens/>
              <w:jc w:val="center"/>
              <w:rPr>
                <w:rFonts w:eastAsia="Times New Roman" w:cstheme="minorHAnsi"/>
                <w:b/>
                <w:bCs/>
                <w:spacing w:val="-3"/>
                <w:sz w:val="24"/>
                <w:szCs w:val="24"/>
              </w:rPr>
            </w:pPr>
            <w:r w:rsidRPr="001A18A6">
              <w:rPr>
                <w:rFonts w:eastAsia="Times New Roman" w:cstheme="minorHAnsi"/>
                <w:b/>
                <w:bCs/>
                <w:spacing w:val="-3"/>
                <w:sz w:val="24"/>
                <w:szCs w:val="24"/>
              </w:rPr>
              <w:t>202</w:t>
            </w:r>
            <w:r>
              <w:rPr>
                <w:rFonts w:eastAsia="Times New Roman" w:cstheme="minorHAnsi"/>
                <w:b/>
                <w:bCs/>
                <w:spacing w:val="-3"/>
                <w:sz w:val="24"/>
                <w:szCs w:val="24"/>
              </w:rPr>
              <w:t>1</w:t>
            </w:r>
          </w:p>
        </w:tc>
        <w:tc>
          <w:tcPr>
            <w:tcW w:w="1158" w:type="dxa"/>
            <w:shd w:val="clear" w:color="auto" w:fill="D9D9D9" w:themeFill="background1" w:themeFillShade="D9"/>
          </w:tcPr>
          <w:p w14:paraId="13714B4A" w14:textId="77777777" w:rsidR="00051D7E" w:rsidRPr="001A18A6" w:rsidRDefault="00051D7E" w:rsidP="007531FB">
            <w:pPr>
              <w:tabs>
                <w:tab w:val="left" w:pos="720"/>
                <w:tab w:val="left" w:pos="1440"/>
                <w:tab w:val="decimal" w:pos="6786"/>
                <w:tab w:val="decimal" w:pos="8100"/>
              </w:tabs>
              <w:suppressAutoHyphens/>
              <w:jc w:val="center"/>
              <w:rPr>
                <w:rFonts w:eastAsia="Times New Roman" w:cstheme="minorHAnsi"/>
                <w:b/>
                <w:bCs/>
                <w:spacing w:val="-3"/>
                <w:sz w:val="24"/>
                <w:szCs w:val="24"/>
              </w:rPr>
            </w:pPr>
            <w:r w:rsidRPr="001A18A6">
              <w:rPr>
                <w:rFonts w:eastAsia="Times New Roman" w:cstheme="minorHAnsi"/>
                <w:b/>
                <w:bCs/>
                <w:spacing w:val="-3"/>
                <w:sz w:val="24"/>
                <w:szCs w:val="24"/>
              </w:rPr>
              <w:t>20</w:t>
            </w:r>
            <w:r>
              <w:rPr>
                <w:rFonts w:eastAsia="Times New Roman" w:cstheme="minorHAnsi"/>
                <w:b/>
                <w:bCs/>
                <w:spacing w:val="-3"/>
                <w:sz w:val="24"/>
                <w:szCs w:val="24"/>
              </w:rPr>
              <w:t>20</w:t>
            </w:r>
          </w:p>
        </w:tc>
      </w:tr>
      <w:tr w:rsidR="00051D7E" w:rsidRPr="00A454B4" w14:paraId="5C13507E" w14:textId="77777777" w:rsidTr="000544FC">
        <w:trPr>
          <w:trHeight w:val="323"/>
          <w:jc w:val="center"/>
        </w:trPr>
        <w:tc>
          <w:tcPr>
            <w:tcW w:w="3330" w:type="dxa"/>
          </w:tcPr>
          <w:p w14:paraId="58333E69" w14:textId="77777777" w:rsidR="00051D7E" w:rsidRPr="00F54559" w:rsidRDefault="00051D7E" w:rsidP="007531FB">
            <w:pPr>
              <w:tabs>
                <w:tab w:val="left" w:pos="720"/>
                <w:tab w:val="left" w:pos="1440"/>
                <w:tab w:val="decimal" w:pos="6786"/>
                <w:tab w:val="decimal" w:pos="8100"/>
              </w:tabs>
              <w:suppressAutoHyphens/>
              <w:rPr>
                <w:rFonts w:eastAsia="Times New Roman" w:cstheme="minorHAnsi"/>
                <w:bCs/>
                <w:spacing w:val="-3"/>
                <w:sz w:val="24"/>
                <w:szCs w:val="24"/>
              </w:rPr>
            </w:pPr>
            <w:r w:rsidRPr="00F54559">
              <w:rPr>
                <w:rFonts w:eastAsia="Times New Roman" w:cstheme="minorHAnsi"/>
                <w:bCs/>
                <w:spacing w:val="-3"/>
                <w:sz w:val="24"/>
                <w:szCs w:val="24"/>
              </w:rPr>
              <w:t>Restricted - expendable</w:t>
            </w:r>
          </w:p>
        </w:tc>
        <w:tc>
          <w:tcPr>
            <w:tcW w:w="1080" w:type="dxa"/>
            <w:shd w:val="clear" w:color="auto" w:fill="auto"/>
          </w:tcPr>
          <w:p w14:paraId="40EE32C3" w14:textId="77777777" w:rsidR="00051D7E" w:rsidRPr="00751078" w:rsidRDefault="00051D7E" w:rsidP="007531FB">
            <w:pPr>
              <w:tabs>
                <w:tab w:val="left" w:pos="720"/>
                <w:tab w:val="left" w:pos="1440"/>
                <w:tab w:val="decimal" w:pos="6786"/>
                <w:tab w:val="decimal" w:pos="8100"/>
              </w:tabs>
              <w:suppressAutoHyphens/>
              <w:jc w:val="right"/>
              <w:rPr>
                <w:rFonts w:eastAsia="Times New Roman" w:cstheme="minorHAnsi"/>
                <w:bCs/>
                <w:spacing w:val="-3"/>
                <w:sz w:val="24"/>
                <w:szCs w:val="24"/>
              </w:rPr>
            </w:pPr>
            <w:r w:rsidRPr="00751078">
              <w:rPr>
                <w:rFonts w:eastAsia="Times New Roman" w:cstheme="minorHAnsi"/>
                <w:bCs/>
                <w:spacing w:val="-3"/>
                <w:sz w:val="24"/>
                <w:szCs w:val="24"/>
              </w:rPr>
              <w:t>$</w:t>
            </w:r>
            <w:r w:rsidRPr="009C7237">
              <w:rPr>
                <w:rFonts w:eastAsia="Times New Roman" w:cstheme="minorHAnsi"/>
                <w:bCs/>
                <w:spacing w:val="-3"/>
                <w:sz w:val="24"/>
                <w:szCs w:val="24"/>
              </w:rPr>
              <w:t>7</w:t>
            </w:r>
            <w:r w:rsidRPr="00751078">
              <w:rPr>
                <w:rFonts w:eastAsia="Times New Roman" w:cstheme="minorHAnsi"/>
                <w:bCs/>
                <w:spacing w:val="-3"/>
                <w:sz w:val="24"/>
                <w:szCs w:val="24"/>
              </w:rPr>
              <w:t>6,</w:t>
            </w:r>
            <w:r w:rsidRPr="009C7237">
              <w:rPr>
                <w:rFonts w:eastAsia="Times New Roman" w:cstheme="minorHAnsi"/>
                <w:bCs/>
                <w:spacing w:val="-3"/>
                <w:sz w:val="24"/>
                <w:szCs w:val="24"/>
              </w:rPr>
              <w:t>199</w:t>
            </w:r>
          </w:p>
        </w:tc>
        <w:tc>
          <w:tcPr>
            <w:tcW w:w="1158" w:type="dxa"/>
            <w:shd w:val="clear" w:color="auto" w:fill="D9D9D9" w:themeFill="background1" w:themeFillShade="D9"/>
          </w:tcPr>
          <w:p w14:paraId="0D1E3CE8" w14:textId="77777777" w:rsidR="00051D7E" w:rsidRPr="00F54559" w:rsidRDefault="00051D7E" w:rsidP="007531FB">
            <w:pPr>
              <w:tabs>
                <w:tab w:val="left" w:pos="720"/>
                <w:tab w:val="left" w:pos="1440"/>
                <w:tab w:val="decimal" w:pos="6786"/>
                <w:tab w:val="decimal" w:pos="8100"/>
              </w:tabs>
              <w:suppressAutoHyphens/>
              <w:jc w:val="right"/>
              <w:rPr>
                <w:rFonts w:eastAsia="Times New Roman" w:cstheme="minorHAnsi"/>
                <w:bCs/>
                <w:spacing w:val="-3"/>
                <w:sz w:val="24"/>
                <w:szCs w:val="24"/>
              </w:rPr>
            </w:pPr>
            <w:r w:rsidRPr="00F54559">
              <w:rPr>
                <w:rFonts w:eastAsia="Times New Roman" w:cstheme="minorHAnsi"/>
                <w:bCs/>
                <w:spacing w:val="-3"/>
                <w:sz w:val="24"/>
                <w:szCs w:val="24"/>
              </w:rPr>
              <w:t>$</w:t>
            </w:r>
            <w:r>
              <w:rPr>
                <w:rFonts w:eastAsia="Times New Roman" w:cstheme="minorHAnsi"/>
                <w:bCs/>
                <w:spacing w:val="-3"/>
                <w:sz w:val="24"/>
                <w:szCs w:val="24"/>
              </w:rPr>
              <w:t>51,028</w:t>
            </w:r>
          </w:p>
        </w:tc>
      </w:tr>
      <w:tr w:rsidR="00051D7E" w:rsidRPr="00A454B4" w14:paraId="7C6392C1" w14:textId="77777777" w:rsidTr="000544FC">
        <w:trPr>
          <w:trHeight w:val="323"/>
          <w:jc w:val="center"/>
        </w:trPr>
        <w:tc>
          <w:tcPr>
            <w:tcW w:w="3330" w:type="dxa"/>
            <w:tcBorders>
              <w:bottom w:val="single" w:sz="8" w:space="0" w:color="00688D"/>
            </w:tcBorders>
          </w:tcPr>
          <w:p w14:paraId="6C03E529" w14:textId="77777777" w:rsidR="00051D7E" w:rsidRPr="00F54559" w:rsidRDefault="00051D7E" w:rsidP="007531FB">
            <w:pPr>
              <w:tabs>
                <w:tab w:val="left" w:pos="720"/>
                <w:tab w:val="left" w:pos="1440"/>
                <w:tab w:val="decimal" w:pos="6786"/>
                <w:tab w:val="decimal" w:pos="8100"/>
              </w:tabs>
              <w:suppressAutoHyphens/>
              <w:rPr>
                <w:rFonts w:eastAsia="Times New Roman" w:cstheme="minorHAnsi"/>
                <w:bCs/>
                <w:spacing w:val="-3"/>
                <w:sz w:val="24"/>
                <w:szCs w:val="24"/>
              </w:rPr>
            </w:pPr>
            <w:r w:rsidRPr="00F54559">
              <w:rPr>
                <w:rFonts w:eastAsia="Times New Roman" w:cstheme="minorHAnsi"/>
                <w:bCs/>
                <w:spacing w:val="-3"/>
                <w:sz w:val="24"/>
                <w:szCs w:val="24"/>
              </w:rPr>
              <w:t>Unrestricted</w:t>
            </w:r>
          </w:p>
        </w:tc>
        <w:tc>
          <w:tcPr>
            <w:tcW w:w="1080" w:type="dxa"/>
            <w:tcBorders>
              <w:bottom w:val="single" w:sz="8" w:space="0" w:color="00688D"/>
            </w:tcBorders>
            <w:shd w:val="clear" w:color="auto" w:fill="auto"/>
          </w:tcPr>
          <w:p w14:paraId="6C7B4B9B" w14:textId="77777777" w:rsidR="00051D7E" w:rsidRPr="00751078" w:rsidRDefault="00051D7E" w:rsidP="007531FB">
            <w:pPr>
              <w:tabs>
                <w:tab w:val="left" w:pos="720"/>
                <w:tab w:val="left" w:pos="1440"/>
                <w:tab w:val="decimal" w:pos="6786"/>
                <w:tab w:val="decimal" w:pos="8100"/>
              </w:tabs>
              <w:suppressAutoHyphens/>
              <w:jc w:val="right"/>
              <w:rPr>
                <w:rFonts w:eastAsia="Times New Roman" w:cstheme="minorHAnsi"/>
                <w:bCs/>
                <w:spacing w:val="-3"/>
                <w:sz w:val="24"/>
                <w:szCs w:val="24"/>
              </w:rPr>
            </w:pPr>
            <w:r w:rsidRPr="009C7237">
              <w:rPr>
                <w:rFonts w:eastAsia="Times New Roman" w:cstheme="minorHAnsi"/>
                <w:bCs/>
                <w:spacing w:val="-3"/>
                <w:sz w:val="24"/>
                <w:szCs w:val="24"/>
              </w:rPr>
              <w:t>20,697</w:t>
            </w:r>
          </w:p>
        </w:tc>
        <w:tc>
          <w:tcPr>
            <w:tcW w:w="1158" w:type="dxa"/>
            <w:tcBorders>
              <w:bottom w:val="single" w:sz="8" w:space="0" w:color="00688D"/>
            </w:tcBorders>
            <w:shd w:val="clear" w:color="auto" w:fill="D9D9D9" w:themeFill="background1" w:themeFillShade="D9"/>
          </w:tcPr>
          <w:p w14:paraId="511060EF" w14:textId="77777777" w:rsidR="00051D7E" w:rsidRPr="00F54559" w:rsidRDefault="00051D7E" w:rsidP="007531FB">
            <w:pPr>
              <w:tabs>
                <w:tab w:val="left" w:pos="720"/>
                <w:tab w:val="left" w:pos="1440"/>
                <w:tab w:val="decimal" w:pos="6786"/>
                <w:tab w:val="decimal" w:pos="8100"/>
              </w:tabs>
              <w:suppressAutoHyphens/>
              <w:jc w:val="right"/>
              <w:rPr>
                <w:rFonts w:eastAsia="Times New Roman" w:cstheme="minorHAnsi"/>
                <w:bCs/>
                <w:spacing w:val="-3"/>
                <w:sz w:val="24"/>
                <w:szCs w:val="24"/>
              </w:rPr>
            </w:pPr>
            <w:r>
              <w:rPr>
                <w:rFonts w:eastAsia="Times New Roman" w:cstheme="minorHAnsi"/>
                <w:bCs/>
                <w:spacing w:val="-3"/>
                <w:sz w:val="24"/>
                <w:szCs w:val="24"/>
              </w:rPr>
              <w:t>16,754</w:t>
            </w:r>
          </w:p>
        </w:tc>
      </w:tr>
      <w:tr w:rsidR="00051D7E" w:rsidRPr="00A454B4" w14:paraId="7D0A991E" w14:textId="77777777" w:rsidTr="000544FC">
        <w:trPr>
          <w:trHeight w:val="334"/>
          <w:jc w:val="center"/>
        </w:trPr>
        <w:tc>
          <w:tcPr>
            <w:tcW w:w="3330" w:type="dxa"/>
            <w:tcBorders>
              <w:top w:val="single" w:sz="8" w:space="0" w:color="00688D"/>
              <w:bottom w:val="double" w:sz="4" w:space="0" w:color="00688D"/>
            </w:tcBorders>
          </w:tcPr>
          <w:p w14:paraId="1301DF77" w14:textId="77777777" w:rsidR="00051D7E" w:rsidRPr="00F54559" w:rsidRDefault="00051D7E" w:rsidP="007531FB">
            <w:pPr>
              <w:pStyle w:val="ReportTotal"/>
              <w:jc w:val="left"/>
              <w:rPr>
                <w:rFonts w:asciiTheme="minorHAnsi" w:hAnsiTheme="minorHAnsi" w:cstheme="minorHAnsi"/>
              </w:rPr>
            </w:pPr>
            <w:r w:rsidRPr="00F54559">
              <w:rPr>
                <w:rFonts w:asciiTheme="minorHAnsi" w:hAnsiTheme="minorHAnsi" w:cstheme="minorHAnsi"/>
              </w:rPr>
              <w:t>Total available for spending</w:t>
            </w:r>
          </w:p>
        </w:tc>
        <w:tc>
          <w:tcPr>
            <w:tcW w:w="1080" w:type="dxa"/>
            <w:tcBorders>
              <w:top w:val="single" w:sz="8" w:space="0" w:color="00688D"/>
              <w:bottom w:val="double" w:sz="4" w:space="0" w:color="00688D"/>
            </w:tcBorders>
            <w:shd w:val="clear" w:color="auto" w:fill="auto"/>
          </w:tcPr>
          <w:p w14:paraId="49E69AB1" w14:textId="77777777" w:rsidR="00051D7E" w:rsidRPr="00751078" w:rsidRDefault="00051D7E" w:rsidP="007531FB">
            <w:pPr>
              <w:pStyle w:val="ReportTotal"/>
              <w:jc w:val="right"/>
              <w:rPr>
                <w:rFonts w:asciiTheme="minorHAnsi" w:hAnsiTheme="minorHAnsi" w:cstheme="minorHAnsi"/>
              </w:rPr>
            </w:pPr>
            <w:r w:rsidRPr="00751078">
              <w:rPr>
                <w:rFonts w:asciiTheme="minorHAnsi" w:hAnsiTheme="minorHAnsi" w:cstheme="minorHAnsi"/>
              </w:rPr>
              <w:t>$</w:t>
            </w:r>
            <w:r w:rsidRPr="009C7237">
              <w:rPr>
                <w:rFonts w:asciiTheme="minorHAnsi" w:hAnsiTheme="minorHAnsi" w:cstheme="minorHAnsi"/>
              </w:rPr>
              <w:t>96,896</w:t>
            </w:r>
          </w:p>
        </w:tc>
        <w:tc>
          <w:tcPr>
            <w:tcW w:w="1158" w:type="dxa"/>
            <w:tcBorders>
              <w:top w:val="single" w:sz="8" w:space="0" w:color="00688D"/>
              <w:bottom w:val="double" w:sz="4" w:space="0" w:color="00688D"/>
            </w:tcBorders>
            <w:shd w:val="clear" w:color="auto" w:fill="D9D9D9" w:themeFill="background1" w:themeFillShade="D9"/>
          </w:tcPr>
          <w:p w14:paraId="2EC95690" w14:textId="77777777" w:rsidR="00051D7E" w:rsidRPr="00F54559" w:rsidRDefault="00051D7E" w:rsidP="007531FB">
            <w:pPr>
              <w:pStyle w:val="ReportTotal"/>
              <w:jc w:val="right"/>
              <w:rPr>
                <w:rFonts w:asciiTheme="minorHAnsi" w:hAnsiTheme="minorHAnsi" w:cstheme="minorHAnsi"/>
              </w:rPr>
            </w:pPr>
            <w:r w:rsidRPr="00F54559">
              <w:rPr>
                <w:rFonts w:asciiTheme="minorHAnsi" w:hAnsiTheme="minorHAnsi" w:cstheme="minorHAnsi"/>
              </w:rPr>
              <w:t>$</w:t>
            </w:r>
            <w:r>
              <w:rPr>
                <w:rFonts w:asciiTheme="minorHAnsi" w:hAnsiTheme="minorHAnsi" w:cstheme="minorHAnsi"/>
              </w:rPr>
              <w:t>67,782</w:t>
            </w:r>
          </w:p>
        </w:tc>
      </w:tr>
    </w:tbl>
    <w:p w14:paraId="1AA106B1" w14:textId="77777777" w:rsidR="00051D7E" w:rsidRPr="00F54559" w:rsidRDefault="00051D7E" w:rsidP="00051D7E">
      <w:pPr>
        <w:pStyle w:val="ReportHeading3"/>
        <w:spacing w:before="0" w:after="0"/>
        <w:rPr>
          <w:rFonts w:cstheme="minorHAnsi"/>
          <w:b w:val="0"/>
          <w:i w:val="0"/>
          <w:sz w:val="20"/>
          <w:szCs w:val="24"/>
          <w:u w:val="none"/>
        </w:rPr>
      </w:pPr>
    </w:p>
    <w:p w14:paraId="12158BBA" w14:textId="77777777" w:rsidR="000544FC" w:rsidRDefault="000544FC" w:rsidP="000544FC">
      <w:pPr>
        <w:spacing w:after="160" w:line="259" w:lineRule="auto"/>
        <w:rPr>
          <w:rFonts w:cstheme="minorHAnsi"/>
          <w:b/>
          <w:i/>
          <w:noProof/>
          <w:sz w:val="26"/>
          <w:szCs w:val="26"/>
        </w:rPr>
      </w:pPr>
    </w:p>
    <w:p w14:paraId="0EC599DD" w14:textId="77777777" w:rsidR="00595DD6" w:rsidRDefault="00595DD6">
      <w:pPr>
        <w:spacing w:after="160" w:line="259" w:lineRule="auto"/>
        <w:rPr>
          <w:rFonts w:cstheme="minorHAnsi"/>
          <w:b/>
          <w:i/>
          <w:noProof/>
          <w:sz w:val="26"/>
          <w:szCs w:val="26"/>
        </w:rPr>
      </w:pPr>
      <w:r>
        <w:rPr>
          <w:rFonts w:cstheme="minorHAnsi"/>
          <w:b/>
          <w:i/>
          <w:noProof/>
          <w:sz w:val="26"/>
          <w:szCs w:val="26"/>
        </w:rPr>
        <w:br w:type="page"/>
      </w:r>
    </w:p>
    <w:p w14:paraId="398D53AD" w14:textId="20F915CA" w:rsidR="000544FC" w:rsidRPr="00F54559" w:rsidRDefault="000544FC" w:rsidP="000544FC">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2E8A7245" w14:textId="5F353510" w:rsidR="00051D7E" w:rsidRPr="002A6F45" w:rsidRDefault="00595DD6" w:rsidP="00051D7E">
      <w:pPr>
        <w:spacing w:after="160" w:line="259" w:lineRule="auto"/>
        <w:rPr>
          <w:rFonts w:cstheme="minorHAnsi"/>
          <w:spacing w:val="-3"/>
          <w:sz w:val="24"/>
          <w:szCs w:val="24"/>
        </w:rPr>
      </w:pPr>
      <w:r w:rsidRPr="00F54559">
        <w:rPr>
          <w:rFonts w:cstheme="minorHAnsi"/>
          <w:b/>
          <w:i/>
          <w:spacing w:val="-3"/>
          <w:sz w:val="24"/>
          <w:szCs w:val="24"/>
        </w:rPr>
        <w:t>Investments for the Defined Benefit Plan – Classified Employees</w:t>
      </w:r>
      <w:r w:rsidRPr="002A6F45">
        <w:rPr>
          <w:rFonts w:cstheme="minorHAnsi"/>
          <w:b/>
          <w:i/>
          <w:spacing w:val="-3"/>
          <w:sz w:val="24"/>
          <w:szCs w:val="24"/>
        </w:rPr>
        <w:t xml:space="preserve">:  </w:t>
      </w:r>
      <w:r w:rsidRPr="002A6F45">
        <w:rPr>
          <w:rFonts w:cstheme="minorHAnsi"/>
          <w:spacing w:val="-3"/>
          <w:sz w:val="24"/>
          <w:szCs w:val="24"/>
          <w:shd w:val="clear" w:color="auto" w:fill="FFFFFF"/>
        </w:rPr>
        <w:t xml:space="preserve">These pension plan investments offset the Total Pension Liability of the System’s Defined Benefit Plan – Classified </w:t>
      </w:r>
      <w:r w:rsidR="00051D7E" w:rsidRPr="002A6F45">
        <w:rPr>
          <w:rFonts w:cstheme="minorHAnsi"/>
          <w:spacing w:val="-3"/>
          <w:sz w:val="24"/>
          <w:szCs w:val="24"/>
          <w:shd w:val="clear" w:color="auto" w:fill="FFFFFF"/>
        </w:rPr>
        <w:t>Employees (DB Plan) described in Note 13d. They are managed by the System and their </w:t>
      </w:r>
      <w:r w:rsidR="00051D7E" w:rsidRPr="002A6F45">
        <w:rPr>
          <w:rFonts w:cstheme="minorHAnsi"/>
          <w:sz w:val="24"/>
          <w:szCs w:val="24"/>
          <w:shd w:val="clear" w:color="auto" w:fill="FFFFFF"/>
        </w:rPr>
        <w:t>fair values, credit ratings, and interest rate risk </w:t>
      </w:r>
      <w:r w:rsidR="00051D7E" w:rsidRPr="002A6F45">
        <w:rPr>
          <w:rFonts w:cstheme="minorHAnsi"/>
          <w:spacing w:val="-3"/>
          <w:sz w:val="24"/>
          <w:szCs w:val="24"/>
          <w:shd w:val="clear" w:color="auto" w:fill="FFFFFF"/>
        </w:rPr>
        <w:t>are presented below in the </w:t>
      </w:r>
      <w:r w:rsidR="000949F3">
        <w:rPr>
          <w:rFonts w:ascii="Calibri" w:eastAsia="Times New Roman" w:hAnsi="Calibri" w:cs="Tahoma"/>
          <w:sz w:val="24"/>
          <w:szCs w:val="20"/>
        </w:rPr>
        <w:t>“</w:t>
      </w:r>
      <w:r w:rsidR="00051D7E" w:rsidRPr="002A6F45">
        <w:rPr>
          <w:rFonts w:cstheme="minorHAnsi"/>
          <w:sz w:val="24"/>
          <w:szCs w:val="24"/>
          <w:shd w:val="clear" w:color="auto" w:fill="FFFFFF"/>
        </w:rPr>
        <w:t>DB Plan and MIP investments”</w:t>
      </w:r>
      <w:r w:rsidR="00051D7E" w:rsidRPr="002A6F45">
        <w:rPr>
          <w:rFonts w:cstheme="minorHAnsi"/>
          <w:spacing w:val="-3"/>
          <w:sz w:val="24"/>
          <w:szCs w:val="24"/>
          <w:shd w:val="clear" w:color="auto" w:fill="FFFFFF"/>
        </w:rPr>
        <w:t>. </w:t>
      </w:r>
    </w:p>
    <w:p w14:paraId="0AB596E1" w14:textId="77777777" w:rsidR="00051D7E" w:rsidRPr="00F54559" w:rsidRDefault="00051D7E" w:rsidP="007531FB">
      <w:pPr>
        <w:pStyle w:val="AFR4"/>
        <w:spacing w:before="240"/>
        <w:rPr>
          <w:rFonts w:cstheme="minorHAnsi"/>
          <w:i/>
        </w:rPr>
      </w:pPr>
      <w:r w:rsidRPr="00F54559">
        <w:rPr>
          <w:rFonts w:cstheme="minorHAnsi"/>
          <w:i/>
        </w:rPr>
        <w:t>Fair Value Measurements:</w:t>
      </w:r>
    </w:p>
    <w:p w14:paraId="7369E0D2" w14:textId="77777777" w:rsidR="00051D7E" w:rsidRPr="00F54559" w:rsidRDefault="00051D7E" w:rsidP="00051D7E">
      <w:pPr>
        <w:tabs>
          <w:tab w:val="left" w:pos="1022"/>
          <w:tab w:val="left" w:pos="1440"/>
          <w:tab w:val="right" w:pos="4262"/>
          <w:tab w:val="right" w:pos="5220"/>
          <w:tab w:val="right" w:pos="6691"/>
          <w:tab w:val="right" w:pos="7621"/>
          <w:tab w:val="right" w:pos="9187"/>
        </w:tabs>
        <w:suppressAutoHyphens/>
        <w:spacing w:after="160"/>
        <w:rPr>
          <w:rFonts w:cstheme="minorHAnsi"/>
          <w:noProof/>
          <w:sz w:val="24"/>
        </w:rPr>
      </w:pPr>
      <w:r w:rsidRPr="00F54559">
        <w:rPr>
          <w:rFonts w:cstheme="minorHAnsi"/>
          <w:noProof/>
          <w:sz w:val="24"/>
        </w:rPr>
        <w:t xml:space="preserve">GASB Statement No. 72, </w:t>
      </w:r>
      <w:r w:rsidRPr="00F54559">
        <w:rPr>
          <w:rFonts w:cstheme="minorHAnsi"/>
          <w:i/>
          <w:noProof/>
          <w:sz w:val="24"/>
        </w:rPr>
        <w:t>Fair Value Measurement and Application</w:t>
      </w:r>
      <w:r w:rsidRPr="00F54559">
        <w:rPr>
          <w:rFonts w:cstheme="minorHAnsi"/>
          <w:noProof/>
          <w:sz w:val="24"/>
        </w:rPr>
        <w:t xml:space="preserve"> (GASB No. 72), defines fair value as the exchange price that would be received for an asset or paid to transfer a liability (an exit price) in the entity’s principal or most advantageous market for the asset or liability in an orderly transaction between market participants on the measurement date. GASB No. 72 also establishes a fair value hierarchy which requires an entity to maximize the use of observable inputs and minimize the use of unobservable inputs when measuring fair value, and describes three levels of inputs that may be used to measure fair value:</w:t>
      </w:r>
    </w:p>
    <w:p w14:paraId="3FE2C323" w14:textId="77777777" w:rsidR="00051D7E" w:rsidRPr="00F54559" w:rsidRDefault="00051D7E" w:rsidP="00051D7E">
      <w:pPr>
        <w:numPr>
          <w:ilvl w:val="0"/>
          <w:numId w:val="9"/>
        </w:numPr>
        <w:spacing w:after="160"/>
        <w:ind w:left="1350" w:hanging="1080"/>
        <w:rPr>
          <w:rFonts w:eastAsia="Times New Roman" w:cstheme="minorHAnsi"/>
          <w:noProof/>
          <w:sz w:val="24"/>
          <w:szCs w:val="24"/>
        </w:rPr>
      </w:pPr>
      <w:r w:rsidRPr="00F54559">
        <w:rPr>
          <w:rFonts w:eastAsia="Times New Roman" w:cstheme="minorHAnsi"/>
          <w:noProof/>
          <w:sz w:val="24"/>
          <w:szCs w:val="24"/>
        </w:rPr>
        <w:t>Valuations based on unadjusted quoted prices in active markets for identical assets or liabilities that the entity has the ability to access as of the measurement date. Since valuations are based on quoted prices that are readily and regularly available in an active market, valuation of these securities does not entail a significant  degree of judgement.</w:t>
      </w:r>
    </w:p>
    <w:p w14:paraId="7964F073" w14:textId="77777777" w:rsidR="00051D7E" w:rsidRPr="00F54559" w:rsidRDefault="00051D7E" w:rsidP="00051D7E">
      <w:pPr>
        <w:numPr>
          <w:ilvl w:val="0"/>
          <w:numId w:val="9"/>
        </w:numPr>
        <w:spacing w:before="120" w:after="160"/>
        <w:ind w:left="1350" w:hanging="1080"/>
        <w:rPr>
          <w:rFonts w:eastAsia="Times New Roman" w:cstheme="minorHAnsi"/>
          <w:noProof/>
          <w:sz w:val="24"/>
          <w:szCs w:val="24"/>
        </w:rPr>
      </w:pPr>
      <w:r w:rsidRPr="00F54559">
        <w:rPr>
          <w:rFonts w:eastAsia="Times New Roman" w:cstheme="minorHAnsi"/>
          <w:noProof/>
          <w:sz w:val="24"/>
          <w:szCs w:val="24"/>
        </w:rPr>
        <w:t xml:space="preserve">Valuations based on significant other observable inputs other than Level 1 prices, such as quoted prices for similar assets or liabilites, quoted prices in markets that are not active, and other inputs that are observable or can be corroborated by observable market data. </w:t>
      </w:r>
    </w:p>
    <w:p w14:paraId="30696AB5" w14:textId="77777777" w:rsidR="00051D7E" w:rsidRPr="00F54559" w:rsidRDefault="00051D7E" w:rsidP="00051D7E">
      <w:pPr>
        <w:numPr>
          <w:ilvl w:val="0"/>
          <w:numId w:val="9"/>
        </w:numPr>
        <w:ind w:left="1350" w:hanging="1080"/>
        <w:contextualSpacing/>
        <w:rPr>
          <w:rFonts w:eastAsia="Times New Roman" w:cstheme="minorHAnsi"/>
          <w:noProof/>
          <w:sz w:val="24"/>
          <w:szCs w:val="24"/>
        </w:rPr>
      </w:pPr>
      <w:r w:rsidRPr="00F54559">
        <w:rPr>
          <w:rFonts w:eastAsia="Times New Roman" w:cstheme="minorHAnsi"/>
          <w:noProof/>
          <w:sz w:val="24"/>
          <w:szCs w:val="24"/>
        </w:rPr>
        <w:t xml:space="preserve">Valuations based on inputs that are unobservable and significant to the overall fair value measurement. They reflect an entity’s own assumptions about the assumptions that market participants would use in pricing an asset or liability. </w:t>
      </w:r>
    </w:p>
    <w:p w14:paraId="572F7034" w14:textId="77777777" w:rsidR="00051D7E" w:rsidRPr="00F54559" w:rsidRDefault="00051D7E" w:rsidP="00051D7E">
      <w:pPr>
        <w:pStyle w:val="ListParagraph"/>
        <w:rPr>
          <w:rFonts w:asciiTheme="minorHAnsi" w:hAnsiTheme="minorHAnsi" w:cstheme="minorHAnsi"/>
          <w:noProof/>
          <w:sz w:val="20"/>
        </w:rPr>
      </w:pPr>
    </w:p>
    <w:p w14:paraId="51F05B8C" w14:textId="77777777" w:rsidR="00051D7E" w:rsidRPr="00F54559" w:rsidRDefault="00051D7E" w:rsidP="00051D7E">
      <w:pPr>
        <w:contextualSpacing/>
        <w:rPr>
          <w:rFonts w:eastAsia="Times New Roman" w:cstheme="minorHAnsi"/>
          <w:noProof/>
          <w:sz w:val="24"/>
          <w:szCs w:val="24"/>
        </w:rPr>
      </w:pPr>
      <w:r w:rsidRPr="00F54559">
        <w:rPr>
          <w:rFonts w:eastAsia="Times New Roman" w:cstheme="minorHAnsi"/>
          <w:noProof/>
          <w:sz w:val="24"/>
          <w:szCs w:val="24"/>
        </w:rPr>
        <w:t>The above hierarchy is based on the valuation inputs used to measure the fair value of the asset and gives the highest priority to level 1 measurements and the lowest priority to level 3 measurements.  Investments that are measured at fair value using net asset value (NAV) per share (or its equivalent) as a practical expedient are not classified in the fair value hierarchy.</w:t>
      </w:r>
    </w:p>
    <w:p w14:paraId="0CF4EFD7" w14:textId="77777777" w:rsidR="00051D7E" w:rsidRPr="00F54559" w:rsidRDefault="00051D7E" w:rsidP="00051D7E">
      <w:pPr>
        <w:contextualSpacing/>
        <w:rPr>
          <w:rFonts w:eastAsia="Times New Roman" w:cstheme="minorHAnsi"/>
          <w:noProof/>
          <w:sz w:val="20"/>
          <w:szCs w:val="24"/>
        </w:rPr>
      </w:pPr>
    </w:p>
    <w:p w14:paraId="2BA1C6C0" w14:textId="77777777" w:rsidR="00051D7E" w:rsidRPr="00F54559" w:rsidRDefault="00051D7E" w:rsidP="00051D7E">
      <w:pPr>
        <w:autoSpaceDE w:val="0"/>
        <w:autoSpaceDN w:val="0"/>
        <w:adjustRightInd w:val="0"/>
        <w:rPr>
          <w:rFonts w:eastAsia="Times New Roman" w:cstheme="minorHAnsi"/>
          <w:noProof/>
          <w:sz w:val="24"/>
          <w:szCs w:val="24"/>
        </w:rPr>
        <w:sectPr w:rsidR="00051D7E" w:rsidRPr="00F54559" w:rsidSect="007531FB">
          <w:headerReference w:type="default" r:id="rId69"/>
          <w:headerReference w:type="first" r:id="rId70"/>
          <w:footerReference w:type="first" r:id="rId71"/>
          <w:pgSz w:w="12240" w:h="15840" w:code="1"/>
          <w:pgMar w:top="1440" w:right="1440" w:bottom="1440" w:left="1440" w:header="720" w:footer="720" w:gutter="0"/>
          <w:cols w:space="0"/>
          <w:titlePg/>
          <w:docGrid w:linePitch="360"/>
        </w:sectPr>
      </w:pPr>
      <w:r w:rsidRPr="00F54559">
        <w:rPr>
          <w:rFonts w:eastAsia="Times New Roman" w:cstheme="minorHAnsi"/>
          <w:noProof/>
          <w:sz w:val="24"/>
          <w:szCs w:val="24"/>
        </w:rPr>
        <w:t>The System measures the fair value of investments in certain entities that do not have a quoted market price at the calculated NAV per share or its equivalent.  As these investments are not readily marketable the estimated value is subject to uncertainty, and therefore, may differ from the value that would have been used had a ready market for the investments existed.</w:t>
      </w:r>
    </w:p>
    <w:p w14:paraId="78527DB3" w14:textId="77777777" w:rsidR="00051D7E" w:rsidRPr="00F54559" w:rsidRDefault="00051D7E" w:rsidP="00051D7E">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0FAD46F3" w14:textId="77777777" w:rsidR="00051D7E" w:rsidRDefault="00051D7E" w:rsidP="00051D7E">
      <w:pPr>
        <w:tabs>
          <w:tab w:val="left" w:pos="720"/>
          <w:tab w:val="left" w:pos="1080"/>
          <w:tab w:val="decimal" w:pos="6786"/>
          <w:tab w:val="decimal" w:pos="9187"/>
        </w:tabs>
        <w:suppressAutoHyphens/>
        <w:spacing w:after="240"/>
        <w:rPr>
          <w:rFonts w:eastAsia="Times New Roman" w:cstheme="minorHAnsi"/>
          <w:spacing w:val="-3"/>
          <w:sz w:val="24"/>
          <w:szCs w:val="20"/>
        </w:rPr>
      </w:pPr>
      <w:r w:rsidRPr="00E53CCD">
        <w:rPr>
          <w:rFonts w:eastAsia="Times New Roman" w:cstheme="minorHAnsi"/>
          <w:color w:val="000000"/>
          <w:spacing w:val="-3"/>
          <w:sz w:val="24"/>
          <w:szCs w:val="20"/>
        </w:rPr>
        <w:t xml:space="preserve">The </w:t>
      </w:r>
      <w:r w:rsidRPr="00187D5B">
        <w:rPr>
          <w:rFonts w:eastAsia="Times New Roman" w:cstheme="minorHAnsi"/>
          <w:b/>
          <w:color w:val="000000"/>
          <w:spacing w:val="-3"/>
          <w:sz w:val="24"/>
          <w:szCs w:val="20"/>
        </w:rPr>
        <w:t xml:space="preserve">System’s </w:t>
      </w:r>
      <w:r w:rsidRPr="00A1236B">
        <w:rPr>
          <w:rFonts w:eastAsia="Times New Roman" w:cstheme="minorHAnsi"/>
          <w:b/>
          <w:color w:val="000000"/>
          <w:spacing w:val="-3"/>
          <w:sz w:val="24"/>
          <w:szCs w:val="20"/>
        </w:rPr>
        <w:t>operating investments</w:t>
      </w:r>
      <w:r>
        <w:rPr>
          <w:rFonts w:eastAsia="Times New Roman" w:cstheme="minorHAnsi"/>
          <w:b/>
          <w:color w:val="000000"/>
          <w:spacing w:val="-3"/>
          <w:sz w:val="24"/>
          <w:szCs w:val="20"/>
        </w:rPr>
        <w:t xml:space="preserve"> and deposits with bond trustees </w:t>
      </w:r>
      <w:r w:rsidRPr="00F54559">
        <w:rPr>
          <w:rFonts w:eastAsia="Times New Roman" w:cstheme="minorHAnsi"/>
          <w:color w:val="000000"/>
          <w:spacing w:val="-3"/>
          <w:sz w:val="24"/>
          <w:szCs w:val="20"/>
        </w:rPr>
        <w:t xml:space="preserve">were composed of the following at </w:t>
      </w:r>
      <w:r w:rsidRPr="00C9349A">
        <w:rPr>
          <w:rFonts w:eastAsia="Times New Roman" w:cstheme="minorHAnsi"/>
          <w:color w:val="000000"/>
          <w:spacing w:val="-3"/>
          <w:sz w:val="24"/>
          <w:szCs w:val="20"/>
        </w:rPr>
        <w:t>June 30</w:t>
      </w:r>
      <w:r w:rsidRPr="00C9349A">
        <w:rPr>
          <w:rFonts w:eastAsia="Times New Roman" w:cstheme="minorHAnsi"/>
          <w:spacing w:val="-3"/>
          <w:sz w:val="24"/>
          <w:szCs w:val="20"/>
        </w:rPr>
        <w:t>, 202</w:t>
      </w:r>
      <w:r>
        <w:rPr>
          <w:rFonts w:eastAsia="Times New Roman" w:cstheme="minorHAnsi"/>
          <w:spacing w:val="-3"/>
          <w:sz w:val="24"/>
          <w:szCs w:val="20"/>
        </w:rPr>
        <w:t>1</w:t>
      </w:r>
      <w:r w:rsidRPr="00F54559">
        <w:rPr>
          <w:rFonts w:eastAsia="Times New Roman" w:cstheme="minorHAnsi"/>
          <w:spacing w:val="-3"/>
          <w:sz w:val="24"/>
          <w:szCs w:val="20"/>
        </w:rPr>
        <w:t>:</w:t>
      </w:r>
    </w:p>
    <w:p w14:paraId="058782C4" w14:textId="36757140" w:rsidR="00051D7E" w:rsidRDefault="00CB5DAC" w:rsidP="00051D7E">
      <w:pPr>
        <w:tabs>
          <w:tab w:val="left" w:pos="720"/>
          <w:tab w:val="left" w:pos="1080"/>
          <w:tab w:val="decimal" w:pos="6786"/>
          <w:tab w:val="decimal" w:pos="9187"/>
        </w:tabs>
        <w:suppressAutoHyphens/>
        <w:spacing w:after="240"/>
        <w:rPr>
          <w:rFonts w:eastAsia="Times New Roman" w:cstheme="minorHAnsi"/>
          <w:spacing w:val="-3"/>
          <w:sz w:val="24"/>
          <w:szCs w:val="20"/>
        </w:rPr>
      </w:pPr>
      <w:r w:rsidRPr="00CB5DAC">
        <w:rPr>
          <w:noProof/>
        </w:rPr>
        <w:drawing>
          <wp:inline distT="0" distB="0" distL="0" distR="0" wp14:anchorId="16432AD0" wp14:editId="4C3E1590">
            <wp:extent cx="8229600" cy="3353887"/>
            <wp:effectExtent l="0" t="0" r="0" b="0"/>
            <wp:docPr id="7" name="Picture 7" descr="   Fair Value Measurements Using:    Credit  &#10;  Total   Level 1   Level 2   Level 3   Rating   Interest Rate Risk  &#10;Operating Investments measured at fair value:       &#10;Equities:       &#10;Multi-strategy funds  $52,919   $52,919   $-   $-    &#10;Fixed income funds:       &#10;Bonds  117,535   41,482   76,053   -   Not rated   1.28-6.58 years  Duration&#10;Money markets  28,519   28,519   -   -   Not rated   28-47 days  Weighted Average Maturity&#10;Total operating investments at fair value level  198,973   $122,920   $76,053   $-    &#10;Operating investments measured at NAV       &#10;Equities:  Multi-Strategy  15,706       &#10;Bank loans  18,587      Not rated   .30 years  Duration&#10;Total operating investments measured at NAV  34,293       &#10;Total operating investments measured at fair value plus NAV  233,266       &#10;State pool measured at amortized cost  52,796      Not rated  .69 years Duration&#10;Total operating investments  $286,062       &#10;       &#10;Deposits with Bond Trustees:       &#10;Bonds and money markets  $34,203   $34,203   $-   $-   Not rated   28-47 days  Weighted Average Mat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29600" cy="3353887"/>
                    </a:xfrm>
                    <a:prstGeom prst="rect">
                      <a:avLst/>
                    </a:prstGeom>
                    <a:noFill/>
                    <a:ln>
                      <a:noFill/>
                    </a:ln>
                  </pic:spPr>
                </pic:pic>
              </a:graphicData>
            </a:graphic>
          </wp:inline>
        </w:drawing>
      </w:r>
      <w:r w:rsidR="00937971" w:rsidRPr="00937971" w:rsidDel="00937971">
        <w:t xml:space="preserve"> </w:t>
      </w:r>
      <w:r w:rsidR="00051D7E">
        <w:rPr>
          <w:rFonts w:eastAsia="Times New Roman" w:cstheme="minorHAnsi"/>
          <w:spacing w:val="-3"/>
          <w:sz w:val="24"/>
          <w:szCs w:val="20"/>
        </w:rPr>
        <w:fldChar w:fldCharType="begin"/>
      </w:r>
      <w:r w:rsidR="00051D7E">
        <w:rPr>
          <w:rFonts w:eastAsia="Times New Roman" w:cstheme="minorHAnsi"/>
          <w:spacing w:val="-3"/>
          <w:sz w:val="24"/>
          <w:szCs w:val="20"/>
        </w:rPr>
        <w:fldChar w:fldCharType="end"/>
      </w:r>
    </w:p>
    <w:p w14:paraId="3AB04C4E" w14:textId="77777777" w:rsidR="00051D7E" w:rsidRPr="00F54559" w:rsidRDefault="00051D7E" w:rsidP="00051D7E">
      <w:pPr>
        <w:tabs>
          <w:tab w:val="left" w:pos="720"/>
          <w:tab w:val="left" w:pos="1080"/>
          <w:tab w:val="decimal" w:pos="6786"/>
          <w:tab w:val="decimal" w:pos="9187"/>
        </w:tabs>
        <w:suppressAutoHyphens/>
        <w:spacing w:before="160" w:after="160"/>
        <w:rPr>
          <w:rFonts w:eastAsia="Times New Roman" w:cstheme="minorHAnsi"/>
          <w:color w:val="000000"/>
          <w:spacing w:val="-3"/>
          <w:sz w:val="24"/>
          <w:szCs w:val="20"/>
        </w:rPr>
        <w:sectPr w:rsidR="00051D7E" w:rsidRPr="00F54559" w:rsidSect="007531FB">
          <w:headerReference w:type="default" r:id="rId73"/>
          <w:footerReference w:type="default" r:id="rId74"/>
          <w:pgSz w:w="15840" w:h="12240" w:orient="landscape" w:code="1"/>
          <w:pgMar w:top="1440" w:right="1440" w:bottom="1440" w:left="1440" w:header="720" w:footer="720" w:gutter="0"/>
          <w:cols w:space="0"/>
          <w:docGrid w:linePitch="360"/>
        </w:sectPr>
      </w:pPr>
    </w:p>
    <w:p w14:paraId="186C2188" w14:textId="77777777" w:rsidR="00051D7E" w:rsidRDefault="00051D7E" w:rsidP="00051D7E">
      <w:pPr>
        <w:spacing w:after="160" w:line="259" w:lineRule="auto"/>
        <w:rPr>
          <w:rFonts w:eastAsia="Times New Roman" w:cstheme="minorHAnsi"/>
          <w:color w:val="000000"/>
          <w:spacing w:val="-3"/>
          <w:sz w:val="24"/>
          <w:szCs w:val="20"/>
        </w:rPr>
      </w:pPr>
      <w:r w:rsidRPr="00F54559">
        <w:rPr>
          <w:rFonts w:cstheme="minorHAnsi"/>
          <w:b/>
          <w:i/>
          <w:noProof/>
          <w:sz w:val="26"/>
          <w:szCs w:val="26"/>
        </w:rPr>
        <w:lastRenderedPageBreak/>
        <w:t>3. INVESTMENTS - CONTINUED</w:t>
      </w:r>
    </w:p>
    <w:p w14:paraId="59CE3894" w14:textId="77777777" w:rsidR="00E117A0" w:rsidRDefault="00051D7E" w:rsidP="00954D00">
      <w:pPr>
        <w:spacing w:after="160" w:line="259" w:lineRule="auto"/>
        <w:rPr>
          <w:rFonts w:eastAsia="Times New Roman" w:cstheme="minorHAnsi"/>
          <w:spacing w:val="-3"/>
          <w:sz w:val="24"/>
          <w:szCs w:val="20"/>
        </w:rPr>
      </w:pPr>
      <w:r w:rsidRPr="00F54559">
        <w:rPr>
          <w:rFonts w:eastAsia="Times New Roman" w:cstheme="minorHAnsi"/>
          <w:color w:val="000000"/>
          <w:spacing w:val="-3"/>
          <w:sz w:val="24"/>
          <w:szCs w:val="20"/>
        </w:rPr>
        <w:t xml:space="preserve">The </w:t>
      </w:r>
      <w:r w:rsidRPr="00F54559">
        <w:rPr>
          <w:rFonts w:eastAsia="Times New Roman" w:cstheme="minorHAnsi"/>
          <w:b/>
          <w:color w:val="000000"/>
          <w:spacing w:val="-3"/>
          <w:sz w:val="24"/>
          <w:szCs w:val="20"/>
        </w:rPr>
        <w:t xml:space="preserve">System’s </w:t>
      </w:r>
      <w:r>
        <w:rPr>
          <w:rFonts w:eastAsia="Times New Roman" w:cstheme="minorHAnsi"/>
          <w:b/>
          <w:color w:val="000000"/>
          <w:spacing w:val="-3"/>
          <w:sz w:val="24"/>
          <w:szCs w:val="20"/>
        </w:rPr>
        <w:t xml:space="preserve">DB Plan and MIP </w:t>
      </w:r>
      <w:r w:rsidRPr="00F54559">
        <w:rPr>
          <w:rFonts w:eastAsia="Times New Roman" w:cstheme="minorHAnsi"/>
          <w:b/>
          <w:color w:val="000000"/>
          <w:spacing w:val="-3"/>
          <w:sz w:val="24"/>
          <w:szCs w:val="20"/>
        </w:rPr>
        <w:t>investment</w:t>
      </w:r>
      <w:r>
        <w:rPr>
          <w:rFonts w:eastAsia="Times New Roman" w:cstheme="minorHAnsi"/>
          <w:b/>
          <w:color w:val="000000"/>
          <w:spacing w:val="-3"/>
          <w:sz w:val="24"/>
          <w:szCs w:val="20"/>
        </w:rPr>
        <w:t>s</w:t>
      </w:r>
      <w:r>
        <w:rPr>
          <w:rFonts w:eastAsia="Times New Roman" w:cstheme="minorHAnsi"/>
          <w:color w:val="000000"/>
          <w:spacing w:val="-3"/>
          <w:sz w:val="24"/>
          <w:szCs w:val="20"/>
        </w:rPr>
        <w:t xml:space="preserve"> </w:t>
      </w:r>
      <w:r w:rsidRPr="00F54559">
        <w:rPr>
          <w:rFonts w:eastAsia="Times New Roman" w:cstheme="minorHAnsi"/>
          <w:color w:val="000000"/>
          <w:spacing w:val="-3"/>
          <w:sz w:val="24"/>
          <w:szCs w:val="20"/>
        </w:rPr>
        <w:t xml:space="preserve">were composed of the following at </w:t>
      </w:r>
      <w:r w:rsidRPr="00601B8C">
        <w:rPr>
          <w:rFonts w:eastAsia="Times New Roman" w:cstheme="minorHAnsi"/>
          <w:color w:val="000000"/>
          <w:spacing w:val="-3"/>
          <w:sz w:val="24"/>
          <w:szCs w:val="20"/>
        </w:rPr>
        <w:t>June 30</w:t>
      </w:r>
      <w:r w:rsidRPr="00601B8C">
        <w:rPr>
          <w:rFonts w:eastAsia="Times New Roman" w:cstheme="minorHAnsi"/>
          <w:spacing w:val="-3"/>
          <w:sz w:val="24"/>
          <w:szCs w:val="20"/>
        </w:rPr>
        <w:t>, 202</w:t>
      </w:r>
      <w:r>
        <w:rPr>
          <w:rFonts w:eastAsia="Times New Roman" w:cstheme="minorHAnsi"/>
          <w:spacing w:val="-3"/>
          <w:sz w:val="24"/>
          <w:szCs w:val="20"/>
        </w:rPr>
        <w:t>1</w:t>
      </w:r>
      <w:r w:rsidRPr="00F54559">
        <w:rPr>
          <w:rFonts w:eastAsia="Times New Roman" w:cstheme="minorHAnsi"/>
          <w:spacing w:val="-3"/>
          <w:sz w:val="24"/>
          <w:szCs w:val="20"/>
        </w:rPr>
        <w:t>:</w:t>
      </w:r>
    </w:p>
    <w:p w14:paraId="027319FD" w14:textId="0F587C37" w:rsidR="00051D7E" w:rsidRPr="00F54559" w:rsidRDefault="002F616B" w:rsidP="00954D00">
      <w:pPr>
        <w:spacing w:after="160" w:line="259" w:lineRule="auto"/>
        <w:rPr>
          <w:rFonts w:eastAsiaTheme="majorEastAsia" w:cstheme="minorHAnsi"/>
          <w:b/>
          <w:i/>
          <w:iCs/>
          <w:smallCaps/>
          <w:noProof/>
          <w:color w:val="000000" w:themeColor="text1"/>
          <w:sz w:val="26"/>
          <w:szCs w:val="26"/>
        </w:rPr>
        <w:sectPr w:rsidR="00051D7E" w:rsidRPr="00F54559" w:rsidSect="007531FB">
          <w:pgSz w:w="15840" w:h="12240" w:orient="landscape" w:code="1"/>
          <w:pgMar w:top="1440" w:right="1440" w:bottom="1440" w:left="1440" w:header="720" w:footer="720" w:gutter="0"/>
          <w:cols w:space="0"/>
          <w:docGrid w:linePitch="360"/>
        </w:sectPr>
      </w:pPr>
      <w:r w:rsidRPr="002F616B">
        <w:rPr>
          <w:noProof/>
        </w:rPr>
        <w:drawing>
          <wp:inline distT="0" distB="0" distL="0" distR="0" wp14:anchorId="2242D948" wp14:editId="2EFB4CBE">
            <wp:extent cx="7092950" cy="5160010"/>
            <wp:effectExtent l="0" t="0" r="0" b="2540"/>
            <wp:docPr id="18" name="Picture 18" descr="   Fair Value Measurements Using:    Credit  &#10;  Total   Level 1   Level 2   Level 3   Rating   Interest Rate Risk  &#10;Investments measured at fair value:       &#10;Equities:       &#10;Equity securities  $13,600   $13,600   $-   $-    &#10;Equity funds  51,613   51,613   -   -    &#10;Multi-strategy funds  31,396   31,396   -   -   Not rated   Not rated  &#10;Fixed income funds:       &#10;Money markets  2,490   2,490   -   -   Not rated   27 days  Weighted Average Maturity&#10;Bonds  60,494   60,494   -   -   Not rated  1.28-7.5 years Duration&#10;Real assets  2,161   -   -   2,161   Not rated   Not rated  &#10;Total DB Plan and MIP investments at fair value level  161,754   $159,593   $-   $2,161    &#10;Investments measured at NAV:       &#10;Equity securities  92,541       &#10;Equity funds  118,188       &#10;Multi-strategy funds  33,770       &#10;Fixed income funds - bonds  41,177       &#10;Bank loans  21,602      Not rated  0.3 years Duration&#10;Total DB Plan and MIP investments measured at NAV  307,278       &#10;Total DB Plan and MIP investments  $469,032       &#10;Breakdown of above investments by portfolio:       &#10;DB Plan at fair value level  $13,917   $11,756   $-   $2,161    &#10;DB Plan at NAV  11,374       &#10;Total DB Plan Investments  $25,291       &#10;MIP held on behalf of outside entities at fair level  $82,367   $82,367   $-   $-    &#10;MIP held on behalf of outside entities at NAV  164,861       &#10;Total MIP held on behalf of outside entities  $247,228       &#10;Fiduciary Funds held in Endowment Pool at fair value level  $11,724   $11,724   $-   $-    &#10;Fiduciary Funds held in Endowment Pool at NAV  23,466       &#10;Total Fiduciary Funds  $35,190       &#10;Endowment pool investments included in the MIP at fair value  $53,746   $53,746   $-   $-    &#10;Endowment pool investments included in the MIP at NAV  107,577       &#10;Total endowment pool investments included in the MIP  161,323       &#10;Endowment investments - separately invested  4,989   $4,989   $-   $-    &#10;Total endowment investments  $16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13261" cy="5174786"/>
                    </a:xfrm>
                    <a:prstGeom prst="rect">
                      <a:avLst/>
                    </a:prstGeom>
                    <a:noFill/>
                    <a:ln>
                      <a:noFill/>
                    </a:ln>
                  </pic:spPr>
                </pic:pic>
              </a:graphicData>
            </a:graphic>
          </wp:inline>
        </w:drawing>
      </w:r>
      <w:r w:rsidR="00051D7E">
        <w:rPr>
          <w:rFonts w:eastAsia="Times New Roman" w:cstheme="minorHAnsi"/>
          <w:spacing w:val="-3"/>
          <w:sz w:val="24"/>
          <w:szCs w:val="20"/>
        </w:rPr>
        <w:fldChar w:fldCharType="begin"/>
      </w:r>
      <w:r w:rsidR="00051D7E">
        <w:rPr>
          <w:rFonts w:eastAsia="Times New Roman" w:cstheme="minorHAnsi"/>
          <w:spacing w:val="-3"/>
          <w:sz w:val="24"/>
          <w:szCs w:val="20"/>
        </w:rPr>
        <w:fldChar w:fldCharType="end"/>
      </w:r>
    </w:p>
    <w:p w14:paraId="14B8B5E9" w14:textId="77777777" w:rsidR="00051D7E" w:rsidRPr="00F54559" w:rsidRDefault="00051D7E" w:rsidP="00051D7E">
      <w:pPr>
        <w:spacing w:after="160"/>
        <w:rPr>
          <w:rFonts w:eastAsiaTheme="majorEastAsia" w:cstheme="minorHAnsi"/>
          <w:b/>
          <w:i/>
          <w:iCs/>
          <w:smallCaps/>
          <w:noProof/>
          <w:color w:val="000000" w:themeColor="text1"/>
          <w:sz w:val="26"/>
          <w:szCs w:val="26"/>
        </w:rPr>
      </w:pPr>
      <w:r w:rsidRPr="00F54559">
        <w:rPr>
          <w:rFonts w:eastAsiaTheme="majorEastAsia" w:cstheme="minorHAnsi"/>
          <w:b/>
          <w:i/>
          <w:iCs/>
          <w:smallCaps/>
          <w:noProof/>
          <w:color w:val="000000" w:themeColor="text1"/>
          <w:sz w:val="26"/>
          <w:szCs w:val="26"/>
        </w:rPr>
        <w:lastRenderedPageBreak/>
        <w:t>3. INVESTMENTS - CONTINUED</w:t>
      </w:r>
    </w:p>
    <w:p w14:paraId="0D276B90" w14:textId="77777777" w:rsidR="00051D7E" w:rsidRDefault="00051D7E" w:rsidP="00051D7E">
      <w:pPr>
        <w:rPr>
          <w:rFonts w:eastAsia="Times New Roman" w:cstheme="minorHAnsi"/>
          <w:color w:val="FF0000"/>
          <w:spacing w:val="-3"/>
          <w:sz w:val="24"/>
          <w:szCs w:val="20"/>
        </w:rPr>
      </w:pPr>
      <w:r w:rsidRPr="00F54559">
        <w:rPr>
          <w:rFonts w:cstheme="minorHAnsi"/>
          <w:sz w:val="24"/>
        </w:rPr>
        <w:t xml:space="preserve">Additional disclosures for </w:t>
      </w:r>
      <w:r w:rsidRPr="00F54559">
        <w:rPr>
          <w:rFonts w:cstheme="minorHAnsi"/>
          <w:b/>
          <w:sz w:val="24"/>
        </w:rPr>
        <w:t xml:space="preserve">System investments, </w:t>
      </w:r>
      <w:r w:rsidRPr="00F54559">
        <w:rPr>
          <w:rFonts w:cstheme="minorHAnsi"/>
          <w:sz w:val="24"/>
        </w:rPr>
        <w:t xml:space="preserve">including the </w:t>
      </w:r>
      <w:r>
        <w:rPr>
          <w:rFonts w:cstheme="minorHAnsi"/>
          <w:sz w:val="24"/>
        </w:rPr>
        <w:t xml:space="preserve">DB Plan and </w:t>
      </w:r>
      <w:r w:rsidRPr="00F54559">
        <w:rPr>
          <w:rFonts w:cstheme="minorHAnsi"/>
          <w:sz w:val="24"/>
        </w:rPr>
        <w:t xml:space="preserve">MIP, measured at NAV at June 30, </w:t>
      </w:r>
      <w:r>
        <w:rPr>
          <w:rFonts w:cstheme="minorHAnsi"/>
          <w:sz w:val="24"/>
        </w:rPr>
        <w:t>2021</w:t>
      </w:r>
      <w:r w:rsidRPr="00F54559">
        <w:rPr>
          <w:rFonts w:cstheme="minorHAnsi"/>
          <w:sz w:val="24"/>
        </w:rPr>
        <w:t>:</w:t>
      </w:r>
      <w:r w:rsidRPr="00BF3BD5">
        <w:rPr>
          <w:rFonts w:eastAsia="Times New Roman" w:cstheme="minorHAnsi"/>
          <w:color w:val="FF0000"/>
          <w:spacing w:val="-3"/>
          <w:sz w:val="24"/>
          <w:szCs w:val="20"/>
        </w:rPr>
        <w:t xml:space="preserve"> </w:t>
      </w:r>
    </w:p>
    <w:p w14:paraId="58D75A03" w14:textId="77777777" w:rsidR="00563CED" w:rsidRDefault="00937971" w:rsidP="00051D7E">
      <w:pPr>
        <w:rPr>
          <w:rFonts w:eastAsia="Times New Roman" w:cstheme="minorHAnsi"/>
          <w:color w:val="FF0000"/>
          <w:spacing w:val="-3"/>
          <w:sz w:val="24"/>
          <w:szCs w:val="20"/>
        </w:rPr>
      </w:pPr>
      <w:r w:rsidRPr="00937971">
        <w:rPr>
          <w:rFonts w:eastAsia="Times New Roman" w:cstheme="minorHAnsi"/>
          <w:color w:val="FF0000"/>
          <w:spacing w:val="-3"/>
          <w:sz w:val="24"/>
          <w:szCs w:val="20"/>
        </w:rPr>
        <w:t xml:space="preserve"> </w:t>
      </w:r>
    </w:p>
    <w:tbl>
      <w:tblPr>
        <w:tblW w:w="9360" w:type="dxa"/>
        <w:tblLook w:val="04A0" w:firstRow="1" w:lastRow="0" w:firstColumn="1" w:lastColumn="0" w:noHBand="0" w:noVBand="1"/>
      </w:tblPr>
      <w:tblGrid>
        <w:gridCol w:w="4907"/>
        <w:gridCol w:w="1050"/>
        <w:gridCol w:w="1767"/>
        <w:gridCol w:w="1636"/>
      </w:tblGrid>
      <w:tr w:rsidR="00563CED" w:rsidRPr="00BA36D0" w14:paraId="197F1554" w14:textId="77777777" w:rsidTr="00A23D24">
        <w:trPr>
          <w:trHeight w:val="840"/>
        </w:trPr>
        <w:tc>
          <w:tcPr>
            <w:tcW w:w="4907" w:type="dxa"/>
            <w:tcBorders>
              <w:top w:val="nil"/>
              <w:left w:val="nil"/>
              <w:bottom w:val="single" w:sz="12" w:space="0" w:color="00688D"/>
              <w:right w:val="nil"/>
            </w:tcBorders>
            <w:shd w:val="clear" w:color="000000" w:fill="FFFFFF"/>
            <w:noWrap/>
            <w:vAlign w:val="bottom"/>
            <w:hideMark/>
          </w:tcPr>
          <w:p w14:paraId="58A50D9D" w14:textId="77777777" w:rsidR="00563CED" w:rsidRPr="00BA36D0" w:rsidRDefault="00563CED" w:rsidP="008C09B8">
            <w:pP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 </w:t>
            </w:r>
          </w:p>
        </w:tc>
        <w:tc>
          <w:tcPr>
            <w:tcW w:w="1050" w:type="dxa"/>
            <w:tcBorders>
              <w:top w:val="nil"/>
              <w:left w:val="nil"/>
              <w:bottom w:val="single" w:sz="12" w:space="0" w:color="00688D"/>
              <w:right w:val="nil"/>
            </w:tcBorders>
            <w:shd w:val="clear" w:color="000000" w:fill="FFFFFF"/>
            <w:vAlign w:val="bottom"/>
            <w:hideMark/>
          </w:tcPr>
          <w:p w14:paraId="4F0828C9" w14:textId="77777777" w:rsidR="00563CED" w:rsidRPr="00BA36D0" w:rsidRDefault="00563CED" w:rsidP="008C09B8">
            <w:pPr>
              <w:jc w:val="cente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Fair</w:t>
            </w:r>
            <w:r w:rsidRPr="00BA36D0">
              <w:rPr>
                <w:rFonts w:ascii="Calibri" w:eastAsia="Times New Roman" w:hAnsi="Calibri" w:cs="Calibri"/>
                <w:b/>
                <w:bCs/>
                <w:color w:val="0D0D0D"/>
                <w:sz w:val="18"/>
                <w:szCs w:val="20"/>
              </w:rPr>
              <w:br/>
              <w:t xml:space="preserve">Value </w:t>
            </w:r>
          </w:p>
        </w:tc>
        <w:tc>
          <w:tcPr>
            <w:tcW w:w="1767" w:type="dxa"/>
            <w:tcBorders>
              <w:top w:val="nil"/>
              <w:left w:val="nil"/>
              <w:bottom w:val="single" w:sz="12" w:space="0" w:color="00688D"/>
              <w:right w:val="nil"/>
            </w:tcBorders>
            <w:shd w:val="clear" w:color="000000" w:fill="FFFFFF"/>
            <w:vAlign w:val="bottom"/>
            <w:hideMark/>
          </w:tcPr>
          <w:p w14:paraId="07117E51" w14:textId="77777777" w:rsidR="00563CED" w:rsidRPr="00BA36D0" w:rsidRDefault="00563CED" w:rsidP="008C09B8">
            <w:pPr>
              <w:jc w:val="cente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Redemption</w:t>
            </w:r>
            <w:r w:rsidRPr="00BA36D0">
              <w:rPr>
                <w:rFonts w:ascii="Calibri" w:eastAsia="Times New Roman" w:hAnsi="Calibri" w:cs="Calibri"/>
                <w:b/>
                <w:bCs/>
                <w:color w:val="0D0D0D"/>
                <w:sz w:val="18"/>
                <w:szCs w:val="20"/>
              </w:rPr>
              <w:br/>
              <w:t>Frequency (If</w:t>
            </w:r>
            <w:r w:rsidRPr="00BA36D0">
              <w:rPr>
                <w:rFonts w:ascii="Calibri" w:eastAsia="Times New Roman" w:hAnsi="Calibri" w:cs="Calibri"/>
                <w:b/>
                <w:bCs/>
                <w:color w:val="0D0D0D"/>
                <w:sz w:val="18"/>
                <w:szCs w:val="20"/>
              </w:rPr>
              <w:br/>
              <w:t xml:space="preserve">Currently Eligible) </w:t>
            </w:r>
          </w:p>
        </w:tc>
        <w:tc>
          <w:tcPr>
            <w:tcW w:w="1636" w:type="dxa"/>
            <w:tcBorders>
              <w:top w:val="nil"/>
              <w:left w:val="nil"/>
              <w:bottom w:val="single" w:sz="12" w:space="0" w:color="00688D"/>
              <w:right w:val="nil"/>
            </w:tcBorders>
            <w:shd w:val="clear" w:color="000000" w:fill="FFFFFF"/>
            <w:vAlign w:val="bottom"/>
            <w:hideMark/>
          </w:tcPr>
          <w:p w14:paraId="45278DFE" w14:textId="77777777" w:rsidR="00563CED" w:rsidRPr="00BA36D0" w:rsidRDefault="00563CED" w:rsidP="008C09B8">
            <w:pPr>
              <w:jc w:val="cente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Redemption</w:t>
            </w:r>
            <w:r w:rsidRPr="00BA36D0">
              <w:rPr>
                <w:rFonts w:ascii="Calibri" w:eastAsia="Times New Roman" w:hAnsi="Calibri" w:cs="Calibri"/>
                <w:b/>
                <w:bCs/>
                <w:color w:val="0D0D0D"/>
                <w:sz w:val="18"/>
                <w:szCs w:val="20"/>
              </w:rPr>
              <w:br/>
              <w:t>Period</w:t>
            </w:r>
            <w:r w:rsidRPr="00BA36D0">
              <w:rPr>
                <w:rFonts w:ascii="Calibri" w:eastAsia="Times New Roman" w:hAnsi="Calibri" w:cs="Calibri"/>
                <w:b/>
                <w:bCs/>
                <w:color w:val="0D0D0D"/>
                <w:sz w:val="18"/>
                <w:szCs w:val="20"/>
              </w:rPr>
              <w:br/>
              <w:t xml:space="preserve">Notice </w:t>
            </w:r>
          </w:p>
        </w:tc>
      </w:tr>
      <w:tr w:rsidR="00563CED" w:rsidRPr="00BA36D0" w14:paraId="070EAC12" w14:textId="77777777" w:rsidTr="00A23D24">
        <w:trPr>
          <w:trHeight w:val="324"/>
        </w:trPr>
        <w:tc>
          <w:tcPr>
            <w:tcW w:w="4907" w:type="dxa"/>
            <w:tcBorders>
              <w:top w:val="nil"/>
              <w:left w:val="nil"/>
              <w:bottom w:val="nil"/>
              <w:right w:val="nil"/>
            </w:tcBorders>
            <w:shd w:val="clear" w:color="000000" w:fill="FFFFFF"/>
            <w:noWrap/>
            <w:vAlign w:val="bottom"/>
            <w:hideMark/>
          </w:tcPr>
          <w:p w14:paraId="3B61F901" w14:textId="77777777" w:rsidR="00563CED" w:rsidRPr="00BA36D0" w:rsidRDefault="00563CED" w:rsidP="008C09B8">
            <w:pP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Operating Investments measured at NAV:</w:t>
            </w:r>
          </w:p>
        </w:tc>
        <w:tc>
          <w:tcPr>
            <w:tcW w:w="1050" w:type="dxa"/>
            <w:tcBorders>
              <w:top w:val="nil"/>
              <w:left w:val="nil"/>
              <w:bottom w:val="nil"/>
              <w:right w:val="nil"/>
            </w:tcBorders>
            <w:shd w:val="clear" w:color="000000" w:fill="FFFFFF"/>
            <w:noWrap/>
            <w:vAlign w:val="bottom"/>
            <w:hideMark/>
          </w:tcPr>
          <w:p w14:paraId="389A6BC3" w14:textId="77777777" w:rsidR="00563CED" w:rsidRPr="00BA36D0" w:rsidRDefault="00563CED" w:rsidP="008C09B8">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767" w:type="dxa"/>
            <w:tcBorders>
              <w:top w:val="nil"/>
              <w:left w:val="nil"/>
              <w:bottom w:val="nil"/>
              <w:right w:val="nil"/>
            </w:tcBorders>
            <w:shd w:val="clear" w:color="000000" w:fill="FFFFFF"/>
            <w:noWrap/>
            <w:vAlign w:val="bottom"/>
            <w:hideMark/>
          </w:tcPr>
          <w:p w14:paraId="1724EDDC"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7EC5D87A"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563CED" w:rsidRPr="00BA36D0" w14:paraId="74B1CE35" w14:textId="77777777" w:rsidTr="00A23D24">
        <w:trPr>
          <w:trHeight w:val="312"/>
        </w:trPr>
        <w:tc>
          <w:tcPr>
            <w:tcW w:w="4907" w:type="dxa"/>
            <w:tcBorders>
              <w:top w:val="nil"/>
              <w:left w:val="nil"/>
              <w:bottom w:val="nil"/>
              <w:right w:val="nil"/>
            </w:tcBorders>
            <w:shd w:val="clear" w:color="000000" w:fill="FFFFFF"/>
            <w:noWrap/>
            <w:vAlign w:val="bottom"/>
            <w:hideMark/>
          </w:tcPr>
          <w:p w14:paraId="58EBE9CE" w14:textId="77777777" w:rsidR="00563CED" w:rsidRPr="00BA36D0" w:rsidRDefault="00563CED" w:rsidP="008C09B8">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Equities:  Multi-strategy</w:t>
            </w:r>
            <w:r w:rsidRPr="00BA36D0">
              <w:rPr>
                <w:rFonts w:ascii="Calibri" w:eastAsia="Times New Roman" w:hAnsi="Calibri" w:cs="Calibri"/>
                <w:color w:val="0D0D0D"/>
                <w:sz w:val="18"/>
                <w:szCs w:val="20"/>
                <w:vertAlign w:val="superscript"/>
              </w:rPr>
              <w:t xml:space="preserve"> ₁</w:t>
            </w:r>
          </w:p>
        </w:tc>
        <w:tc>
          <w:tcPr>
            <w:tcW w:w="1050" w:type="dxa"/>
            <w:tcBorders>
              <w:top w:val="nil"/>
              <w:left w:val="nil"/>
              <w:bottom w:val="nil"/>
              <w:right w:val="nil"/>
            </w:tcBorders>
            <w:shd w:val="clear" w:color="000000" w:fill="FFFFFF"/>
            <w:noWrap/>
            <w:vAlign w:val="bottom"/>
            <w:hideMark/>
          </w:tcPr>
          <w:p w14:paraId="6D7577AC" w14:textId="77777777" w:rsidR="00563CED" w:rsidRPr="00BA36D0" w:rsidRDefault="00563CED" w:rsidP="008C09B8">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   15,706 </w:t>
            </w:r>
          </w:p>
        </w:tc>
        <w:tc>
          <w:tcPr>
            <w:tcW w:w="1767" w:type="dxa"/>
            <w:tcBorders>
              <w:top w:val="nil"/>
              <w:left w:val="nil"/>
              <w:bottom w:val="nil"/>
              <w:right w:val="nil"/>
            </w:tcBorders>
            <w:shd w:val="clear" w:color="000000" w:fill="FFFFFF"/>
            <w:noWrap/>
            <w:vAlign w:val="bottom"/>
            <w:hideMark/>
          </w:tcPr>
          <w:p w14:paraId="4E7CFAA5"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Quarterly, Monthly</w:t>
            </w:r>
          </w:p>
        </w:tc>
        <w:tc>
          <w:tcPr>
            <w:tcW w:w="1636" w:type="dxa"/>
            <w:tcBorders>
              <w:top w:val="nil"/>
              <w:left w:val="nil"/>
              <w:bottom w:val="nil"/>
              <w:right w:val="nil"/>
            </w:tcBorders>
            <w:shd w:val="clear" w:color="000000" w:fill="FFFFFF"/>
            <w:noWrap/>
            <w:vAlign w:val="bottom"/>
            <w:hideMark/>
          </w:tcPr>
          <w:p w14:paraId="2BA85AD8"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60, 90 days</w:t>
            </w:r>
          </w:p>
        </w:tc>
      </w:tr>
      <w:tr w:rsidR="00563CED" w:rsidRPr="00BA36D0" w14:paraId="5456326E" w14:textId="77777777" w:rsidTr="00A23D24">
        <w:trPr>
          <w:trHeight w:val="312"/>
        </w:trPr>
        <w:tc>
          <w:tcPr>
            <w:tcW w:w="4907" w:type="dxa"/>
            <w:tcBorders>
              <w:top w:val="nil"/>
              <w:left w:val="nil"/>
              <w:bottom w:val="single" w:sz="4" w:space="0" w:color="00688D"/>
              <w:right w:val="nil"/>
            </w:tcBorders>
            <w:shd w:val="clear" w:color="000000" w:fill="FFFFFF"/>
            <w:noWrap/>
            <w:vAlign w:val="bottom"/>
            <w:hideMark/>
          </w:tcPr>
          <w:p w14:paraId="6440BADE" w14:textId="77777777" w:rsidR="00563CED" w:rsidRPr="00BA36D0" w:rsidRDefault="00563CED" w:rsidP="008C09B8">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Bank loans </w:t>
            </w:r>
            <w:r w:rsidRPr="00BA36D0">
              <w:rPr>
                <w:rFonts w:ascii="Calibri" w:eastAsia="Times New Roman" w:hAnsi="Calibri" w:cs="Calibri"/>
                <w:color w:val="0D0D0D"/>
                <w:sz w:val="18"/>
                <w:szCs w:val="20"/>
                <w:vertAlign w:val="superscript"/>
              </w:rPr>
              <w:t>₂</w:t>
            </w:r>
          </w:p>
        </w:tc>
        <w:tc>
          <w:tcPr>
            <w:tcW w:w="1050" w:type="dxa"/>
            <w:tcBorders>
              <w:top w:val="nil"/>
              <w:left w:val="nil"/>
              <w:bottom w:val="single" w:sz="4" w:space="0" w:color="00688D"/>
              <w:right w:val="nil"/>
            </w:tcBorders>
            <w:shd w:val="clear" w:color="000000" w:fill="FFFFFF"/>
            <w:noWrap/>
            <w:vAlign w:val="bottom"/>
            <w:hideMark/>
          </w:tcPr>
          <w:p w14:paraId="224DBAFB" w14:textId="77777777" w:rsidR="00563CED" w:rsidRPr="00BA36D0" w:rsidRDefault="00563CED" w:rsidP="008C09B8">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18,587 </w:t>
            </w:r>
          </w:p>
        </w:tc>
        <w:tc>
          <w:tcPr>
            <w:tcW w:w="1767" w:type="dxa"/>
            <w:tcBorders>
              <w:top w:val="nil"/>
              <w:left w:val="nil"/>
              <w:bottom w:val="nil"/>
              <w:right w:val="nil"/>
            </w:tcBorders>
            <w:shd w:val="clear" w:color="000000" w:fill="FFFFFF"/>
            <w:noWrap/>
            <w:vAlign w:val="bottom"/>
            <w:hideMark/>
          </w:tcPr>
          <w:p w14:paraId="1B0AEAFB"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Bi-monthly</w:t>
            </w:r>
          </w:p>
        </w:tc>
        <w:tc>
          <w:tcPr>
            <w:tcW w:w="1636" w:type="dxa"/>
            <w:tcBorders>
              <w:top w:val="nil"/>
              <w:left w:val="nil"/>
              <w:bottom w:val="nil"/>
              <w:right w:val="nil"/>
            </w:tcBorders>
            <w:shd w:val="clear" w:color="000000" w:fill="FFFFFF"/>
            <w:noWrap/>
            <w:vAlign w:val="bottom"/>
            <w:hideMark/>
          </w:tcPr>
          <w:p w14:paraId="0CE550B7"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15 days</w:t>
            </w:r>
          </w:p>
        </w:tc>
      </w:tr>
      <w:tr w:rsidR="00563CED" w:rsidRPr="00BA36D0" w14:paraId="5F15C69A" w14:textId="77777777" w:rsidTr="00A23D24">
        <w:trPr>
          <w:trHeight w:val="324"/>
        </w:trPr>
        <w:tc>
          <w:tcPr>
            <w:tcW w:w="4907" w:type="dxa"/>
            <w:tcBorders>
              <w:top w:val="nil"/>
              <w:left w:val="nil"/>
              <w:bottom w:val="double" w:sz="6" w:space="0" w:color="00688D"/>
              <w:right w:val="nil"/>
            </w:tcBorders>
            <w:shd w:val="clear" w:color="000000" w:fill="FFFFFF"/>
            <w:noWrap/>
            <w:vAlign w:val="bottom"/>
            <w:hideMark/>
          </w:tcPr>
          <w:p w14:paraId="09D97769" w14:textId="77777777" w:rsidR="00563CED" w:rsidRPr="00BA36D0" w:rsidRDefault="00563CED" w:rsidP="008C09B8">
            <w:pP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Total operating investments measured at NAV</w:t>
            </w:r>
          </w:p>
        </w:tc>
        <w:tc>
          <w:tcPr>
            <w:tcW w:w="1050" w:type="dxa"/>
            <w:tcBorders>
              <w:top w:val="nil"/>
              <w:left w:val="nil"/>
              <w:bottom w:val="double" w:sz="6" w:space="0" w:color="00688D"/>
              <w:right w:val="nil"/>
            </w:tcBorders>
            <w:shd w:val="clear" w:color="000000" w:fill="FFFFFF"/>
            <w:noWrap/>
            <w:vAlign w:val="bottom"/>
            <w:hideMark/>
          </w:tcPr>
          <w:p w14:paraId="76C6BBA0" w14:textId="77777777" w:rsidR="00563CED" w:rsidRPr="00BA36D0" w:rsidRDefault="00563CED" w:rsidP="008C09B8">
            <w:pPr>
              <w:jc w:val="right"/>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 xml:space="preserve">$   34,293 </w:t>
            </w:r>
          </w:p>
        </w:tc>
        <w:tc>
          <w:tcPr>
            <w:tcW w:w="1767" w:type="dxa"/>
            <w:tcBorders>
              <w:top w:val="nil"/>
              <w:left w:val="nil"/>
              <w:bottom w:val="nil"/>
              <w:right w:val="nil"/>
            </w:tcBorders>
            <w:shd w:val="clear" w:color="000000" w:fill="FFFFFF"/>
            <w:noWrap/>
            <w:vAlign w:val="bottom"/>
            <w:hideMark/>
          </w:tcPr>
          <w:p w14:paraId="4118EA14"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73D8CBF7"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563CED" w:rsidRPr="00BA36D0" w14:paraId="64E85416" w14:textId="77777777" w:rsidTr="00A23D24">
        <w:trPr>
          <w:trHeight w:val="675"/>
        </w:trPr>
        <w:tc>
          <w:tcPr>
            <w:tcW w:w="4907" w:type="dxa"/>
            <w:tcBorders>
              <w:top w:val="nil"/>
              <w:left w:val="nil"/>
              <w:bottom w:val="nil"/>
              <w:right w:val="nil"/>
            </w:tcBorders>
            <w:shd w:val="clear" w:color="000000" w:fill="FFFFFF"/>
            <w:noWrap/>
            <w:vAlign w:val="bottom"/>
            <w:hideMark/>
          </w:tcPr>
          <w:p w14:paraId="6AE9AFE6" w14:textId="77777777" w:rsidR="00A23D24" w:rsidRDefault="00A23D24" w:rsidP="00A23D24">
            <w:pP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Investments measured at NAV:</w:t>
            </w:r>
          </w:p>
          <w:p w14:paraId="7B153767" w14:textId="6CFE17F3" w:rsidR="00563CED" w:rsidRPr="00BA36D0" w:rsidRDefault="00563CED" w:rsidP="008C09B8">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Equity securities</w:t>
            </w:r>
          </w:p>
        </w:tc>
        <w:tc>
          <w:tcPr>
            <w:tcW w:w="1050" w:type="dxa"/>
            <w:tcBorders>
              <w:top w:val="nil"/>
              <w:left w:val="nil"/>
              <w:bottom w:val="nil"/>
              <w:right w:val="nil"/>
            </w:tcBorders>
            <w:shd w:val="clear" w:color="000000" w:fill="FFFFFF"/>
            <w:noWrap/>
            <w:vAlign w:val="bottom"/>
            <w:hideMark/>
          </w:tcPr>
          <w:p w14:paraId="77FB538A" w14:textId="77777777" w:rsidR="00563CED" w:rsidRPr="00BA36D0" w:rsidRDefault="00563CED" w:rsidP="008C09B8">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   92,541 </w:t>
            </w:r>
          </w:p>
        </w:tc>
        <w:tc>
          <w:tcPr>
            <w:tcW w:w="1767" w:type="dxa"/>
            <w:tcBorders>
              <w:top w:val="nil"/>
              <w:left w:val="nil"/>
              <w:bottom w:val="nil"/>
              <w:right w:val="nil"/>
            </w:tcBorders>
            <w:shd w:val="clear" w:color="000000" w:fill="FFFFFF"/>
            <w:noWrap/>
            <w:vAlign w:val="bottom"/>
            <w:hideMark/>
          </w:tcPr>
          <w:p w14:paraId="7FC0CF56"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Monthly</w:t>
            </w:r>
          </w:p>
        </w:tc>
        <w:tc>
          <w:tcPr>
            <w:tcW w:w="1636" w:type="dxa"/>
            <w:tcBorders>
              <w:top w:val="nil"/>
              <w:left w:val="nil"/>
              <w:bottom w:val="nil"/>
              <w:right w:val="nil"/>
            </w:tcBorders>
            <w:shd w:val="clear" w:color="000000" w:fill="FFFFFF"/>
            <w:noWrap/>
            <w:vAlign w:val="bottom"/>
            <w:hideMark/>
          </w:tcPr>
          <w:p w14:paraId="22DF2056"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30 days</w:t>
            </w:r>
          </w:p>
        </w:tc>
      </w:tr>
      <w:tr w:rsidR="00563CED" w:rsidRPr="00BA36D0" w14:paraId="162C30C0" w14:textId="77777777" w:rsidTr="00A23D24">
        <w:trPr>
          <w:trHeight w:val="312"/>
        </w:trPr>
        <w:tc>
          <w:tcPr>
            <w:tcW w:w="4907" w:type="dxa"/>
            <w:tcBorders>
              <w:top w:val="nil"/>
              <w:left w:val="nil"/>
              <w:bottom w:val="nil"/>
              <w:right w:val="nil"/>
            </w:tcBorders>
            <w:shd w:val="clear" w:color="000000" w:fill="FFFFFF"/>
            <w:noWrap/>
            <w:vAlign w:val="bottom"/>
            <w:hideMark/>
          </w:tcPr>
          <w:p w14:paraId="3FEECFD2" w14:textId="77777777" w:rsidR="00563CED" w:rsidRPr="00BA36D0" w:rsidRDefault="00563CED" w:rsidP="008C09B8">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Equity funds</w:t>
            </w:r>
          </w:p>
        </w:tc>
        <w:tc>
          <w:tcPr>
            <w:tcW w:w="1050" w:type="dxa"/>
            <w:tcBorders>
              <w:top w:val="nil"/>
              <w:left w:val="nil"/>
              <w:bottom w:val="nil"/>
              <w:right w:val="nil"/>
            </w:tcBorders>
            <w:shd w:val="clear" w:color="000000" w:fill="FFFFFF"/>
            <w:noWrap/>
            <w:vAlign w:val="bottom"/>
            <w:hideMark/>
          </w:tcPr>
          <w:p w14:paraId="47A7807B" w14:textId="77777777" w:rsidR="00563CED" w:rsidRPr="00BA36D0" w:rsidRDefault="00563CED" w:rsidP="008C09B8">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118,188 </w:t>
            </w:r>
          </w:p>
        </w:tc>
        <w:tc>
          <w:tcPr>
            <w:tcW w:w="1767" w:type="dxa"/>
            <w:tcBorders>
              <w:top w:val="nil"/>
              <w:left w:val="nil"/>
              <w:bottom w:val="nil"/>
              <w:right w:val="nil"/>
            </w:tcBorders>
            <w:shd w:val="clear" w:color="000000" w:fill="FFFFFF"/>
            <w:noWrap/>
            <w:vAlign w:val="bottom"/>
            <w:hideMark/>
          </w:tcPr>
          <w:p w14:paraId="7FF8DCAD"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Monthly</w:t>
            </w:r>
          </w:p>
        </w:tc>
        <w:tc>
          <w:tcPr>
            <w:tcW w:w="1636" w:type="dxa"/>
            <w:tcBorders>
              <w:top w:val="nil"/>
              <w:left w:val="nil"/>
              <w:bottom w:val="nil"/>
              <w:right w:val="nil"/>
            </w:tcBorders>
            <w:shd w:val="clear" w:color="000000" w:fill="FFFFFF"/>
            <w:noWrap/>
            <w:vAlign w:val="bottom"/>
            <w:hideMark/>
          </w:tcPr>
          <w:p w14:paraId="0936CB91"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30 days</w:t>
            </w:r>
          </w:p>
        </w:tc>
      </w:tr>
      <w:tr w:rsidR="00563CED" w:rsidRPr="00BA36D0" w14:paraId="0018F1B3" w14:textId="77777777" w:rsidTr="00A23D24">
        <w:trPr>
          <w:trHeight w:val="312"/>
        </w:trPr>
        <w:tc>
          <w:tcPr>
            <w:tcW w:w="4907" w:type="dxa"/>
            <w:tcBorders>
              <w:top w:val="nil"/>
              <w:left w:val="nil"/>
              <w:bottom w:val="nil"/>
              <w:right w:val="nil"/>
            </w:tcBorders>
            <w:shd w:val="clear" w:color="000000" w:fill="FFFFFF"/>
            <w:noWrap/>
            <w:vAlign w:val="bottom"/>
            <w:hideMark/>
          </w:tcPr>
          <w:p w14:paraId="3856FCA2" w14:textId="77777777" w:rsidR="00563CED" w:rsidRPr="00BA36D0" w:rsidRDefault="00563CED" w:rsidP="008C09B8">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Multi-strategy funds</w:t>
            </w:r>
            <w:r w:rsidRPr="00BA36D0">
              <w:rPr>
                <w:rFonts w:ascii="Calibri" w:eastAsia="Times New Roman" w:hAnsi="Calibri" w:cs="Calibri"/>
                <w:color w:val="0D0D0D"/>
                <w:sz w:val="18"/>
                <w:szCs w:val="20"/>
                <w:vertAlign w:val="superscript"/>
              </w:rPr>
              <w:t xml:space="preserve"> ₁</w:t>
            </w:r>
          </w:p>
        </w:tc>
        <w:tc>
          <w:tcPr>
            <w:tcW w:w="1050" w:type="dxa"/>
            <w:tcBorders>
              <w:top w:val="nil"/>
              <w:left w:val="nil"/>
              <w:bottom w:val="nil"/>
              <w:right w:val="nil"/>
            </w:tcBorders>
            <w:shd w:val="clear" w:color="000000" w:fill="FFFFFF"/>
            <w:noWrap/>
            <w:vAlign w:val="bottom"/>
            <w:hideMark/>
          </w:tcPr>
          <w:p w14:paraId="7C26A63E" w14:textId="77777777" w:rsidR="00563CED" w:rsidRPr="00BA36D0" w:rsidRDefault="00563CED" w:rsidP="008C09B8">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33,770 </w:t>
            </w:r>
          </w:p>
        </w:tc>
        <w:tc>
          <w:tcPr>
            <w:tcW w:w="1767" w:type="dxa"/>
            <w:tcBorders>
              <w:top w:val="nil"/>
              <w:left w:val="nil"/>
              <w:bottom w:val="nil"/>
              <w:right w:val="nil"/>
            </w:tcBorders>
            <w:shd w:val="clear" w:color="000000" w:fill="FFFFFF"/>
            <w:noWrap/>
            <w:vAlign w:val="bottom"/>
            <w:hideMark/>
          </w:tcPr>
          <w:p w14:paraId="71C49F18"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Quarterly, Monthly</w:t>
            </w:r>
          </w:p>
        </w:tc>
        <w:tc>
          <w:tcPr>
            <w:tcW w:w="1636" w:type="dxa"/>
            <w:tcBorders>
              <w:top w:val="nil"/>
              <w:left w:val="nil"/>
              <w:bottom w:val="nil"/>
              <w:right w:val="nil"/>
            </w:tcBorders>
            <w:shd w:val="clear" w:color="000000" w:fill="FFFFFF"/>
            <w:noWrap/>
            <w:vAlign w:val="bottom"/>
            <w:hideMark/>
          </w:tcPr>
          <w:p w14:paraId="1F183E40"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30, 45, 60, 90 days</w:t>
            </w:r>
          </w:p>
        </w:tc>
      </w:tr>
      <w:tr w:rsidR="00563CED" w:rsidRPr="00BA36D0" w14:paraId="1BDC1023" w14:textId="77777777" w:rsidTr="00A23D24">
        <w:trPr>
          <w:trHeight w:val="312"/>
        </w:trPr>
        <w:tc>
          <w:tcPr>
            <w:tcW w:w="4907" w:type="dxa"/>
            <w:tcBorders>
              <w:top w:val="nil"/>
              <w:left w:val="nil"/>
              <w:bottom w:val="nil"/>
              <w:right w:val="nil"/>
            </w:tcBorders>
            <w:shd w:val="clear" w:color="000000" w:fill="FFFFFF"/>
            <w:noWrap/>
            <w:vAlign w:val="bottom"/>
            <w:hideMark/>
          </w:tcPr>
          <w:p w14:paraId="57FD0856" w14:textId="77777777" w:rsidR="00563CED" w:rsidRPr="00BA36D0" w:rsidRDefault="00563CED" w:rsidP="008C09B8">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Fixed income funds - bonds</w:t>
            </w:r>
          </w:p>
        </w:tc>
        <w:tc>
          <w:tcPr>
            <w:tcW w:w="1050" w:type="dxa"/>
            <w:tcBorders>
              <w:top w:val="nil"/>
              <w:left w:val="nil"/>
              <w:bottom w:val="nil"/>
              <w:right w:val="nil"/>
            </w:tcBorders>
            <w:shd w:val="clear" w:color="000000" w:fill="FFFFFF"/>
            <w:noWrap/>
            <w:vAlign w:val="bottom"/>
            <w:hideMark/>
          </w:tcPr>
          <w:p w14:paraId="2135C0CF" w14:textId="77777777" w:rsidR="00563CED" w:rsidRPr="00BA36D0" w:rsidRDefault="00563CED" w:rsidP="008C09B8">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41,177 </w:t>
            </w:r>
          </w:p>
        </w:tc>
        <w:tc>
          <w:tcPr>
            <w:tcW w:w="1767" w:type="dxa"/>
            <w:tcBorders>
              <w:top w:val="nil"/>
              <w:left w:val="nil"/>
              <w:bottom w:val="nil"/>
              <w:right w:val="nil"/>
            </w:tcBorders>
            <w:shd w:val="clear" w:color="000000" w:fill="FFFFFF"/>
            <w:noWrap/>
            <w:vAlign w:val="bottom"/>
            <w:hideMark/>
          </w:tcPr>
          <w:p w14:paraId="26328617"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Monthly</w:t>
            </w:r>
          </w:p>
        </w:tc>
        <w:tc>
          <w:tcPr>
            <w:tcW w:w="1636" w:type="dxa"/>
            <w:tcBorders>
              <w:top w:val="nil"/>
              <w:left w:val="nil"/>
              <w:bottom w:val="nil"/>
              <w:right w:val="nil"/>
            </w:tcBorders>
            <w:shd w:val="clear" w:color="000000" w:fill="FFFFFF"/>
            <w:noWrap/>
            <w:vAlign w:val="bottom"/>
            <w:hideMark/>
          </w:tcPr>
          <w:p w14:paraId="7B4EDF5E"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5 days</w:t>
            </w:r>
          </w:p>
        </w:tc>
      </w:tr>
      <w:tr w:rsidR="00563CED" w:rsidRPr="00BA36D0" w14:paraId="16C75FD6" w14:textId="77777777" w:rsidTr="00A23D24">
        <w:trPr>
          <w:trHeight w:val="312"/>
        </w:trPr>
        <w:tc>
          <w:tcPr>
            <w:tcW w:w="4907" w:type="dxa"/>
            <w:tcBorders>
              <w:top w:val="nil"/>
              <w:left w:val="nil"/>
              <w:bottom w:val="single" w:sz="4" w:space="0" w:color="00688D"/>
              <w:right w:val="nil"/>
            </w:tcBorders>
            <w:shd w:val="clear" w:color="000000" w:fill="FFFFFF"/>
            <w:noWrap/>
            <w:vAlign w:val="bottom"/>
            <w:hideMark/>
          </w:tcPr>
          <w:p w14:paraId="6463D346" w14:textId="77777777" w:rsidR="00563CED" w:rsidRPr="00BA36D0" w:rsidRDefault="00563CED" w:rsidP="008C09B8">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Bank loans </w:t>
            </w:r>
            <w:r w:rsidRPr="00BA36D0">
              <w:rPr>
                <w:rFonts w:ascii="Calibri" w:eastAsia="Times New Roman" w:hAnsi="Calibri" w:cs="Calibri"/>
                <w:color w:val="0D0D0D"/>
                <w:sz w:val="18"/>
                <w:szCs w:val="20"/>
                <w:vertAlign w:val="superscript"/>
              </w:rPr>
              <w:t>₂</w:t>
            </w:r>
          </w:p>
        </w:tc>
        <w:tc>
          <w:tcPr>
            <w:tcW w:w="1050" w:type="dxa"/>
            <w:tcBorders>
              <w:top w:val="nil"/>
              <w:left w:val="nil"/>
              <w:bottom w:val="single" w:sz="4" w:space="0" w:color="auto"/>
              <w:right w:val="nil"/>
            </w:tcBorders>
            <w:shd w:val="clear" w:color="000000" w:fill="FFFFFF"/>
            <w:noWrap/>
            <w:vAlign w:val="bottom"/>
            <w:hideMark/>
          </w:tcPr>
          <w:p w14:paraId="64AD05FC" w14:textId="77777777" w:rsidR="00563CED" w:rsidRPr="00BA36D0" w:rsidRDefault="00563CED" w:rsidP="008C09B8">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21,602 </w:t>
            </w:r>
          </w:p>
        </w:tc>
        <w:tc>
          <w:tcPr>
            <w:tcW w:w="1767" w:type="dxa"/>
            <w:tcBorders>
              <w:top w:val="nil"/>
              <w:left w:val="nil"/>
              <w:bottom w:val="nil"/>
              <w:right w:val="nil"/>
            </w:tcBorders>
            <w:shd w:val="clear" w:color="000000" w:fill="FFFFFF"/>
            <w:noWrap/>
            <w:vAlign w:val="bottom"/>
            <w:hideMark/>
          </w:tcPr>
          <w:p w14:paraId="5CCB816B"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Monthly</w:t>
            </w:r>
          </w:p>
        </w:tc>
        <w:tc>
          <w:tcPr>
            <w:tcW w:w="1636" w:type="dxa"/>
            <w:tcBorders>
              <w:top w:val="nil"/>
              <w:left w:val="nil"/>
              <w:bottom w:val="nil"/>
              <w:right w:val="nil"/>
            </w:tcBorders>
            <w:shd w:val="clear" w:color="000000" w:fill="FFFFFF"/>
            <w:noWrap/>
            <w:vAlign w:val="bottom"/>
            <w:hideMark/>
          </w:tcPr>
          <w:p w14:paraId="0630BCCB"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30 days</w:t>
            </w:r>
          </w:p>
        </w:tc>
      </w:tr>
      <w:tr w:rsidR="00563CED" w:rsidRPr="00BA36D0" w14:paraId="3204C4E3" w14:textId="77777777" w:rsidTr="00A23D24">
        <w:trPr>
          <w:trHeight w:val="324"/>
        </w:trPr>
        <w:tc>
          <w:tcPr>
            <w:tcW w:w="4907" w:type="dxa"/>
            <w:tcBorders>
              <w:top w:val="nil"/>
              <w:left w:val="nil"/>
              <w:bottom w:val="double" w:sz="6" w:space="0" w:color="00688D"/>
              <w:right w:val="nil"/>
            </w:tcBorders>
            <w:shd w:val="clear" w:color="000000" w:fill="FFFFFF"/>
            <w:noWrap/>
            <w:vAlign w:val="bottom"/>
            <w:hideMark/>
          </w:tcPr>
          <w:p w14:paraId="79B44F09" w14:textId="77777777" w:rsidR="00563CED" w:rsidRPr="00BA36D0" w:rsidRDefault="00563CED" w:rsidP="008C09B8">
            <w:pP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Total DB Plan and MIP investments measured at NAV</w:t>
            </w:r>
          </w:p>
        </w:tc>
        <w:tc>
          <w:tcPr>
            <w:tcW w:w="1050" w:type="dxa"/>
            <w:tcBorders>
              <w:top w:val="single" w:sz="4" w:space="0" w:color="00688D"/>
              <w:left w:val="nil"/>
              <w:bottom w:val="double" w:sz="6" w:space="0" w:color="00688D"/>
              <w:right w:val="nil"/>
            </w:tcBorders>
            <w:shd w:val="clear" w:color="000000" w:fill="FFFFFF"/>
            <w:noWrap/>
            <w:vAlign w:val="bottom"/>
            <w:hideMark/>
          </w:tcPr>
          <w:p w14:paraId="1548F240" w14:textId="77777777" w:rsidR="00563CED" w:rsidRPr="00BA36D0" w:rsidRDefault="00563CED" w:rsidP="008C09B8">
            <w:pPr>
              <w:jc w:val="right"/>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 xml:space="preserve">$ 307,278 </w:t>
            </w:r>
          </w:p>
        </w:tc>
        <w:tc>
          <w:tcPr>
            <w:tcW w:w="1767" w:type="dxa"/>
            <w:tcBorders>
              <w:top w:val="nil"/>
              <w:left w:val="nil"/>
              <w:bottom w:val="nil"/>
              <w:right w:val="nil"/>
            </w:tcBorders>
            <w:shd w:val="clear" w:color="000000" w:fill="FFFFFF"/>
            <w:noWrap/>
            <w:vAlign w:val="bottom"/>
            <w:hideMark/>
          </w:tcPr>
          <w:p w14:paraId="2A823CF8"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6169C704"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563CED" w:rsidRPr="00BA36D0" w14:paraId="5E163D18" w14:textId="77777777" w:rsidTr="00A23D24">
        <w:trPr>
          <w:trHeight w:val="720"/>
        </w:trPr>
        <w:tc>
          <w:tcPr>
            <w:tcW w:w="4907" w:type="dxa"/>
            <w:tcBorders>
              <w:top w:val="nil"/>
              <w:left w:val="nil"/>
              <w:bottom w:val="nil"/>
              <w:right w:val="nil"/>
            </w:tcBorders>
            <w:shd w:val="clear" w:color="000000" w:fill="FFFFFF"/>
            <w:noWrap/>
            <w:vAlign w:val="bottom"/>
            <w:hideMark/>
          </w:tcPr>
          <w:p w14:paraId="7BE254B6" w14:textId="34D8C60D" w:rsidR="00A23D24" w:rsidRDefault="00A23D24" w:rsidP="00A23D24">
            <w:pPr>
              <w:rPr>
                <w:rFonts w:ascii="Calibri" w:eastAsia="Times New Roman" w:hAnsi="Calibri" w:cs="Calibri"/>
                <w:color w:val="0D0D0D"/>
                <w:sz w:val="18"/>
                <w:szCs w:val="20"/>
              </w:rPr>
            </w:pPr>
            <w:r w:rsidRPr="00BA36D0">
              <w:rPr>
                <w:rFonts w:ascii="Calibri" w:eastAsia="Times New Roman" w:hAnsi="Calibri" w:cs="Calibri"/>
                <w:b/>
                <w:bCs/>
                <w:color w:val="0D0D0D"/>
                <w:sz w:val="18"/>
                <w:szCs w:val="20"/>
              </w:rPr>
              <w:t>Further breakdown of above DB Plan and MIP investments:</w:t>
            </w:r>
          </w:p>
          <w:p w14:paraId="1CC3F81C" w14:textId="3AC6E8EB" w:rsidR="00563CED" w:rsidRPr="00BA36D0" w:rsidRDefault="00563CED" w:rsidP="008C09B8">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DB Plan at NAV</w:t>
            </w:r>
          </w:p>
        </w:tc>
        <w:tc>
          <w:tcPr>
            <w:tcW w:w="1050" w:type="dxa"/>
            <w:tcBorders>
              <w:top w:val="nil"/>
              <w:left w:val="nil"/>
              <w:bottom w:val="nil"/>
              <w:right w:val="nil"/>
            </w:tcBorders>
            <w:shd w:val="clear" w:color="000000" w:fill="FFFFFF"/>
            <w:noWrap/>
            <w:vAlign w:val="bottom"/>
            <w:hideMark/>
          </w:tcPr>
          <w:p w14:paraId="25121A32" w14:textId="77777777" w:rsidR="00563CED" w:rsidRPr="00BA36D0" w:rsidRDefault="00563CED" w:rsidP="008C09B8">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   11,374 </w:t>
            </w:r>
          </w:p>
        </w:tc>
        <w:tc>
          <w:tcPr>
            <w:tcW w:w="1767" w:type="dxa"/>
            <w:tcBorders>
              <w:top w:val="nil"/>
              <w:left w:val="nil"/>
              <w:bottom w:val="nil"/>
              <w:right w:val="nil"/>
            </w:tcBorders>
            <w:shd w:val="clear" w:color="000000" w:fill="FFFFFF"/>
            <w:noWrap/>
            <w:vAlign w:val="bottom"/>
            <w:hideMark/>
          </w:tcPr>
          <w:p w14:paraId="4283C9B4"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54DDDA8D"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563CED" w:rsidRPr="00BA36D0" w14:paraId="77575ACB" w14:textId="77777777" w:rsidTr="00A23D24">
        <w:trPr>
          <w:trHeight w:val="312"/>
        </w:trPr>
        <w:tc>
          <w:tcPr>
            <w:tcW w:w="4907" w:type="dxa"/>
            <w:tcBorders>
              <w:top w:val="nil"/>
              <w:left w:val="nil"/>
              <w:bottom w:val="nil"/>
              <w:right w:val="nil"/>
            </w:tcBorders>
            <w:shd w:val="clear" w:color="000000" w:fill="FFFFFF"/>
            <w:noWrap/>
            <w:vAlign w:val="bottom"/>
            <w:hideMark/>
          </w:tcPr>
          <w:p w14:paraId="1632B4D0" w14:textId="77777777" w:rsidR="00563CED" w:rsidRPr="00BA36D0" w:rsidRDefault="00563CED" w:rsidP="008C09B8">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MIP held on behalf of outside entities at NAV</w:t>
            </w:r>
          </w:p>
        </w:tc>
        <w:tc>
          <w:tcPr>
            <w:tcW w:w="1050" w:type="dxa"/>
            <w:tcBorders>
              <w:top w:val="nil"/>
              <w:left w:val="nil"/>
              <w:bottom w:val="nil"/>
              <w:right w:val="nil"/>
            </w:tcBorders>
            <w:shd w:val="clear" w:color="000000" w:fill="FFFFFF"/>
            <w:noWrap/>
            <w:vAlign w:val="bottom"/>
            <w:hideMark/>
          </w:tcPr>
          <w:p w14:paraId="324F430A" w14:textId="77777777" w:rsidR="00563CED" w:rsidRPr="00BA36D0" w:rsidRDefault="00563CED" w:rsidP="008C09B8">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164,861 </w:t>
            </w:r>
          </w:p>
        </w:tc>
        <w:tc>
          <w:tcPr>
            <w:tcW w:w="1767" w:type="dxa"/>
            <w:tcBorders>
              <w:top w:val="nil"/>
              <w:left w:val="nil"/>
              <w:bottom w:val="nil"/>
              <w:right w:val="nil"/>
            </w:tcBorders>
            <w:shd w:val="clear" w:color="000000" w:fill="FFFFFF"/>
            <w:noWrap/>
            <w:vAlign w:val="bottom"/>
            <w:hideMark/>
          </w:tcPr>
          <w:p w14:paraId="25CBA84E"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110491BB"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563CED" w:rsidRPr="00BA36D0" w14:paraId="688117CE" w14:textId="77777777" w:rsidTr="00A23D24">
        <w:trPr>
          <w:trHeight w:val="312"/>
        </w:trPr>
        <w:tc>
          <w:tcPr>
            <w:tcW w:w="4907" w:type="dxa"/>
            <w:tcBorders>
              <w:top w:val="nil"/>
              <w:left w:val="nil"/>
              <w:bottom w:val="nil"/>
              <w:right w:val="nil"/>
            </w:tcBorders>
            <w:shd w:val="clear" w:color="000000" w:fill="FFFFFF"/>
            <w:noWrap/>
            <w:vAlign w:val="bottom"/>
            <w:hideMark/>
          </w:tcPr>
          <w:p w14:paraId="6D430FDC" w14:textId="77777777" w:rsidR="00563CED" w:rsidRPr="00BA36D0" w:rsidRDefault="00563CED" w:rsidP="008C09B8">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Fiduciary funds held in the Endowment Pool for others</w:t>
            </w:r>
          </w:p>
        </w:tc>
        <w:tc>
          <w:tcPr>
            <w:tcW w:w="1050" w:type="dxa"/>
            <w:tcBorders>
              <w:top w:val="nil"/>
              <w:left w:val="nil"/>
              <w:bottom w:val="nil"/>
              <w:right w:val="nil"/>
            </w:tcBorders>
            <w:shd w:val="clear" w:color="000000" w:fill="FFFFFF"/>
            <w:noWrap/>
            <w:vAlign w:val="bottom"/>
            <w:hideMark/>
          </w:tcPr>
          <w:p w14:paraId="40C45D56" w14:textId="77777777" w:rsidR="00563CED" w:rsidRPr="00BA36D0" w:rsidRDefault="00563CED" w:rsidP="008C09B8">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23,466 </w:t>
            </w:r>
          </w:p>
        </w:tc>
        <w:tc>
          <w:tcPr>
            <w:tcW w:w="1767" w:type="dxa"/>
            <w:tcBorders>
              <w:top w:val="nil"/>
              <w:left w:val="nil"/>
              <w:bottom w:val="nil"/>
              <w:right w:val="nil"/>
            </w:tcBorders>
            <w:shd w:val="clear" w:color="000000" w:fill="FFFFFF"/>
            <w:noWrap/>
            <w:vAlign w:val="bottom"/>
            <w:hideMark/>
          </w:tcPr>
          <w:p w14:paraId="483D942B"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7D6A0CFC"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563CED" w:rsidRPr="00BA36D0" w14:paraId="51035CFC" w14:textId="77777777" w:rsidTr="00A23D24">
        <w:trPr>
          <w:trHeight w:val="312"/>
        </w:trPr>
        <w:tc>
          <w:tcPr>
            <w:tcW w:w="4907" w:type="dxa"/>
            <w:tcBorders>
              <w:top w:val="nil"/>
              <w:left w:val="nil"/>
              <w:bottom w:val="nil"/>
              <w:right w:val="nil"/>
            </w:tcBorders>
            <w:shd w:val="clear" w:color="000000" w:fill="FFFFFF"/>
            <w:noWrap/>
            <w:vAlign w:val="bottom"/>
            <w:hideMark/>
          </w:tcPr>
          <w:p w14:paraId="3B7B2835" w14:textId="77777777" w:rsidR="00563CED" w:rsidRPr="00BA36D0" w:rsidRDefault="00563CED" w:rsidP="008C09B8">
            <w:pPr>
              <w:ind w:firstLineChars="100" w:firstLine="181"/>
              <w:rPr>
                <w:rFonts w:ascii="Calibri" w:eastAsia="Times New Roman" w:hAnsi="Calibri" w:cs="Calibri"/>
                <w:b/>
                <w:bCs/>
                <w:i/>
                <w:iCs/>
                <w:color w:val="0D0D0D"/>
                <w:sz w:val="18"/>
                <w:szCs w:val="20"/>
              </w:rPr>
            </w:pPr>
            <w:r w:rsidRPr="00BA36D0">
              <w:rPr>
                <w:rFonts w:ascii="Calibri" w:eastAsia="Times New Roman" w:hAnsi="Calibri" w:cs="Calibri"/>
                <w:b/>
                <w:bCs/>
                <w:i/>
                <w:iCs/>
                <w:color w:val="0D0D0D"/>
                <w:sz w:val="18"/>
                <w:szCs w:val="20"/>
              </w:rPr>
              <w:t>Endowment pool investments included in the MIP at NAV</w:t>
            </w:r>
          </w:p>
        </w:tc>
        <w:tc>
          <w:tcPr>
            <w:tcW w:w="1050" w:type="dxa"/>
            <w:tcBorders>
              <w:top w:val="nil"/>
              <w:left w:val="nil"/>
              <w:bottom w:val="nil"/>
              <w:right w:val="nil"/>
            </w:tcBorders>
            <w:shd w:val="clear" w:color="auto" w:fill="auto"/>
            <w:noWrap/>
            <w:vAlign w:val="bottom"/>
            <w:hideMark/>
          </w:tcPr>
          <w:p w14:paraId="7EC24215" w14:textId="77777777" w:rsidR="00563CED" w:rsidRPr="00BA36D0" w:rsidRDefault="00563CED" w:rsidP="008C09B8">
            <w:pPr>
              <w:jc w:val="right"/>
              <w:rPr>
                <w:rFonts w:ascii="Calibri" w:eastAsia="Times New Roman" w:hAnsi="Calibri" w:cs="Calibri"/>
                <w:b/>
                <w:bCs/>
                <w:i/>
                <w:iCs/>
                <w:color w:val="0D0D0D"/>
                <w:sz w:val="18"/>
                <w:szCs w:val="20"/>
              </w:rPr>
            </w:pPr>
            <w:r w:rsidRPr="00BA36D0">
              <w:rPr>
                <w:rFonts w:ascii="Calibri" w:eastAsia="Times New Roman" w:hAnsi="Calibri" w:cs="Calibri"/>
                <w:b/>
                <w:bCs/>
                <w:i/>
                <w:iCs/>
                <w:color w:val="0D0D0D"/>
                <w:sz w:val="18"/>
                <w:szCs w:val="20"/>
              </w:rPr>
              <w:t xml:space="preserve">107,577 </w:t>
            </w:r>
          </w:p>
        </w:tc>
        <w:tc>
          <w:tcPr>
            <w:tcW w:w="1767" w:type="dxa"/>
            <w:tcBorders>
              <w:top w:val="nil"/>
              <w:left w:val="nil"/>
              <w:bottom w:val="nil"/>
              <w:right w:val="nil"/>
            </w:tcBorders>
            <w:shd w:val="clear" w:color="000000" w:fill="FFFFFF"/>
            <w:noWrap/>
            <w:vAlign w:val="bottom"/>
            <w:hideMark/>
          </w:tcPr>
          <w:p w14:paraId="7D6E0EBF"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02389D9E"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563CED" w:rsidRPr="00BA36D0" w14:paraId="0554B3BA" w14:textId="77777777" w:rsidTr="00A23D24">
        <w:trPr>
          <w:trHeight w:val="324"/>
        </w:trPr>
        <w:tc>
          <w:tcPr>
            <w:tcW w:w="4907" w:type="dxa"/>
            <w:tcBorders>
              <w:top w:val="single" w:sz="4" w:space="0" w:color="00688D"/>
              <w:left w:val="nil"/>
              <w:bottom w:val="double" w:sz="6" w:space="0" w:color="00688D"/>
              <w:right w:val="nil"/>
            </w:tcBorders>
            <w:shd w:val="clear" w:color="000000" w:fill="FFFFFF"/>
            <w:noWrap/>
            <w:vAlign w:val="bottom"/>
            <w:hideMark/>
          </w:tcPr>
          <w:p w14:paraId="09131E4C" w14:textId="77777777" w:rsidR="00563CED" w:rsidRPr="00BA36D0" w:rsidRDefault="00563CED" w:rsidP="008C09B8">
            <w:pP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Total investments measured at NAV by portfolio</w:t>
            </w:r>
          </w:p>
        </w:tc>
        <w:tc>
          <w:tcPr>
            <w:tcW w:w="1050" w:type="dxa"/>
            <w:tcBorders>
              <w:top w:val="single" w:sz="4" w:space="0" w:color="00688D"/>
              <w:left w:val="nil"/>
              <w:bottom w:val="double" w:sz="6" w:space="0" w:color="00688D"/>
              <w:right w:val="nil"/>
            </w:tcBorders>
            <w:shd w:val="clear" w:color="000000" w:fill="FFFFFF"/>
            <w:noWrap/>
            <w:vAlign w:val="bottom"/>
            <w:hideMark/>
          </w:tcPr>
          <w:p w14:paraId="3D7DFF8F" w14:textId="77777777" w:rsidR="00563CED" w:rsidRPr="00BA36D0" w:rsidRDefault="00563CED" w:rsidP="008C09B8">
            <w:pPr>
              <w:jc w:val="right"/>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 xml:space="preserve">$ 307,278 </w:t>
            </w:r>
          </w:p>
        </w:tc>
        <w:tc>
          <w:tcPr>
            <w:tcW w:w="1767" w:type="dxa"/>
            <w:tcBorders>
              <w:top w:val="nil"/>
              <w:left w:val="nil"/>
              <w:bottom w:val="nil"/>
              <w:right w:val="nil"/>
            </w:tcBorders>
            <w:shd w:val="clear" w:color="000000" w:fill="FFFFFF"/>
            <w:noWrap/>
            <w:vAlign w:val="bottom"/>
            <w:hideMark/>
          </w:tcPr>
          <w:p w14:paraId="25C1E266"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1A17278B" w14:textId="77777777" w:rsidR="00563CED" w:rsidRPr="00BA36D0" w:rsidRDefault="00563CED" w:rsidP="008C09B8">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bl>
    <w:p w14:paraId="5334415C" w14:textId="7CC2D0F6" w:rsidR="00051D7E" w:rsidRDefault="00051D7E" w:rsidP="00051D7E">
      <w:pPr>
        <w:rPr>
          <w:rFonts w:eastAsia="Times New Roman" w:cstheme="minorHAnsi"/>
          <w:color w:val="FF0000"/>
          <w:spacing w:val="-3"/>
          <w:sz w:val="24"/>
          <w:szCs w:val="20"/>
        </w:rPr>
      </w:pPr>
    </w:p>
    <w:p w14:paraId="16BC4D4D" w14:textId="77777777" w:rsidR="00051D7E" w:rsidRPr="00F54559" w:rsidRDefault="00051D7E" w:rsidP="00051D7E">
      <w:pPr>
        <w:rPr>
          <w:rFonts w:eastAsia="Times New Roman" w:cstheme="minorHAnsi"/>
          <w:color w:val="000000"/>
          <w:spacing w:val="-3"/>
          <w:sz w:val="24"/>
          <w:szCs w:val="20"/>
        </w:rPr>
      </w:pPr>
      <w:r>
        <w:rPr>
          <w:rFonts w:eastAsia="Times New Roman" w:cstheme="minorHAnsi"/>
          <w:color w:val="000000"/>
          <w:spacing w:val="-3"/>
          <w:sz w:val="24"/>
          <w:szCs w:val="20"/>
        </w:rPr>
        <w:fldChar w:fldCharType="begin"/>
      </w:r>
      <w:r>
        <w:rPr>
          <w:rFonts w:eastAsia="Times New Roman" w:cstheme="minorHAnsi"/>
          <w:color w:val="000000"/>
          <w:spacing w:val="-3"/>
          <w:sz w:val="24"/>
          <w:szCs w:val="20"/>
        </w:rPr>
        <w:fldChar w:fldCharType="end"/>
      </w:r>
    </w:p>
    <w:p w14:paraId="50EE4582" w14:textId="77777777" w:rsidR="00051D7E" w:rsidRPr="00F54559" w:rsidRDefault="00051D7E" w:rsidP="00051D7E">
      <w:pPr>
        <w:tabs>
          <w:tab w:val="left" w:pos="720"/>
          <w:tab w:val="left" w:pos="1080"/>
          <w:tab w:val="decimal" w:pos="6786"/>
          <w:tab w:val="decimal" w:pos="9187"/>
        </w:tabs>
        <w:suppressAutoHyphens/>
        <w:rPr>
          <w:rFonts w:eastAsia="Times New Roman" w:cstheme="minorHAnsi"/>
          <w:color w:val="000000"/>
          <w:spacing w:val="-3"/>
          <w:sz w:val="24"/>
          <w:szCs w:val="20"/>
        </w:rPr>
        <w:sectPr w:rsidR="00051D7E" w:rsidRPr="00F54559" w:rsidSect="007531FB">
          <w:footerReference w:type="default" r:id="rId76"/>
          <w:pgSz w:w="12240" w:h="15840" w:code="1"/>
          <w:pgMar w:top="1440" w:right="1440" w:bottom="1440" w:left="1440" w:header="720" w:footer="720" w:gutter="0"/>
          <w:cols w:space="0"/>
          <w:docGrid w:linePitch="360"/>
        </w:sectPr>
      </w:pPr>
    </w:p>
    <w:p w14:paraId="5FED7174" w14:textId="77777777" w:rsidR="00051D7E" w:rsidRPr="00F54559" w:rsidRDefault="00051D7E" w:rsidP="00051D7E">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33265831" w14:textId="77777777" w:rsidR="00051D7E" w:rsidRDefault="00051D7E" w:rsidP="00051D7E">
      <w:pPr>
        <w:tabs>
          <w:tab w:val="left" w:pos="720"/>
          <w:tab w:val="left" w:pos="1080"/>
          <w:tab w:val="decimal" w:pos="6786"/>
          <w:tab w:val="decimal" w:pos="9187"/>
        </w:tabs>
        <w:suppressAutoHyphens/>
        <w:spacing w:after="240"/>
        <w:rPr>
          <w:rFonts w:eastAsia="Times New Roman" w:cstheme="minorHAnsi"/>
          <w:spacing w:val="-3"/>
          <w:sz w:val="24"/>
          <w:szCs w:val="20"/>
        </w:rPr>
      </w:pPr>
      <w:r w:rsidRPr="00E53CCD">
        <w:rPr>
          <w:rFonts w:eastAsia="Times New Roman" w:cstheme="minorHAnsi"/>
          <w:color w:val="000000"/>
          <w:spacing w:val="-3"/>
          <w:sz w:val="24"/>
          <w:szCs w:val="20"/>
        </w:rPr>
        <w:t xml:space="preserve">The </w:t>
      </w:r>
      <w:r w:rsidRPr="00187D5B">
        <w:rPr>
          <w:rFonts w:eastAsia="Times New Roman" w:cstheme="minorHAnsi"/>
          <w:b/>
          <w:color w:val="000000"/>
          <w:spacing w:val="-3"/>
          <w:sz w:val="24"/>
          <w:szCs w:val="20"/>
        </w:rPr>
        <w:t xml:space="preserve">System’s </w:t>
      </w:r>
      <w:r w:rsidRPr="00A1236B">
        <w:rPr>
          <w:rFonts w:eastAsia="Times New Roman" w:cstheme="minorHAnsi"/>
          <w:b/>
          <w:color w:val="000000"/>
          <w:spacing w:val="-3"/>
          <w:sz w:val="24"/>
          <w:szCs w:val="20"/>
        </w:rPr>
        <w:t>operating investments</w:t>
      </w:r>
      <w:r>
        <w:rPr>
          <w:rFonts w:eastAsia="Times New Roman" w:cstheme="minorHAnsi"/>
          <w:b/>
          <w:color w:val="000000"/>
          <w:spacing w:val="-3"/>
          <w:sz w:val="24"/>
          <w:szCs w:val="20"/>
        </w:rPr>
        <w:t xml:space="preserve"> and deposits with bond trustees </w:t>
      </w:r>
      <w:r w:rsidRPr="00F54559">
        <w:rPr>
          <w:rFonts w:eastAsia="Times New Roman" w:cstheme="minorHAnsi"/>
          <w:color w:val="000000"/>
          <w:spacing w:val="-3"/>
          <w:sz w:val="24"/>
          <w:szCs w:val="20"/>
        </w:rPr>
        <w:t>were composed of the following at June 30</w:t>
      </w:r>
      <w:r w:rsidRPr="00F54559">
        <w:rPr>
          <w:rFonts w:eastAsia="Times New Roman" w:cstheme="minorHAnsi"/>
          <w:spacing w:val="-3"/>
          <w:sz w:val="24"/>
          <w:szCs w:val="20"/>
        </w:rPr>
        <w:t xml:space="preserve">, </w:t>
      </w:r>
      <w:r w:rsidRPr="000A753B">
        <w:rPr>
          <w:rFonts w:eastAsia="Times New Roman" w:cstheme="minorHAnsi"/>
          <w:spacing w:val="-3"/>
          <w:sz w:val="24"/>
          <w:szCs w:val="20"/>
        </w:rPr>
        <w:t>20</w:t>
      </w:r>
      <w:r>
        <w:rPr>
          <w:rFonts w:eastAsia="Times New Roman" w:cstheme="minorHAnsi"/>
          <w:spacing w:val="-3"/>
          <w:sz w:val="24"/>
          <w:szCs w:val="20"/>
        </w:rPr>
        <w:t>20</w:t>
      </w:r>
      <w:r w:rsidRPr="00F54559">
        <w:rPr>
          <w:rFonts w:eastAsia="Times New Roman" w:cstheme="minorHAnsi"/>
          <w:spacing w:val="-3"/>
          <w:sz w:val="24"/>
          <w:szCs w:val="20"/>
        </w:rPr>
        <w:t>:</w:t>
      </w:r>
    </w:p>
    <w:p w14:paraId="61121C9A" w14:textId="77777777" w:rsidR="00051D7E" w:rsidRPr="00C07091" w:rsidRDefault="00051D7E" w:rsidP="00051D7E">
      <w:pPr>
        <w:tabs>
          <w:tab w:val="left" w:pos="720"/>
          <w:tab w:val="left" w:pos="1080"/>
          <w:tab w:val="decimal" w:pos="6786"/>
          <w:tab w:val="decimal" w:pos="9187"/>
        </w:tabs>
        <w:suppressAutoHyphens/>
        <w:spacing w:before="160" w:after="160"/>
        <w:jc w:val="center"/>
        <w:rPr>
          <w:rFonts w:eastAsia="Times New Roman" w:cstheme="minorHAnsi"/>
          <w:color w:val="FF0000"/>
          <w:spacing w:val="-3"/>
          <w:sz w:val="24"/>
          <w:szCs w:val="20"/>
        </w:rPr>
        <w:sectPr w:rsidR="00051D7E" w:rsidRPr="00C07091" w:rsidSect="007531FB">
          <w:footerReference w:type="default" r:id="rId77"/>
          <w:pgSz w:w="15840" w:h="12240" w:orient="landscape" w:code="1"/>
          <w:pgMar w:top="1440" w:right="1440" w:bottom="1440" w:left="1440" w:header="720" w:footer="720" w:gutter="0"/>
          <w:cols w:space="0"/>
          <w:docGrid w:linePitch="360"/>
        </w:sectPr>
      </w:pPr>
      <w:r w:rsidRPr="0037031F">
        <w:rPr>
          <w:noProof/>
        </w:rPr>
        <w:drawing>
          <wp:inline distT="0" distB="0" distL="0" distR="0" wp14:anchorId="493EF789" wp14:editId="27D30114">
            <wp:extent cx="8229600" cy="3394255"/>
            <wp:effectExtent l="0" t="0" r="0" b="0"/>
            <wp:docPr id="25" name="Picture 25" descr="   Fair Value Measurements Using:    Credit  &#10;  Total   Level 1   Level 2   Level 3   Rating   Interest Rate Risk  &#10;Operating Investments measured at fair value:       &#10;Equities:       &#10;Multi-strategy funds  $45,880   $45,880   $-   $-    &#10;Fixed income funds:       &#10;Bonds  105,366   37,032   68,334   -   Not rated   1.75-6.4 years  Duration&#10;Money markets  40,825   40,825   -   -   Not rated   34-40 days  &quot;Weighted &#10;Average Maturity&quot;&#10;Total operating investments at fair value level  192,071   $123,737   $68,334   $-    &#10;Operating investments measured at NAV       &#10;Equities:  Multi-Strategy  15,944       &#10;Bank loans  20,170      Not rated   .10 years  Duration&#10;Total operating investments measured at NAV  36,114       &#10;Total operating investments measured at fair value plus NAV  228,185       &#10;State pool measured at amortized cost  35,861      Not rated  .55 years Duration&#10;Total operating investments  $264,046       &#10;       &#10;Deposits with Bond Trustees:       &#10;Bonds and money markets  $5,778   $5,778   $-   $-   Not rated   34-51 days  Weighted &#10;Average Mat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29600" cy="3394255"/>
                    </a:xfrm>
                    <a:prstGeom prst="rect">
                      <a:avLst/>
                    </a:prstGeom>
                    <a:noFill/>
                    <a:ln>
                      <a:noFill/>
                    </a:ln>
                  </pic:spPr>
                </pic:pic>
              </a:graphicData>
            </a:graphic>
          </wp:inline>
        </w:drawing>
      </w:r>
    </w:p>
    <w:p w14:paraId="0EE020C2" w14:textId="77777777" w:rsidR="00051D7E" w:rsidRPr="00F54559" w:rsidRDefault="00051D7E" w:rsidP="00051D7E">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475559AA" w14:textId="77777777" w:rsidR="00051D7E" w:rsidRPr="00F54559" w:rsidRDefault="00051D7E" w:rsidP="00051D7E">
      <w:pPr>
        <w:spacing w:after="160" w:line="259" w:lineRule="auto"/>
        <w:rPr>
          <w:rFonts w:eastAsia="Times New Roman" w:cstheme="minorHAnsi"/>
          <w:color w:val="000000"/>
          <w:spacing w:val="-3"/>
          <w:sz w:val="24"/>
          <w:szCs w:val="20"/>
        </w:rPr>
      </w:pPr>
      <w:r w:rsidRPr="00F54559">
        <w:rPr>
          <w:rFonts w:eastAsia="Times New Roman" w:cstheme="minorHAnsi"/>
          <w:color w:val="000000"/>
          <w:spacing w:val="-3"/>
          <w:sz w:val="24"/>
          <w:szCs w:val="20"/>
        </w:rPr>
        <w:t xml:space="preserve">The </w:t>
      </w:r>
      <w:r w:rsidRPr="00F54559">
        <w:rPr>
          <w:rFonts w:eastAsia="Times New Roman" w:cstheme="minorHAnsi"/>
          <w:b/>
          <w:color w:val="000000"/>
          <w:spacing w:val="-3"/>
          <w:sz w:val="24"/>
          <w:szCs w:val="20"/>
        </w:rPr>
        <w:t xml:space="preserve">System’s </w:t>
      </w:r>
      <w:r>
        <w:rPr>
          <w:rFonts w:eastAsia="Times New Roman" w:cstheme="minorHAnsi"/>
          <w:b/>
          <w:color w:val="000000"/>
          <w:spacing w:val="-3"/>
          <w:sz w:val="24"/>
          <w:szCs w:val="20"/>
        </w:rPr>
        <w:t xml:space="preserve">DB Plan and MIP </w:t>
      </w:r>
      <w:r w:rsidRPr="00F54559">
        <w:rPr>
          <w:rFonts w:eastAsia="Times New Roman" w:cstheme="minorHAnsi"/>
          <w:b/>
          <w:color w:val="000000"/>
          <w:spacing w:val="-3"/>
          <w:sz w:val="24"/>
          <w:szCs w:val="20"/>
        </w:rPr>
        <w:t>investment</w:t>
      </w:r>
      <w:r>
        <w:rPr>
          <w:rFonts w:eastAsia="Times New Roman" w:cstheme="minorHAnsi"/>
          <w:b/>
          <w:color w:val="000000"/>
          <w:spacing w:val="-3"/>
          <w:sz w:val="24"/>
          <w:szCs w:val="20"/>
        </w:rPr>
        <w:t>s</w:t>
      </w:r>
      <w:r>
        <w:rPr>
          <w:rFonts w:eastAsia="Times New Roman" w:cstheme="minorHAnsi"/>
          <w:color w:val="000000"/>
          <w:spacing w:val="-3"/>
          <w:sz w:val="24"/>
          <w:szCs w:val="20"/>
        </w:rPr>
        <w:t xml:space="preserve"> w</w:t>
      </w:r>
      <w:r w:rsidRPr="00F54559">
        <w:rPr>
          <w:rFonts w:eastAsia="Times New Roman" w:cstheme="minorHAnsi"/>
          <w:color w:val="000000"/>
          <w:spacing w:val="-3"/>
          <w:sz w:val="24"/>
          <w:szCs w:val="20"/>
        </w:rPr>
        <w:t xml:space="preserve">ere composed of the following at </w:t>
      </w:r>
      <w:r w:rsidRPr="00601B8C">
        <w:rPr>
          <w:rFonts w:eastAsia="Times New Roman" w:cstheme="minorHAnsi"/>
          <w:color w:val="000000"/>
          <w:spacing w:val="-3"/>
          <w:sz w:val="24"/>
          <w:szCs w:val="20"/>
        </w:rPr>
        <w:t>June 30</w:t>
      </w:r>
      <w:r>
        <w:rPr>
          <w:rFonts w:eastAsia="Times New Roman" w:cstheme="minorHAnsi"/>
          <w:spacing w:val="-3"/>
          <w:sz w:val="24"/>
          <w:szCs w:val="20"/>
        </w:rPr>
        <w:t>, 2020 (Restated)</w:t>
      </w:r>
      <w:r w:rsidRPr="000A753B">
        <w:rPr>
          <w:rFonts w:eastAsia="Times New Roman" w:cstheme="minorHAnsi"/>
          <w:color w:val="000000"/>
          <w:spacing w:val="-3"/>
          <w:sz w:val="24"/>
          <w:szCs w:val="20"/>
        </w:rPr>
        <w:t>:</w:t>
      </w:r>
    </w:p>
    <w:p w14:paraId="1416E763" w14:textId="6B97B4B9" w:rsidR="00051D7E" w:rsidRPr="00F54559" w:rsidRDefault="00085093" w:rsidP="00051D7E">
      <w:pPr>
        <w:spacing w:after="160" w:line="259" w:lineRule="auto"/>
        <w:rPr>
          <w:rFonts w:eastAsiaTheme="majorEastAsia" w:cstheme="minorHAnsi"/>
          <w:b/>
          <w:i/>
          <w:iCs/>
          <w:smallCaps/>
          <w:noProof/>
          <w:color w:val="000000" w:themeColor="text1"/>
          <w:sz w:val="26"/>
          <w:szCs w:val="26"/>
          <w:u w:color="5B9BD5"/>
        </w:rPr>
        <w:sectPr w:rsidR="00051D7E" w:rsidRPr="00F54559" w:rsidSect="007531FB">
          <w:pgSz w:w="15840" w:h="12240" w:orient="landscape" w:code="1"/>
          <w:pgMar w:top="1440" w:right="1440" w:bottom="1440" w:left="1440" w:header="720" w:footer="720" w:gutter="0"/>
          <w:cols w:space="0"/>
          <w:docGrid w:linePitch="360"/>
        </w:sectPr>
      </w:pPr>
      <w:r w:rsidRPr="00085093">
        <w:rPr>
          <w:noProof/>
        </w:rPr>
        <w:drawing>
          <wp:inline distT="0" distB="0" distL="0" distR="0" wp14:anchorId="29C49116" wp14:editId="47F6984D">
            <wp:extent cx="7175500" cy="5185410"/>
            <wp:effectExtent l="0" t="0" r="6350" b="0"/>
            <wp:docPr id="53" name="Picture 53" descr="   Fair Value Measurements Using:    Credit  &#10;  Total   Level 1   Level 2   Level 3   Rating   Interest Rate Risk  &#10;Investments measured at fair value:       &#10;Equities:       &#10;Equity securities  $12,747   $12,747   $-   $-    &#10;Equity funds  42,714   42,714   -   -    &#10;Multi-strategy funds  47,233   47,233   -   -   Not rated   Not rated  &#10;Fixed income funds:       &#10;Money markets  6,170   6,170   -   -   Not rated   43 days  &quot;Weighted &#10;Average Maturity&quot;&#10;Bonds  48,947   48,947   -   -   Not rated  2.8-7.9 years Duration&#10;Real assets  2,004   -   -   2,004   Not rated   Not rated  &#10;Total DB Plan and MIP investments at fair value level  159,815   $157,811   $-   $2,004    &#10;Investments measured at NAV:       &#10;Equity securities  75,882       &#10;Equity funds  72,179       &#10;Multi-strategy funds  29,696       &#10;Fixed income funds - bonds  22,643       &#10;Bank loans  17,286      Not rated  0.25 Duration&#10;Total DB Plan and MIP investments measured at NAV  217,686       &#10;Total DB Plan and MIP investments  $377,501       &#10;Breakdown of above investments by portfolio:       &#10;DB Plan at fair value level  $13,668   $11,664   $-   $2,004    &#10;DB Plan at NAV  10,941       &#10;Total DB Plan Investments  $24,609       &#10;MIP held on behalf of outside entities at fair level  $79,715   $79,715   $-   $-    &#10;MIP held on behalf of outside entities at NAV  112,768       &#10;Total MIP held on behalf of outside entities  $192,483       &#10;Fiduciary Funds held in Endowment Pool at fair value level  $10,708   $10,708   $-   $-    &#10;Fiduciary Funds held in Endowment Pool at NAV  15,149       &#10;Total Fiduciary Funds  $25,857       &#10;Endowment pool investments included in the MIP at fair value  $55,724   $55,724   $-   $-    &#10;Endowment pool investments included in the MIP at NAV  78,828       &#10;Total endowment pool investments included in the MIP  134,552       &#10;Endowment investments - separately invested  131   $131   $-   $-    &#10;Total endowment investments  $134,6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188670" cy="5194927"/>
                    </a:xfrm>
                    <a:prstGeom prst="rect">
                      <a:avLst/>
                    </a:prstGeom>
                    <a:noFill/>
                    <a:ln>
                      <a:noFill/>
                    </a:ln>
                  </pic:spPr>
                </pic:pic>
              </a:graphicData>
            </a:graphic>
          </wp:inline>
        </w:drawing>
      </w:r>
    </w:p>
    <w:p w14:paraId="4DB7781D" w14:textId="77777777" w:rsidR="00051D7E" w:rsidRPr="00F54559" w:rsidRDefault="00051D7E" w:rsidP="00051D7E">
      <w:pPr>
        <w:tabs>
          <w:tab w:val="left" w:pos="720"/>
          <w:tab w:val="left" w:pos="1080"/>
          <w:tab w:val="decimal" w:pos="6786"/>
          <w:tab w:val="decimal" w:pos="9187"/>
        </w:tabs>
        <w:suppressAutoHyphens/>
        <w:spacing w:after="240"/>
        <w:rPr>
          <w:rFonts w:cstheme="minorHAnsi"/>
          <w:sz w:val="24"/>
        </w:rPr>
      </w:pPr>
      <w:r w:rsidRPr="00F54559">
        <w:rPr>
          <w:rFonts w:eastAsiaTheme="majorEastAsia" w:cstheme="minorHAnsi"/>
          <w:b/>
          <w:i/>
          <w:iCs/>
          <w:smallCaps/>
          <w:noProof/>
          <w:color w:val="000000" w:themeColor="text1"/>
          <w:sz w:val="26"/>
          <w:szCs w:val="26"/>
          <w:u w:color="5B9BD5"/>
        </w:rPr>
        <w:lastRenderedPageBreak/>
        <w:t>3. INVESTMENTS - CONTINUED</w:t>
      </w:r>
    </w:p>
    <w:p w14:paraId="739B74AC" w14:textId="77777777" w:rsidR="000E6214" w:rsidRDefault="00051D7E" w:rsidP="00051D7E">
      <w:pPr>
        <w:tabs>
          <w:tab w:val="left" w:pos="720"/>
          <w:tab w:val="left" w:pos="1080"/>
          <w:tab w:val="decimal" w:pos="6786"/>
          <w:tab w:val="decimal" w:pos="9187"/>
        </w:tabs>
        <w:suppressAutoHyphens/>
        <w:spacing w:after="120"/>
        <w:rPr>
          <w:rFonts w:eastAsia="Times New Roman" w:cstheme="minorHAnsi"/>
          <w:color w:val="FF0000"/>
          <w:spacing w:val="-3"/>
          <w:sz w:val="24"/>
          <w:szCs w:val="20"/>
        </w:rPr>
      </w:pPr>
      <w:r w:rsidRPr="00F54559">
        <w:rPr>
          <w:rFonts w:cstheme="minorHAnsi"/>
          <w:sz w:val="24"/>
        </w:rPr>
        <w:t xml:space="preserve">Additional disclosures for </w:t>
      </w:r>
      <w:r w:rsidRPr="00F54559">
        <w:rPr>
          <w:rFonts w:cstheme="minorHAnsi"/>
          <w:b/>
          <w:sz w:val="24"/>
        </w:rPr>
        <w:t xml:space="preserve">System investments, </w:t>
      </w:r>
      <w:r w:rsidRPr="00F54559">
        <w:rPr>
          <w:rFonts w:cstheme="minorHAnsi"/>
          <w:sz w:val="24"/>
        </w:rPr>
        <w:t xml:space="preserve">including the </w:t>
      </w:r>
      <w:r>
        <w:rPr>
          <w:rFonts w:cstheme="minorHAnsi"/>
          <w:sz w:val="24"/>
        </w:rPr>
        <w:t xml:space="preserve">DB Plan and </w:t>
      </w:r>
      <w:r w:rsidRPr="00F54559">
        <w:rPr>
          <w:rFonts w:cstheme="minorHAnsi"/>
          <w:sz w:val="24"/>
        </w:rPr>
        <w:t xml:space="preserve">MIP, measured at NAV at June 30, </w:t>
      </w:r>
      <w:r>
        <w:rPr>
          <w:rFonts w:cstheme="minorHAnsi"/>
          <w:sz w:val="24"/>
        </w:rPr>
        <w:t>2020 (Restated)</w:t>
      </w:r>
      <w:r w:rsidRPr="00F54559">
        <w:rPr>
          <w:rFonts w:cstheme="minorHAnsi"/>
          <w:sz w:val="24"/>
        </w:rPr>
        <w:t>:</w:t>
      </w:r>
      <w:r w:rsidRPr="00BF3BD5">
        <w:rPr>
          <w:rFonts w:eastAsia="Times New Roman" w:cstheme="minorHAnsi"/>
          <w:color w:val="FF0000"/>
          <w:spacing w:val="-3"/>
          <w:sz w:val="24"/>
          <w:szCs w:val="20"/>
        </w:rPr>
        <w:t xml:space="preserve"> </w:t>
      </w:r>
      <w:r w:rsidR="00937971" w:rsidRPr="00937971">
        <w:rPr>
          <w:rFonts w:eastAsia="Times New Roman" w:cstheme="minorHAnsi"/>
          <w:color w:val="FF0000"/>
          <w:spacing w:val="-3"/>
          <w:sz w:val="24"/>
          <w:szCs w:val="20"/>
        </w:rPr>
        <w:t xml:space="preserve"> </w:t>
      </w:r>
    </w:p>
    <w:p w14:paraId="1287BE64" w14:textId="73704D08" w:rsidR="00051D7E" w:rsidRPr="00F54559" w:rsidRDefault="000E6214" w:rsidP="00051D7E">
      <w:pPr>
        <w:tabs>
          <w:tab w:val="left" w:pos="720"/>
          <w:tab w:val="left" w:pos="1080"/>
          <w:tab w:val="decimal" w:pos="6786"/>
          <w:tab w:val="decimal" w:pos="9187"/>
        </w:tabs>
        <w:suppressAutoHyphens/>
        <w:spacing w:after="120"/>
        <w:rPr>
          <w:rFonts w:cstheme="minorHAnsi"/>
          <w:sz w:val="24"/>
        </w:rPr>
      </w:pPr>
      <w:r w:rsidRPr="000E6214">
        <w:rPr>
          <w:noProof/>
        </w:rPr>
        <w:drawing>
          <wp:inline distT="0" distB="0" distL="0" distR="0" wp14:anchorId="7A2EE301" wp14:editId="22506E2E">
            <wp:extent cx="5943600" cy="3997362"/>
            <wp:effectExtent l="0" t="0" r="0" b="3175"/>
            <wp:docPr id="62" name="Picture 62" descr=" &quot; Fair&#10;Value &quot; &quot; Redemption&#10;Frequency (If&#10;Currently Eligible) &quot; &quot; Redemption&#10;Period&#10;Notice &quot;&#10;Operating Investments measured at NAV:   &#10;Equities:  Multi-strategy ₁  $15,944  &quot;Quarterly, &#10;Monthly&quot; 60, 90 days&#10;Bank loans ₂  20,170  Bi-monthly 15 days&#10;Total operating investments measured at NAV  $36,114   &#10;   &#10;Investments measured at NAV:   &#10;Equity securities  $75,882  Monthly 30 days&#10;Equity funds  72,179  Monthly 30 days&#10;Multi-strategy funds ₁  29,696  &quot;Quarterly, &#10;Monthly&quot; &quot;30, 45, &#10;60, 90 days&quot;&#10;Fixed income funds - bonds  22,643  Monthly 5 days&#10;Bank loans ₂  17,286  Monthly 30 days&#10;Total DB Plan and MIP investments measured at NAV  $217,686   &#10;   &#10;Further breakdown of above DB Plan and MIP investments:   &#10;DB Plan at NAV  $10,941   &#10;MIP held on behalf of outside entities at NAV  112,768   &#10;Fiduciary funds held in the Endowment Pool for others  15,149   &#10;Endowment pool investments included in the MIP at NAV  78,828   &#10;Total investments measured at NAV by portfolio  $21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997362"/>
                    </a:xfrm>
                    <a:prstGeom prst="rect">
                      <a:avLst/>
                    </a:prstGeom>
                    <a:noFill/>
                    <a:ln>
                      <a:noFill/>
                    </a:ln>
                  </pic:spPr>
                </pic:pic>
              </a:graphicData>
            </a:graphic>
          </wp:inline>
        </w:drawing>
      </w:r>
    </w:p>
    <w:p w14:paraId="0D076527" w14:textId="77777777" w:rsidR="00085093" w:rsidRDefault="00085093" w:rsidP="00051D7E">
      <w:pPr>
        <w:spacing w:after="160"/>
        <w:rPr>
          <w:rFonts w:cstheme="minorHAnsi"/>
          <w:sz w:val="24"/>
          <w:szCs w:val="24"/>
        </w:rPr>
      </w:pPr>
    </w:p>
    <w:p w14:paraId="147923BF" w14:textId="39C31B9F" w:rsidR="00051D7E" w:rsidRPr="00F54559" w:rsidRDefault="00051D7E" w:rsidP="00051D7E">
      <w:pPr>
        <w:spacing w:after="160"/>
        <w:rPr>
          <w:rFonts w:cstheme="minorHAnsi"/>
          <w:sz w:val="24"/>
          <w:szCs w:val="24"/>
        </w:rPr>
      </w:pPr>
      <w:r w:rsidRPr="00F54559">
        <w:rPr>
          <w:rFonts w:cstheme="minorHAnsi"/>
          <w:sz w:val="24"/>
          <w:szCs w:val="24"/>
        </w:rPr>
        <w:t>Additional information for investments measured at NAV at June 30, 20</w:t>
      </w:r>
      <w:r>
        <w:rPr>
          <w:rFonts w:cstheme="minorHAnsi"/>
          <w:sz w:val="24"/>
          <w:szCs w:val="24"/>
        </w:rPr>
        <w:t>21</w:t>
      </w:r>
      <w:r w:rsidRPr="00F54559">
        <w:rPr>
          <w:rFonts w:cstheme="minorHAnsi"/>
          <w:sz w:val="24"/>
          <w:szCs w:val="24"/>
        </w:rPr>
        <w:t xml:space="preserve"> and 20</w:t>
      </w:r>
      <w:r>
        <w:rPr>
          <w:rFonts w:cstheme="minorHAnsi"/>
          <w:sz w:val="24"/>
          <w:szCs w:val="24"/>
        </w:rPr>
        <w:t>20</w:t>
      </w:r>
      <w:r w:rsidRPr="00F54559">
        <w:rPr>
          <w:rFonts w:cstheme="minorHAnsi"/>
          <w:sz w:val="24"/>
          <w:szCs w:val="24"/>
        </w:rPr>
        <w:t xml:space="preserve"> is as follows:</w:t>
      </w:r>
    </w:p>
    <w:p w14:paraId="065D0F1C" w14:textId="77777777" w:rsidR="00051D7E" w:rsidRPr="00F54559" w:rsidRDefault="00051D7E" w:rsidP="00051D7E">
      <w:pPr>
        <w:tabs>
          <w:tab w:val="left" w:pos="1170"/>
        </w:tabs>
        <w:spacing w:after="120"/>
        <w:ind w:left="461" w:hanging="187"/>
        <w:rPr>
          <w:rFonts w:cstheme="minorHAnsi"/>
        </w:rPr>
      </w:pPr>
      <w:r w:rsidRPr="00F54559">
        <w:rPr>
          <w:rFonts w:cstheme="minorHAnsi"/>
          <w:sz w:val="24"/>
          <w:szCs w:val="24"/>
          <w:vertAlign w:val="superscript"/>
        </w:rPr>
        <w:t>1</w:t>
      </w:r>
      <w:r w:rsidRPr="00F54559">
        <w:rPr>
          <w:rFonts w:cstheme="minorHAnsi"/>
          <w:sz w:val="24"/>
          <w:szCs w:val="24"/>
          <w:vertAlign w:val="subscript"/>
        </w:rPr>
        <w:t xml:space="preserve"> </w:t>
      </w:r>
      <w:r w:rsidRPr="00F54559">
        <w:rPr>
          <w:rFonts w:cstheme="minorHAnsi"/>
        </w:rPr>
        <w:t>Multi-strategy funds: Includes investments in equities and limited partnerships.  Limited partnerships may invest in pooled vehicles in global equities, fixed income instruments, currencies, commodities; long and short positions with respect to bonds, leveraged loans, trade claims and other investments; or other hedge funds with objectives to outperform certain benchmarks.  Fair values of these investments are completed on a monthly or quarterly basis using other significant direct or indirect observable inputs or recent observable transaction information for similar investments. Includes investments in liquidation status awaiting final distributions.</w:t>
      </w:r>
    </w:p>
    <w:p w14:paraId="3B196BE8" w14:textId="77777777" w:rsidR="00051D7E" w:rsidRDefault="00051D7E" w:rsidP="00051D7E">
      <w:pPr>
        <w:tabs>
          <w:tab w:val="left" w:pos="1170"/>
        </w:tabs>
        <w:spacing w:after="120"/>
        <w:ind w:left="450" w:hanging="180"/>
        <w:rPr>
          <w:rFonts w:cstheme="minorHAnsi"/>
          <w:b/>
          <w:i/>
          <w:noProof/>
          <w:sz w:val="26"/>
          <w:szCs w:val="26"/>
        </w:rPr>
      </w:pPr>
      <w:r w:rsidRPr="00F54559">
        <w:rPr>
          <w:rFonts w:cstheme="minorHAnsi"/>
          <w:sz w:val="24"/>
          <w:szCs w:val="24"/>
          <w:vertAlign w:val="superscript"/>
        </w:rPr>
        <w:t>2</w:t>
      </w:r>
      <w:r w:rsidRPr="00F54559">
        <w:rPr>
          <w:rFonts w:cstheme="minorHAnsi"/>
          <w:sz w:val="24"/>
          <w:szCs w:val="24"/>
          <w:vertAlign w:val="subscript"/>
        </w:rPr>
        <w:t xml:space="preserve"> </w:t>
      </w:r>
      <w:r w:rsidRPr="00F54559">
        <w:rPr>
          <w:rFonts w:cstheme="minorHAnsi"/>
        </w:rPr>
        <w:t>Bank loans: Investments in these funds include floating rate loans in a diverse set of industries and are traditionally rated below investment grade. Other observable inputs determine fair value of this investment.</w:t>
      </w:r>
      <w:r>
        <w:rPr>
          <w:rFonts w:cstheme="minorHAnsi"/>
          <w:b/>
          <w:i/>
          <w:noProof/>
          <w:sz w:val="26"/>
          <w:szCs w:val="26"/>
        </w:rPr>
        <w:br w:type="page"/>
      </w:r>
    </w:p>
    <w:p w14:paraId="594D68BD" w14:textId="77777777" w:rsidR="00051D7E" w:rsidRPr="00F54559" w:rsidRDefault="00051D7E" w:rsidP="00051D7E">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09B8031D" w14:textId="77777777" w:rsidR="00051D7E" w:rsidRPr="00F54559" w:rsidRDefault="00051D7E" w:rsidP="00051D7E">
      <w:pPr>
        <w:pStyle w:val="AFR3"/>
        <w:rPr>
          <w:rFonts w:cstheme="minorHAnsi"/>
        </w:rPr>
      </w:pPr>
      <w:r w:rsidRPr="00F54559">
        <w:rPr>
          <w:rFonts w:cstheme="minorHAnsi"/>
        </w:rPr>
        <w:t>b. Interest Rate Risk</w:t>
      </w:r>
    </w:p>
    <w:p w14:paraId="735C2AF3" w14:textId="77777777" w:rsidR="00051D7E" w:rsidRPr="00F54559" w:rsidRDefault="00051D7E" w:rsidP="00051D7E">
      <w:pPr>
        <w:rPr>
          <w:rFonts w:cstheme="minorHAnsi"/>
          <w:sz w:val="24"/>
        </w:rPr>
      </w:pPr>
      <w:r w:rsidRPr="00F54559">
        <w:rPr>
          <w:rFonts w:cstheme="minorHAnsi"/>
          <w:sz w:val="24"/>
        </w:rPr>
        <w:t>Interest rate risk is the risk that changes in interest rates will adversely affect the fair value of an investment.  The System’s policy for managing interest rate risk is as follows:</w:t>
      </w:r>
    </w:p>
    <w:p w14:paraId="31E8AE0E" w14:textId="57B3507D" w:rsidR="00051D7E" w:rsidRPr="00F54559" w:rsidRDefault="00051D7E" w:rsidP="00051D7E">
      <w:pPr>
        <w:spacing w:before="120"/>
        <w:rPr>
          <w:rFonts w:cstheme="minorHAnsi"/>
          <w:sz w:val="24"/>
        </w:rPr>
      </w:pPr>
      <w:r w:rsidRPr="00F54559">
        <w:rPr>
          <w:rStyle w:val="AFR5Char"/>
          <w:rFonts w:asciiTheme="minorHAnsi" w:hAnsiTheme="minorHAnsi" w:cstheme="minorHAnsi"/>
        </w:rPr>
        <w:t>Operating Investments:</w:t>
      </w:r>
      <w:r w:rsidRPr="00F54559">
        <w:rPr>
          <w:rFonts w:cstheme="minorHAnsi"/>
          <w:sz w:val="24"/>
        </w:rPr>
        <w:t xml:space="preserve">  To limit interest rate exposure, the System diversifies its investments as specified in Note 1.</w:t>
      </w:r>
      <w:r w:rsidR="00EA219D">
        <w:rPr>
          <w:rFonts w:cstheme="minorHAnsi"/>
          <w:sz w:val="24"/>
        </w:rPr>
        <w:t>f</w:t>
      </w:r>
      <w:r w:rsidRPr="00F54559">
        <w:rPr>
          <w:rFonts w:cstheme="minorHAnsi"/>
          <w:sz w:val="24"/>
        </w:rPr>
        <w:t>.</w:t>
      </w:r>
    </w:p>
    <w:p w14:paraId="466A19A4" w14:textId="4078317C" w:rsidR="00051D7E" w:rsidRPr="00F54559" w:rsidRDefault="00051D7E" w:rsidP="00051D7E">
      <w:pPr>
        <w:spacing w:before="120"/>
        <w:rPr>
          <w:rFonts w:cstheme="minorHAnsi"/>
          <w:spacing w:val="-3"/>
          <w:sz w:val="24"/>
          <w:szCs w:val="20"/>
        </w:rPr>
      </w:pPr>
      <w:r w:rsidRPr="00F54559">
        <w:rPr>
          <w:rStyle w:val="AFR5Char"/>
          <w:rFonts w:asciiTheme="minorHAnsi" w:hAnsiTheme="minorHAnsi" w:cstheme="minorHAnsi"/>
        </w:rPr>
        <w:t>Endowment Investments:</w:t>
      </w:r>
      <w:r w:rsidRPr="00F54559">
        <w:rPr>
          <w:rFonts w:cstheme="minorHAnsi"/>
          <w:sz w:val="24"/>
        </w:rPr>
        <w:t xml:space="preserve"> To limit interest rate exposure, the endowment investment policy restricts t</w:t>
      </w:r>
      <w:r w:rsidRPr="00F54559">
        <w:rPr>
          <w:rFonts w:cstheme="minorHAnsi"/>
          <w:spacing w:val="-3"/>
          <w:sz w:val="24"/>
          <w:szCs w:val="20"/>
        </w:rPr>
        <w:t xml:space="preserve">he average effective duration of the fixed income portfolio to no more than 1 year from the duration of the applicable benchmark (e.g., the Barclays Capital Aggregate Bond Index was </w:t>
      </w:r>
      <w:r w:rsidRPr="006C5CD8">
        <w:rPr>
          <w:rFonts w:cstheme="minorHAnsi"/>
          <w:spacing w:val="-3"/>
          <w:sz w:val="24"/>
          <w:szCs w:val="20"/>
        </w:rPr>
        <w:t xml:space="preserve">6.61 </w:t>
      </w:r>
      <w:r w:rsidRPr="00F54559">
        <w:rPr>
          <w:rFonts w:cstheme="minorHAnsi"/>
          <w:spacing w:val="-3"/>
          <w:sz w:val="24"/>
          <w:szCs w:val="20"/>
        </w:rPr>
        <w:t xml:space="preserve">years and </w:t>
      </w:r>
      <w:r>
        <w:rPr>
          <w:rFonts w:cstheme="minorHAnsi"/>
          <w:spacing w:val="-3"/>
          <w:sz w:val="24"/>
          <w:szCs w:val="20"/>
        </w:rPr>
        <w:t>6.01</w:t>
      </w:r>
      <w:r w:rsidRPr="00F54559">
        <w:rPr>
          <w:rFonts w:cstheme="minorHAnsi"/>
          <w:spacing w:val="-3"/>
          <w:sz w:val="24"/>
          <w:szCs w:val="20"/>
        </w:rPr>
        <w:t xml:space="preserve"> years at June 30, 20</w:t>
      </w:r>
      <w:r>
        <w:rPr>
          <w:rFonts w:cstheme="minorHAnsi"/>
          <w:spacing w:val="-3"/>
          <w:sz w:val="24"/>
          <w:szCs w:val="20"/>
        </w:rPr>
        <w:t>21</w:t>
      </w:r>
      <w:r w:rsidRPr="00F54559">
        <w:rPr>
          <w:rFonts w:cstheme="minorHAnsi"/>
          <w:spacing w:val="-3"/>
          <w:sz w:val="24"/>
          <w:szCs w:val="20"/>
        </w:rPr>
        <w:t xml:space="preserve"> and 20</w:t>
      </w:r>
      <w:r>
        <w:rPr>
          <w:rFonts w:cstheme="minorHAnsi"/>
          <w:spacing w:val="-3"/>
          <w:sz w:val="24"/>
          <w:szCs w:val="20"/>
        </w:rPr>
        <w:t>20</w:t>
      </w:r>
      <w:r w:rsidRPr="00F54559">
        <w:rPr>
          <w:rFonts w:cstheme="minorHAnsi"/>
          <w:spacing w:val="-3"/>
          <w:sz w:val="24"/>
          <w:szCs w:val="20"/>
        </w:rPr>
        <w:t>, respectively).</w:t>
      </w:r>
    </w:p>
    <w:p w14:paraId="6F667826" w14:textId="77777777" w:rsidR="00051D7E" w:rsidRPr="00F54559" w:rsidRDefault="00051D7E" w:rsidP="00051D7E">
      <w:pPr>
        <w:spacing w:before="120"/>
        <w:rPr>
          <w:rFonts w:cstheme="minorHAnsi"/>
          <w:spacing w:val="-3"/>
          <w:sz w:val="24"/>
          <w:szCs w:val="20"/>
        </w:rPr>
      </w:pPr>
      <w:r w:rsidRPr="00F54559">
        <w:rPr>
          <w:rFonts w:cstheme="minorHAnsi"/>
          <w:b/>
          <w:i/>
          <w:spacing w:val="-3"/>
          <w:sz w:val="24"/>
          <w:szCs w:val="24"/>
        </w:rPr>
        <w:t xml:space="preserve">Investments for the Defined Benefit Plan – Classified Employees:  </w:t>
      </w:r>
      <w:r w:rsidRPr="00F54559">
        <w:rPr>
          <w:rFonts w:cstheme="minorHAnsi"/>
          <w:sz w:val="24"/>
        </w:rPr>
        <w:t>To limit interest rate exposure, the defined benefit plan investment policy restricts t</w:t>
      </w:r>
      <w:r w:rsidRPr="00F54559">
        <w:rPr>
          <w:rFonts w:cstheme="minorHAnsi"/>
          <w:spacing w:val="-3"/>
          <w:sz w:val="24"/>
          <w:szCs w:val="20"/>
        </w:rPr>
        <w:t xml:space="preserve">he average effective duration of the fixed income portfolio to no more than 1 year from the duration of the applicable benchmark (e.g., the Barclays Capital Aggregate Bond Index </w:t>
      </w:r>
      <w:r w:rsidRPr="006C5CD8">
        <w:rPr>
          <w:rFonts w:cstheme="minorHAnsi"/>
          <w:spacing w:val="-3"/>
          <w:sz w:val="24"/>
          <w:szCs w:val="20"/>
        </w:rPr>
        <w:t xml:space="preserve">was 6.61 </w:t>
      </w:r>
      <w:r w:rsidRPr="00F54559">
        <w:rPr>
          <w:rFonts w:cstheme="minorHAnsi"/>
          <w:spacing w:val="-3"/>
          <w:sz w:val="24"/>
          <w:szCs w:val="20"/>
        </w:rPr>
        <w:t xml:space="preserve">years and </w:t>
      </w:r>
      <w:r>
        <w:rPr>
          <w:rFonts w:cstheme="minorHAnsi"/>
          <w:spacing w:val="-3"/>
          <w:sz w:val="24"/>
          <w:szCs w:val="20"/>
        </w:rPr>
        <w:t>6.01</w:t>
      </w:r>
      <w:r w:rsidRPr="00F54559">
        <w:rPr>
          <w:rFonts w:cstheme="minorHAnsi"/>
          <w:spacing w:val="-3"/>
          <w:sz w:val="24"/>
          <w:szCs w:val="20"/>
        </w:rPr>
        <w:t xml:space="preserve"> years at June 30, 20</w:t>
      </w:r>
      <w:r>
        <w:rPr>
          <w:rFonts w:cstheme="minorHAnsi"/>
          <w:spacing w:val="-3"/>
          <w:sz w:val="24"/>
          <w:szCs w:val="20"/>
        </w:rPr>
        <w:t>21</w:t>
      </w:r>
      <w:r w:rsidRPr="00F54559">
        <w:rPr>
          <w:rFonts w:cstheme="minorHAnsi"/>
          <w:spacing w:val="-3"/>
          <w:sz w:val="24"/>
          <w:szCs w:val="20"/>
        </w:rPr>
        <w:t xml:space="preserve"> and 20</w:t>
      </w:r>
      <w:r>
        <w:rPr>
          <w:rFonts w:cstheme="minorHAnsi"/>
          <w:spacing w:val="-3"/>
          <w:sz w:val="24"/>
          <w:szCs w:val="20"/>
        </w:rPr>
        <w:t>20</w:t>
      </w:r>
      <w:r w:rsidRPr="00F54559">
        <w:rPr>
          <w:rFonts w:cstheme="minorHAnsi"/>
          <w:spacing w:val="-3"/>
          <w:sz w:val="24"/>
          <w:szCs w:val="20"/>
        </w:rPr>
        <w:t>, respectively).</w:t>
      </w:r>
    </w:p>
    <w:p w14:paraId="491C4643" w14:textId="77777777" w:rsidR="00051D7E" w:rsidRPr="00E24051" w:rsidRDefault="00051D7E" w:rsidP="00051D7E">
      <w:pPr>
        <w:pStyle w:val="AFR3"/>
      </w:pPr>
      <w:r w:rsidRPr="00E24051">
        <w:t>c. Foreign Currency Risk</w:t>
      </w:r>
    </w:p>
    <w:p w14:paraId="5CC046F0" w14:textId="77777777" w:rsidR="00051D7E" w:rsidRPr="00F54559" w:rsidRDefault="00051D7E" w:rsidP="00051D7E">
      <w:pPr>
        <w:tabs>
          <w:tab w:val="left" w:pos="0"/>
          <w:tab w:val="left" w:pos="1080"/>
          <w:tab w:val="decimal" w:pos="6786"/>
          <w:tab w:val="decimal" w:pos="9187"/>
        </w:tabs>
        <w:suppressAutoHyphens/>
        <w:spacing w:before="120"/>
        <w:rPr>
          <w:rFonts w:eastAsia="Times New Roman" w:cstheme="minorHAnsi"/>
          <w:spacing w:val="-3"/>
          <w:sz w:val="24"/>
          <w:szCs w:val="20"/>
        </w:rPr>
      </w:pPr>
      <w:r w:rsidRPr="00F54559">
        <w:rPr>
          <w:rFonts w:eastAsia="Times New Roman" w:cstheme="minorHAnsi"/>
          <w:b/>
          <w:i/>
          <w:color w:val="000000"/>
          <w:spacing w:val="-3"/>
          <w:sz w:val="24"/>
        </w:rPr>
        <w:t xml:space="preserve">Operating </w:t>
      </w:r>
      <w:r w:rsidRPr="00F54559">
        <w:rPr>
          <w:rFonts w:eastAsia="Times New Roman" w:cstheme="minorHAnsi"/>
          <w:b/>
          <w:i/>
          <w:spacing w:val="-3"/>
          <w:sz w:val="24"/>
        </w:rPr>
        <w:t xml:space="preserve">Investments:  </w:t>
      </w:r>
      <w:r w:rsidRPr="00F54559">
        <w:rPr>
          <w:rFonts w:eastAsia="Times New Roman" w:cstheme="minorHAnsi"/>
          <w:spacing w:val="-3"/>
          <w:sz w:val="24"/>
          <w:szCs w:val="20"/>
        </w:rPr>
        <w:t>The System’s operating investments include various fixed income, equity, and hedge fund holdings that have foreign currency exposure, with some funds hedging against foreign currency risk.  Portfolio foreign currency exposure was $</w:t>
      </w:r>
      <w:r w:rsidRPr="00AF2E67">
        <w:rPr>
          <w:rFonts w:eastAsia="Times New Roman" w:cstheme="minorHAnsi"/>
          <w:spacing w:val="-3"/>
          <w:sz w:val="24"/>
          <w:szCs w:val="20"/>
        </w:rPr>
        <w:t xml:space="preserve">6,622 </w:t>
      </w:r>
      <w:r w:rsidRPr="00F54559">
        <w:rPr>
          <w:rFonts w:eastAsia="Times New Roman" w:cstheme="minorHAnsi"/>
          <w:spacing w:val="-3"/>
          <w:sz w:val="24"/>
          <w:szCs w:val="20"/>
        </w:rPr>
        <w:t>and $</w:t>
      </w:r>
      <w:r>
        <w:rPr>
          <w:rFonts w:eastAsia="Times New Roman" w:cstheme="minorHAnsi"/>
          <w:spacing w:val="-3"/>
          <w:sz w:val="24"/>
          <w:szCs w:val="20"/>
        </w:rPr>
        <w:t>21,712</w:t>
      </w:r>
      <w:r w:rsidRPr="00F54559">
        <w:rPr>
          <w:rFonts w:eastAsia="Times New Roman" w:cstheme="minorHAnsi"/>
          <w:spacing w:val="-3"/>
          <w:sz w:val="24"/>
          <w:szCs w:val="20"/>
        </w:rPr>
        <w:t xml:space="preserve"> at June 30, 20</w:t>
      </w:r>
      <w:r>
        <w:rPr>
          <w:rFonts w:eastAsia="Times New Roman" w:cstheme="minorHAnsi"/>
          <w:spacing w:val="-3"/>
          <w:sz w:val="24"/>
          <w:szCs w:val="20"/>
        </w:rPr>
        <w:t>21</w:t>
      </w:r>
      <w:r w:rsidRPr="00F54559">
        <w:rPr>
          <w:rFonts w:eastAsia="Times New Roman" w:cstheme="minorHAnsi"/>
          <w:spacing w:val="-3"/>
          <w:sz w:val="24"/>
          <w:szCs w:val="20"/>
        </w:rPr>
        <w:t xml:space="preserve"> and 20</w:t>
      </w:r>
      <w:r>
        <w:rPr>
          <w:rFonts w:eastAsia="Times New Roman" w:cstheme="minorHAnsi"/>
          <w:spacing w:val="-3"/>
          <w:sz w:val="24"/>
          <w:szCs w:val="20"/>
        </w:rPr>
        <w:t>20</w:t>
      </w:r>
      <w:r w:rsidRPr="00F54559">
        <w:rPr>
          <w:rFonts w:eastAsia="Times New Roman" w:cstheme="minorHAnsi"/>
          <w:spacing w:val="-3"/>
          <w:sz w:val="24"/>
          <w:szCs w:val="20"/>
        </w:rPr>
        <w:t>, respectively.</w:t>
      </w:r>
    </w:p>
    <w:p w14:paraId="576E53C8" w14:textId="50022B86" w:rsidR="00051D7E" w:rsidRPr="00F54559" w:rsidRDefault="00051D7E" w:rsidP="00051D7E">
      <w:pPr>
        <w:tabs>
          <w:tab w:val="left" w:pos="0"/>
          <w:tab w:val="left" w:pos="1080"/>
          <w:tab w:val="decimal" w:pos="6786"/>
          <w:tab w:val="decimal" w:pos="9187"/>
        </w:tabs>
        <w:suppressAutoHyphens/>
        <w:spacing w:before="120"/>
        <w:rPr>
          <w:rFonts w:eastAsia="Times New Roman" w:cstheme="minorHAnsi"/>
          <w:spacing w:val="-3"/>
          <w:sz w:val="24"/>
          <w:szCs w:val="20"/>
        </w:rPr>
      </w:pPr>
      <w:r w:rsidRPr="00735A4C">
        <w:rPr>
          <w:rStyle w:val="AFR5Char"/>
        </w:rPr>
        <w:t>Endowment Investments:</w:t>
      </w:r>
      <w:r w:rsidRPr="00F54559">
        <w:rPr>
          <w:rFonts w:eastAsia="Times New Roman" w:cstheme="minorHAnsi"/>
          <w:b/>
          <w:i/>
          <w:spacing w:val="-3"/>
          <w:sz w:val="24"/>
        </w:rPr>
        <w:t xml:space="preserve">  </w:t>
      </w:r>
      <w:r w:rsidRPr="00F54559">
        <w:rPr>
          <w:rFonts w:eastAsia="Times New Roman" w:cstheme="minorHAnsi"/>
          <w:spacing w:val="-3"/>
          <w:sz w:val="24"/>
          <w:szCs w:val="20"/>
        </w:rPr>
        <w:t>The System’s endowments are invested in the System MIP. The MIP invests in various fixed income, equity, and hedge funds which have foreign currency exposure, with some funds hedging against foreign currency risk.  The endowment investments share of the foreign currency exposure in the MIP was $</w:t>
      </w:r>
      <w:r w:rsidR="0080169A">
        <w:rPr>
          <w:rFonts w:eastAsia="Times New Roman" w:cstheme="minorHAnsi"/>
          <w:spacing w:val="-3"/>
          <w:sz w:val="24"/>
          <w:szCs w:val="20"/>
        </w:rPr>
        <w:t xml:space="preserve"> 54,847</w:t>
      </w:r>
      <w:r w:rsidR="00DE01B3">
        <w:rPr>
          <w:rFonts w:eastAsia="Times New Roman" w:cstheme="minorHAnsi"/>
          <w:spacing w:val="-3"/>
          <w:sz w:val="24"/>
          <w:szCs w:val="20"/>
        </w:rPr>
        <w:t xml:space="preserve"> </w:t>
      </w:r>
      <w:r w:rsidRPr="00F54559">
        <w:rPr>
          <w:rFonts w:eastAsia="Times New Roman" w:cstheme="minorHAnsi"/>
          <w:spacing w:val="-3"/>
          <w:sz w:val="24"/>
          <w:szCs w:val="20"/>
        </w:rPr>
        <w:t>and $</w:t>
      </w:r>
      <w:r w:rsidR="0080169A">
        <w:rPr>
          <w:rFonts w:eastAsia="Times New Roman" w:cstheme="minorHAnsi"/>
          <w:spacing w:val="-3"/>
          <w:sz w:val="24"/>
          <w:szCs w:val="20"/>
        </w:rPr>
        <w:t xml:space="preserve"> 61,865</w:t>
      </w:r>
      <w:r w:rsidRPr="00AF2E67">
        <w:rPr>
          <w:rFonts w:eastAsia="Times New Roman" w:cstheme="minorHAnsi"/>
          <w:spacing w:val="-3"/>
          <w:sz w:val="24"/>
          <w:szCs w:val="20"/>
        </w:rPr>
        <w:t xml:space="preserve"> </w:t>
      </w:r>
      <w:r w:rsidRPr="00F54559">
        <w:rPr>
          <w:rFonts w:eastAsia="Times New Roman" w:cstheme="minorHAnsi"/>
          <w:spacing w:val="-3"/>
          <w:sz w:val="24"/>
          <w:szCs w:val="20"/>
        </w:rPr>
        <w:t>at June 30, 20</w:t>
      </w:r>
      <w:r>
        <w:rPr>
          <w:rFonts w:eastAsia="Times New Roman" w:cstheme="minorHAnsi"/>
          <w:spacing w:val="-3"/>
          <w:sz w:val="24"/>
          <w:szCs w:val="20"/>
        </w:rPr>
        <w:t>21</w:t>
      </w:r>
      <w:r w:rsidRPr="00F54559">
        <w:rPr>
          <w:rFonts w:eastAsia="Times New Roman" w:cstheme="minorHAnsi"/>
          <w:spacing w:val="-3"/>
          <w:sz w:val="24"/>
          <w:szCs w:val="20"/>
        </w:rPr>
        <w:t xml:space="preserve"> and 20</w:t>
      </w:r>
      <w:r>
        <w:rPr>
          <w:rFonts w:eastAsia="Times New Roman" w:cstheme="minorHAnsi"/>
          <w:spacing w:val="-3"/>
          <w:sz w:val="24"/>
          <w:szCs w:val="20"/>
        </w:rPr>
        <w:t>20</w:t>
      </w:r>
      <w:r w:rsidRPr="00F54559">
        <w:rPr>
          <w:rFonts w:eastAsia="Times New Roman" w:cstheme="minorHAnsi"/>
          <w:spacing w:val="-3"/>
          <w:sz w:val="24"/>
          <w:szCs w:val="20"/>
        </w:rPr>
        <w:t>, respectively.</w:t>
      </w:r>
      <w:r w:rsidR="00D25B1C">
        <w:rPr>
          <w:rFonts w:eastAsia="Times New Roman" w:cstheme="minorHAnsi"/>
          <w:spacing w:val="-3"/>
          <w:sz w:val="24"/>
          <w:szCs w:val="20"/>
        </w:rPr>
        <w:t xml:space="preserve">  </w:t>
      </w:r>
      <w:r w:rsidR="0080169A">
        <w:rPr>
          <w:rFonts w:eastAsia="Times New Roman" w:cstheme="minorHAnsi"/>
          <w:spacing w:val="-3"/>
          <w:sz w:val="24"/>
          <w:szCs w:val="20"/>
        </w:rPr>
        <w:t xml:space="preserve">This includes </w:t>
      </w:r>
      <w:r w:rsidR="00D25B1C">
        <w:rPr>
          <w:rFonts w:eastAsia="Times New Roman" w:cstheme="minorHAnsi"/>
          <w:spacing w:val="-3"/>
          <w:sz w:val="24"/>
          <w:szCs w:val="20"/>
        </w:rPr>
        <w:t>$9,822 and $9,972 at June 30, 2021 and 2020</w:t>
      </w:r>
      <w:r w:rsidR="0080169A">
        <w:rPr>
          <w:rFonts w:eastAsia="Times New Roman" w:cstheme="minorHAnsi"/>
          <w:spacing w:val="-3"/>
          <w:sz w:val="24"/>
          <w:szCs w:val="20"/>
        </w:rPr>
        <w:t>,</w:t>
      </w:r>
      <w:r w:rsidR="00D25B1C">
        <w:rPr>
          <w:rFonts w:eastAsia="Times New Roman" w:cstheme="minorHAnsi"/>
          <w:spacing w:val="-3"/>
          <w:sz w:val="24"/>
          <w:szCs w:val="20"/>
        </w:rPr>
        <w:t xml:space="preserve"> respectively</w:t>
      </w:r>
      <w:r w:rsidR="0080169A">
        <w:rPr>
          <w:rFonts w:eastAsia="Times New Roman" w:cstheme="minorHAnsi"/>
          <w:spacing w:val="-3"/>
          <w:sz w:val="24"/>
          <w:szCs w:val="20"/>
        </w:rPr>
        <w:t xml:space="preserve">, for investments held for affiliated organizations. </w:t>
      </w:r>
    </w:p>
    <w:p w14:paraId="3E90FD64" w14:textId="77777777" w:rsidR="00051D7E" w:rsidRPr="00F54559" w:rsidRDefault="00051D7E" w:rsidP="00051D7E">
      <w:pPr>
        <w:tabs>
          <w:tab w:val="left" w:pos="0"/>
          <w:tab w:val="left" w:pos="1080"/>
          <w:tab w:val="decimal" w:pos="6786"/>
          <w:tab w:val="decimal" w:pos="9187"/>
        </w:tabs>
        <w:suppressAutoHyphens/>
        <w:spacing w:before="120"/>
        <w:rPr>
          <w:rFonts w:cstheme="minorHAnsi"/>
          <w:b/>
          <w:i/>
          <w:sz w:val="26"/>
          <w:u w:val="single" w:color="000000" w:themeColor="text1"/>
        </w:rPr>
      </w:pPr>
      <w:r w:rsidRPr="00735A4C">
        <w:rPr>
          <w:rStyle w:val="AFR5Char"/>
        </w:rPr>
        <w:t>Investments for the Defined Benefit Plan – Classified Employees:</w:t>
      </w:r>
      <w:r w:rsidRPr="00F54559">
        <w:rPr>
          <w:rFonts w:cstheme="minorHAnsi"/>
          <w:sz w:val="20"/>
          <w:szCs w:val="20"/>
        </w:rPr>
        <w:t xml:space="preserve">  </w:t>
      </w:r>
      <w:r w:rsidRPr="00F54559">
        <w:rPr>
          <w:rFonts w:cstheme="minorHAnsi"/>
          <w:sz w:val="24"/>
          <w:szCs w:val="24"/>
        </w:rPr>
        <w:t xml:space="preserve">Pension investments include various fixed income, equity, and hedge fund holdings that have </w:t>
      </w:r>
      <w:r w:rsidRPr="00F54559">
        <w:rPr>
          <w:rFonts w:eastAsia="Times New Roman" w:cstheme="minorHAnsi"/>
          <w:spacing w:val="-3"/>
          <w:sz w:val="24"/>
          <w:szCs w:val="20"/>
        </w:rPr>
        <w:t>foreign currency exposure, with some funds hedging against foreign currency risk.  Portfolio foreign currency exposure was $</w:t>
      </w:r>
      <w:r w:rsidRPr="00AF2E67">
        <w:rPr>
          <w:rFonts w:eastAsia="Times New Roman" w:cstheme="minorHAnsi"/>
          <w:spacing w:val="-3"/>
          <w:sz w:val="24"/>
          <w:szCs w:val="20"/>
        </w:rPr>
        <w:t xml:space="preserve">4,956 </w:t>
      </w:r>
      <w:r w:rsidRPr="00F54559">
        <w:rPr>
          <w:rFonts w:eastAsia="Times New Roman" w:cstheme="minorHAnsi"/>
          <w:spacing w:val="-3"/>
          <w:sz w:val="24"/>
          <w:szCs w:val="20"/>
        </w:rPr>
        <w:t>and $</w:t>
      </w:r>
      <w:r>
        <w:rPr>
          <w:rFonts w:eastAsia="Times New Roman" w:cstheme="minorHAnsi"/>
          <w:spacing w:val="-3"/>
          <w:sz w:val="24"/>
          <w:szCs w:val="20"/>
        </w:rPr>
        <w:t>9,095</w:t>
      </w:r>
      <w:r w:rsidRPr="00F54559">
        <w:rPr>
          <w:rFonts w:eastAsia="Times New Roman" w:cstheme="minorHAnsi"/>
          <w:spacing w:val="-3"/>
          <w:sz w:val="24"/>
          <w:szCs w:val="20"/>
        </w:rPr>
        <w:t xml:space="preserve"> at June 30, 20</w:t>
      </w:r>
      <w:r>
        <w:rPr>
          <w:rFonts w:eastAsia="Times New Roman" w:cstheme="minorHAnsi"/>
          <w:spacing w:val="-3"/>
          <w:sz w:val="24"/>
          <w:szCs w:val="20"/>
        </w:rPr>
        <w:t>21</w:t>
      </w:r>
      <w:r w:rsidRPr="00F54559">
        <w:rPr>
          <w:rFonts w:eastAsia="Times New Roman" w:cstheme="minorHAnsi"/>
          <w:spacing w:val="-3"/>
          <w:sz w:val="24"/>
          <w:szCs w:val="20"/>
        </w:rPr>
        <w:t xml:space="preserve"> and 20</w:t>
      </w:r>
      <w:r>
        <w:rPr>
          <w:rFonts w:eastAsia="Times New Roman" w:cstheme="minorHAnsi"/>
          <w:spacing w:val="-3"/>
          <w:sz w:val="24"/>
          <w:szCs w:val="20"/>
        </w:rPr>
        <w:t>20</w:t>
      </w:r>
      <w:r w:rsidRPr="00F54559">
        <w:rPr>
          <w:rFonts w:eastAsia="Times New Roman" w:cstheme="minorHAnsi"/>
          <w:spacing w:val="-3"/>
          <w:sz w:val="24"/>
          <w:szCs w:val="20"/>
        </w:rPr>
        <w:t>, respectively.</w:t>
      </w:r>
      <w:r w:rsidRPr="00F54559">
        <w:rPr>
          <w:rFonts w:cstheme="minorHAnsi"/>
        </w:rPr>
        <w:br w:type="page"/>
      </w:r>
    </w:p>
    <w:p w14:paraId="5B55C815" w14:textId="77777777" w:rsidR="00051D7E" w:rsidRPr="00F54559" w:rsidRDefault="00051D7E" w:rsidP="00051D7E">
      <w:pPr>
        <w:pStyle w:val="AFR3"/>
        <w:rPr>
          <w:rFonts w:cstheme="minorHAnsi"/>
          <w:u w:val="none"/>
        </w:rPr>
      </w:pPr>
      <w:r w:rsidRPr="00F54559">
        <w:rPr>
          <w:rFonts w:eastAsiaTheme="majorEastAsia" w:cstheme="minorHAnsi"/>
          <w:iCs/>
          <w:smallCaps/>
          <w:noProof/>
          <w:color w:val="000000" w:themeColor="text1"/>
          <w:szCs w:val="26"/>
          <w:u w:val="none"/>
        </w:rPr>
        <w:lastRenderedPageBreak/>
        <w:t>3. INVESTMENTS - CONTINUED</w:t>
      </w:r>
    </w:p>
    <w:p w14:paraId="04E9B6E8" w14:textId="77777777" w:rsidR="00051D7E" w:rsidRPr="00F54559" w:rsidRDefault="00051D7E" w:rsidP="00051D7E">
      <w:pPr>
        <w:pStyle w:val="AFR3"/>
        <w:rPr>
          <w:rFonts w:cstheme="minorHAnsi"/>
        </w:rPr>
      </w:pPr>
      <w:r w:rsidRPr="00F54559">
        <w:rPr>
          <w:rFonts w:cstheme="minorHAnsi"/>
        </w:rPr>
        <w:t xml:space="preserve">d. </w:t>
      </w:r>
      <w:r w:rsidRPr="0059135A">
        <w:rPr>
          <w:rFonts w:cstheme="minorHAnsi"/>
        </w:rPr>
        <w:t>Investment Income</w:t>
      </w:r>
    </w:p>
    <w:p w14:paraId="151A9DA1" w14:textId="606955C6" w:rsidR="00051D7E" w:rsidRDefault="00051D7E" w:rsidP="00051D7E">
      <w:pPr>
        <w:tabs>
          <w:tab w:val="left" w:pos="720"/>
          <w:tab w:val="decimal" w:pos="6786"/>
          <w:tab w:val="decimal" w:pos="9187"/>
        </w:tabs>
        <w:suppressAutoHyphens/>
        <w:spacing w:after="120"/>
        <w:rPr>
          <w:rFonts w:eastAsia="Times New Roman" w:cstheme="minorHAnsi"/>
          <w:spacing w:val="-3"/>
          <w:sz w:val="24"/>
          <w:szCs w:val="20"/>
        </w:rPr>
      </w:pPr>
      <w:r w:rsidRPr="00F54559">
        <w:rPr>
          <w:rFonts w:eastAsia="Times New Roman" w:cstheme="minorHAnsi"/>
          <w:spacing w:val="-3"/>
          <w:sz w:val="24"/>
          <w:szCs w:val="20"/>
        </w:rPr>
        <w:t xml:space="preserve">Income related to the </w:t>
      </w:r>
      <w:r w:rsidRPr="00F54559">
        <w:rPr>
          <w:rFonts w:eastAsia="Times New Roman" w:cstheme="minorHAnsi"/>
          <w:b/>
          <w:spacing w:val="-3"/>
          <w:sz w:val="24"/>
          <w:szCs w:val="20"/>
        </w:rPr>
        <w:t>System’s investments</w:t>
      </w:r>
      <w:r w:rsidR="000752AB">
        <w:rPr>
          <w:rFonts w:eastAsia="Times New Roman" w:cstheme="minorHAnsi"/>
          <w:b/>
          <w:spacing w:val="-3"/>
          <w:sz w:val="24"/>
          <w:szCs w:val="20"/>
        </w:rPr>
        <w:t xml:space="preserve"> </w:t>
      </w:r>
      <w:r w:rsidR="00AD1C46" w:rsidRPr="0080169A">
        <w:rPr>
          <w:rFonts w:eastAsia="Times New Roman" w:cstheme="minorHAnsi"/>
          <w:spacing w:val="-3"/>
          <w:sz w:val="24"/>
          <w:szCs w:val="20"/>
        </w:rPr>
        <w:t xml:space="preserve">and </w:t>
      </w:r>
      <w:r w:rsidR="000752AB" w:rsidRPr="0080169A">
        <w:rPr>
          <w:rFonts w:eastAsia="Times New Roman" w:cstheme="minorHAnsi"/>
          <w:spacing w:val="-3"/>
          <w:sz w:val="24"/>
          <w:szCs w:val="20"/>
        </w:rPr>
        <w:t>reported in the accompanying Statements of Revenues, Expenses and Changes in Net Position</w:t>
      </w:r>
      <w:r w:rsidRPr="00F54559">
        <w:rPr>
          <w:rFonts w:eastAsia="Times New Roman" w:cstheme="minorHAnsi"/>
          <w:spacing w:val="-3"/>
          <w:sz w:val="24"/>
          <w:szCs w:val="20"/>
        </w:rPr>
        <w:t xml:space="preserve"> is as follows:</w:t>
      </w:r>
    </w:p>
    <w:p w14:paraId="391DD792" w14:textId="472B33BE" w:rsidR="00051D7E" w:rsidRPr="00F54559" w:rsidRDefault="008571B6" w:rsidP="00051D7E">
      <w:pPr>
        <w:tabs>
          <w:tab w:val="left" w:pos="720"/>
          <w:tab w:val="decimal" w:pos="6786"/>
          <w:tab w:val="decimal" w:pos="9187"/>
        </w:tabs>
        <w:suppressAutoHyphens/>
        <w:spacing w:before="160" w:after="160"/>
        <w:jc w:val="center"/>
        <w:rPr>
          <w:rFonts w:eastAsia="Times New Roman" w:cstheme="minorHAnsi"/>
          <w:spacing w:val="-3"/>
          <w:sz w:val="24"/>
          <w:szCs w:val="20"/>
        </w:rPr>
      </w:pPr>
      <w:r w:rsidRPr="008571B6">
        <w:rPr>
          <w:noProof/>
        </w:rPr>
        <w:drawing>
          <wp:inline distT="0" distB="0" distL="0" distR="0" wp14:anchorId="699BC717" wp14:editId="0CA11E15">
            <wp:extent cx="5606415" cy="5682615"/>
            <wp:effectExtent l="0" t="0" r="0" b="0"/>
            <wp:docPr id="77" name="Picture 77" descr="2021    &#10; &quot;Net&#10;Gains&#10;(Losses)&quot; &quot;Interest&#10;and&#10;Dividends&quot; &quot;Investment&#10;Fees&quot; &quot;Net&#10;Income&#10;(Loss)&quot;&#10;Endowment investment income and fees  $34,619   $1,803   $(963)  $35,459 &#10;Net income allocated to annuities payable to others     (47)&#10;System endowment net income     $35,412 &#10;Reported as endowment return used for operations     $6,006 &#10;Reported as endowment return, net of amount used for operations     29,406 &#10;System endowment income     $35,412 &#10;Operating investments  $17,595   $5,877   $(999)  $22,473 &#10;Perkins savings account  -   9   -   9 &#10;Deposits with bond trustees  -   3   -   3 &#10;Total other investment income (loss)  $17,595   $5,889   $(999)  $22,485 &#10;    &#10;2020 Restated   &#10; &quot;Net&#10;Gains&#10;(Losses)&quot; &quot;Interest&#10;and&#10;Dividends&quot; &quot;Investment&#10;Fees&quot; &quot;Net&#10;Income&#10;(Loss)&quot;&#10;Endowment investment income and fees  $157   $2,049   $(765)  $1,441 &#10;Net income allocated to annuities payable to others     (3)&#10;System endowment net income     $1,438 &#10;Reported as endowment return used for operations     $5,603 &#10;Reported as endowment return, net of amount used for operations     (4,165)&#10;System endowment income     $1,438 &#10;Operating investments  $3,063   $6,902   $(1,023)  $8,942 &#10;Perkins savings account  -   38   -   38 &#10;Deposits with bond trustees  -   94   -   94 &#10;Total other investment income (loss)  $3,063   $7,034   $(1,023)  $9,0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06415" cy="5682615"/>
                    </a:xfrm>
                    <a:prstGeom prst="rect">
                      <a:avLst/>
                    </a:prstGeom>
                    <a:noFill/>
                    <a:ln>
                      <a:noFill/>
                    </a:ln>
                  </pic:spPr>
                </pic:pic>
              </a:graphicData>
            </a:graphic>
          </wp:inline>
        </w:drawing>
      </w:r>
      <w:r w:rsidR="00051D7E">
        <w:rPr>
          <w:rFonts w:eastAsia="Times New Roman" w:cstheme="minorHAnsi"/>
          <w:spacing w:val="-3"/>
          <w:sz w:val="24"/>
          <w:szCs w:val="20"/>
        </w:rPr>
        <w:fldChar w:fldCharType="begin"/>
      </w:r>
      <w:r w:rsidR="00051D7E">
        <w:rPr>
          <w:rFonts w:eastAsia="Times New Roman" w:cstheme="minorHAnsi"/>
          <w:spacing w:val="-3"/>
          <w:sz w:val="24"/>
          <w:szCs w:val="20"/>
        </w:rPr>
        <w:fldChar w:fldCharType="end"/>
      </w:r>
    </w:p>
    <w:p w14:paraId="48E3CAB7" w14:textId="77777777" w:rsidR="00051D7E" w:rsidRPr="00F54559" w:rsidRDefault="00051D7E" w:rsidP="00051D7E">
      <w:pPr>
        <w:spacing w:after="160" w:line="259" w:lineRule="auto"/>
        <w:rPr>
          <w:rFonts w:eastAsiaTheme="majorEastAsia" w:cstheme="minorHAnsi"/>
          <w:b/>
          <w:i/>
          <w:iCs/>
          <w:smallCaps/>
          <w:noProof/>
          <w:color w:val="000000" w:themeColor="text1"/>
          <w:sz w:val="24"/>
          <w:szCs w:val="24"/>
          <w:u w:color="5B9BD5"/>
        </w:rPr>
      </w:pPr>
      <w:r w:rsidRPr="00F54559">
        <w:rPr>
          <w:rFonts w:cstheme="minorHAnsi"/>
          <w:sz w:val="24"/>
          <w:szCs w:val="24"/>
        </w:rPr>
        <w:t xml:space="preserve">See Note 13d for investment returns related to </w:t>
      </w:r>
      <w:r w:rsidRPr="00F54559">
        <w:rPr>
          <w:rFonts w:cstheme="minorHAnsi"/>
          <w:spacing w:val="-3"/>
          <w:sz w:val="24"/>
          <w:szCs w:val="24"/>
        </w:rPr>
        <w:t xml:space="preserve">the </w:t>
      </w:r>
      <w:r w:rsidRPr="00F54559">
        <w:rPr>
          <w:rFonts w:cstheme="minorHAnsi"/>
          <w:b/>
          <w:spacing w:val="-3"/>
          <w:sz w:val="24"/>
          <w:szCs w:val="24"/>
        </w:rPr>
        <w:t>Defined Benefit Plan – Classified Employees</w:t>
      </w:r>
      <w:r w:rsidRPr="00F54559">
        <w:rPr>
          <w:rFonts w:cstheme="minorHAnsi"/>
          <w:sz w:val="24"/>
          <w:szCs w:val="24"/>
        </w:rPr>
        <w:t>.</w:t>
      </w:r>
      <w:r w:rsidRPr="00F54559">
        <w:rPr>
          <w:rFonts w:cstheme="minorHAnsi"/>
          <w:sz w:val="24"/>
          <w:szCs w:val="24"/>
        </w:rPr>
        <w:br w:type="page"/>
      </w:r>
    </w:p>
    <w:p w14:paraId="65E49DAD" w14:textId="77777777" w:rsidR="00051D7E" w:rsidRPr="00F54559" w:rsidRDefault="00051D7E" w:rsidP="00051D7E">
      <w:pPr>
        <w:pStyle w:val="AFR2"/>
        <w:rPr>
          <w:rFonts w:cstheme="minorHAnsi"/>
          <w:sz w:val="26"/>
          <w:szCs w:val="26"/>
        </w:rPr>
      </w:pPr>
      <w:r w:rsidRPr="00F54559">
        <w:rPr>
          <w:rFonts w:cstheme="minorHAnsi"/>
          <w:sz w:val="26"/>
          <w:szCs w:val="26"/>
        </w:rPr>
        <w:lastRenderedPageBreak/>
        <w:t xml:space="preserve">4. </w:t>
      </w:r>
      <w:r w:rsidRPr="00636881">
        <w:rPr>
          <w:rFonts w:cstheme="minorHAnsi"/>
          <w:sz w:val="26"/>
          <w:szCs w:val="26"/>
        </w:rPr>
        <w:t>ACCOUNTS, GRANTS, AND PLEDGES RECEIVABLE</w:t>
      </w:r>
    </w:p>
    <w:p w14:paraId="0E81F5D4" w14:textId="77777777" w:rsidR="00051D7E" w:rsidRPr="00F54559" w:rsidRDefault="00051D7E" w:rsidP="00051D7E">
      <w:pPr>
        <w:tabs>
          <w:tab w:val="left" w:pos="720"/>
          <w:tab w:val="left" w:pos="1440"/>
          <w:tab w:val="decimal" w:pos="6786"/>
          <w:tab w:val="decimal" w:pos="9079"/>
        </w:tabs>
        <w:suppressAutoHyphens/>
        <w:rPr>
          <w:rFonts w:eastAsia="Times New Roman" w:cstheme="minorHAnsi"/>
          <w:bCs/>
          <w:spacing w:val="-3"/>
          <w:sz w:val="24"/>
        </w:rPr>
      </w:pPr>
      <w:r w:rsidRPr="00F54559">
        <w:rPr>
          <w:rFonts w:eastAsia="Times New Roman" w:cstheme="minorHAnsi"/>
          <w:bCs/>
          <w:spacing w:val="-3"/>
          <w:sz w:val="24"/>
        </w:rPr>
        <w:t>Accounts, grants, and pledges receivable include the following at June 30:</w:t>
      </w:r>
    </w:p>
    <w:p w14:paraId="2AC082C9" w14:textId="54AD51A3" w:rsidR="00051D7E" w:rsidRPr="00735A4C" w:rsidRDefault="000438AF" w:rsidP="00051D7E">
      <w:pPr>
        <w:tabs>
          <w:tab w:val="left" w:pos="720"/>
          <w:tab w:val="left" w:pos="1440"/>
          <w:tab w:val="decimal" w:pos="6786"/>
          <w:tab w:val="decimal" w:pos="9079"/>
        </w:tabs>
        <w:suppressAutoHyphens/>
        <w:spacing w:before="160" w:after="160"/>
        <w:rPr>
          <w:rFonts w:eastAsia="Times New Roman" w:cstheme="minorHAnsi"/>
          <w:bCs/>
          <w:spacing w:val="-3"/>
          <w:sz w:val="20"/>
        </w:rPr>
      </w:pPr>
      <w:r w:rsidRPr="000438AF">
        <w:rPr>
          <w:noProof/>
        </w:rPr>
        <w:drawing>
          <wp:inline distT="0" distB="0" distL="0" distR="0" wp14:anchorId="441DB084" wp14:editId="405FE308">
            <wp:extent cx="5943600" cy="2122271"/>
            <wp:effectExtent l="0" t="0" r="0" b="0"/>
            <wp:docPr id="11" name="Picture 11" descr=" 2021   2020  &#10; Total &quot;Current&#10;Portion&quot; &quot;Noncurrent &#10;Portion&quot; Total &quot;Current&#10;Portion&quot; &quot;Noncurrent &#10;Portion&quot;&#10;Student and other accounts receivable  $45,729   $45,236   $493   $38,798   $38,362   $436 &#10;Grants receivable  51,705   48,530   3,175   28,587   25,642   2,945 &#10;Pledges receivable  528   106   422   2,086   1,794   292 &#10;Total gross receivables  97,962   93,872   4,090   69,471   65,798   3,673 &#10;Less allowance for doubtful accounts  (19,233)  (19,225)  (8)  (13,492)  (13,486)  (6)&#10;Less discount on pledges receivable  (13)  -   (13)  (7)  -   (7)&#10;Total receivables, net  $78,716   $74,647   $4,069   $55,972   $52,312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2122271"/>
                    </a:xfrm>
                    <a:prstGeom prst="rect">
                      <a:avLst/>
                    </a:prstGeom>
                    <a:noFill/>
                    <a:ln>
                      <a:noFill/>
                    </a:ln>
                  </pic:spPr>
                </pic:pic>
              </a:graphicData>
            </a:graphic>
          </wp:inline>
        </w:drawing>
      </w:r>
      <w:r w:rsidR="00051D7E">
        <w:rPr>
          <w:rFonts w:eastAsia="Times New Roman" w:cstheme="minorHAnsi"/>
          <w:bCs/>
          <w:spacing w:val="-3"/>
          <w:sz w:val="20"/>
        </w:rPr>
        <w:fldChar w:fldCharType="begin"/>
      </w:r>
      <w:r w:rsidR="00051D7E">
        <w:rPr>
          <w:rFonts w:eastAsia="Times New Roman" w:cstheme="minorHAnsi"/>
          <w:bCs/>
          <w:spacing w:val="-3"/>
          <w:sz w:val="20"/>
        </w:rPr>
        <w:fldChar w:fldCharType="end"/>
      </w:r>
    </w:p>
    <w:p w14:paraId="36661869" w14:textId="77777777" w:rsidR="00051D7E" w:rsidRPr="00F54559" w:rsidRDefault="00051D7E" w:rsidP="00051D7E">
      <w:pPr>
        <w:tabs>
          <w:tab w:val="left" w:pos="0"/>
          <w:tab w:val="left" w:pos="90"/>
          <w:tab w:val="decimal" w:pos="6786"/>
          <w:tab w:val="decimal" w:pos="9079"/>
        </w:tabs>
        <w:suppressAutoHyphens/>
        <w:rPr>
          <w:rFonts w:eastAsia="Times New Roman" w:cstheme="minorHAnsi"/>
          <w:bCs/>
          <w:spacing w:val="-3"/>
          <w:sz w:val="24"/>
        </w:rPr>
      </w:pPr>
      <w:r w:rsidRPr="00F54559">
        <w:rPr>
          <w:rFonts w:eastAsia="Times New Roman" w:cstheme="minorHAnsi"/>
          <w:bCs/>
          <w:spacing w:val="-3"/>
          <w:sz w:val="24"/>
        </w:rPr>
        <w:t>In accordance with GASB Statement No. 35, grants receivable related to the acquisition of capital assets is reported as a noncurrent receivable even though collection is expected within the next twelve months.</w:t>
      </w:r>
    </w:p>
    <w:p w14:paraId="05C34140" w14:textId="77777777" w:rsidR="00051D7E" w:rsidRPr="00F54559" w:rsidRDefault="00051D7E" w:rsidP="00051D7E">
      <w:pPr>
        <w:pStyle w:val="AFR2"/>
        <w:rPr>
          <w:rFonts w:cstheme="minorHAnsi"/>
          <w:sz w:val="26"/>
          <w:szCs w:val="26"/>
        </w:rPr>
      </w:pPr>
      <w:r w:rsidRPr="00F54559">
        <w:rPr>
          <w:rFonts w:cstheme="minorHAnsi"/>
          <w:sz w:val="26"/>
          <w:szCs w:val="26"/>
        </w:rPr>
        <w:t xml:space="preserve">5. </w:t>
      </w:r>
      <w:r w:rsidRPr="00AC43BF">
        <w:rPr>
          <w:rFonts w:cstheme="minorHAnsi"/>
          <w:sz w:val="26"/>
          <w:szCs w:val="26"/>
        </w:rPr>
        <w:t>NOTES AND LEASES RECEIVABLE</w:t>
      </w:r>
    </w:p>
    <w:p w14:paraId="2EAAE435" w14:textId="77777777" w:rsidR="00051D7E" w:rsidRPr="00F54559" w:rsidRDefault="00051D7E" w:rsidP="00051D7E">
      <w:pPr>
        <w:tabs>
          <w:tab w:val="left" w:pos="720"/>
          <w:tab w:val="left" w:pos="1022"/>
          <w:tab w:val="left" w:pos="1440"/>
        </w:tabs>
        <w:suppressAutoHyphens/>
        <w:rPr>
          <w:rFonts w:cstheme="minorHAnsi"/>
          <w:sz w:val="24"/>
          <w:szCs w:val="20"/>
        </w:rPr>
      </w:pPr>
      <w:r w:rsidRPr="00F54559">
        <w:rPr>
          <w:rFonts w:cstheme="minorHAnsi"/>
          <w:bCs/>
          <w:spacing w:val="-3"/>
          <w:sz w:val="24"/>
        </w:rPr>
        <w:t>Notes and leases receivable include the following at June 30:</w:t>
      </w:r>
    </w:p>
    <w:p w14:paraId="6D018251" w14:textId="77777777" w:rsidR="00051D7E" w:rsidRPr="00F54559" w:rsidRDefault="00051D7E" w:rsidP="00051D7E">
      <w:pPr>
        <w:tabs>
          <w:tab w:val="left" w:pos="720"/>
          <w:tab w:val="left" w:pos="1022"/>
          <w:tab w:val="left" w:pos="1440"/>
        </w:tabs>
        <w:suppressAutoHyphens/>
        <w:spacing w:before="160" w:after="120"/>
        <w:rPr>
          <w:rFonts w:cstheme="minorHAnsi"/>
          <w:bCs/>
          <w:spacing w:val="-3"/>
          <w:sz w:val="20"/>
        </w:rPr>
      </w:pPr>
      <w:r w:rsidRPr="000D6FC7">
        <w:rPr>
          <w:noProof/>
        </w:rPr>
        <w:drawing>
          <wp:inline distT="0" distB="0" distL="0" distR="0" wp14:anchorId="20311F09" wp14:editId="21323110">
            <wp:extent cx="5669280" cy="2106930"/>
            <wp:effectExtent l="0" t="0" r="0" b="0"/>
            <wp:docPr id="20" name="Picture 20" descr=" 2021   2020  &#10; Total &quot;Current&#10;Portion&quot; &quot;Noncurrent &#10;Portion&quot; Total &quot;Current&#10;Portion&quot; &quot;Noncurrent &#10;Portion&quot;&#10;      &#10;Perkins loans  $15,355   $-   $15,355   $19,804   $-   $19,804 &#10;Nursing loans  2,141   -   2,141   2,240   -   2,240 &#10;Institutional loans  11,145   -   11,145   10,749   -   10,749 &#10;Lease receivable (a)  500   63   437   563   63   500 &#10;Total notes and leases receivable  29,141   63   29,078   33,356   63   33,293 &#10;Less allowance for doubtful accounts  (885)  -   (885)  (1,142)  -   (1,142)&#10;Total notes and leases receivable, net  $28,256   $63   $28,193   $32,214   $63   $3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69280" cy="2106930"/>
                    </a:xfrm>
                    <a:prstGeom prst="rect">
                      <a:avLst/>
                    </a:prstGeom>
                    <a:noFill/>
                    <a:ln>
                      <a:noFill/>
                    </a:ln>
                  </pic:spPr>
                </pic:pic>
              </a:graphicData>
            </a:graphic>
          </wp:inline>
        </w:drawing>
      </w:r>
      <w:r>
        <w:rPr>
          <w:rFonts w:cstheme="minorHAnsi"/>
          <w:bCs/>
          <w:spacing w:val="-3"/>
          <w:sz w:val="20"/>
        </w:rPr>
        <w:fldChar w:fldCharType="begin"/>
      </w:r>
      <w:r>
        <w:rPr>
          <w:rFonts w:cstheme="minorHAnsi"/>
          <w:bCs/>
          <w:spacing w:val="-3"/>
          <w:sz w:val="20"/>
        </w:rPr>
        <w:fldChar w:fldCharType="end"/>
      </w:r>
    </w:p>
    <w:p w14:paraId="6DF15F0D" w14:textId="77777777" w:rsidR="00051D7E" w:rsidRPr="00F54559" w:rsidRDefault="00051D7E" w:rsidP="00051D7E">
      <w:pPr>
        <w:tabs>
          <w:tab w:val="left" w:pos="540"/>
          <w:tab w:val="left" w:pos="1800"/>
        </w:tabs>
        <w:suppressAutoHyphens/>
        <w:rPr>
          <w:rFonts w:cstheme="minorHAnsi"/>
          <w:bCs/>
          <w:spacing w:val="-3"/>
          <w:sz w:val="20"/>
        </w:rPr>
      </w:pPr>
      <w:r w:rsidRPr="00F54559">
        <w:rPr>
          <w:rFonts w:cstheme="minorHAnsi"/>
          <w:bCs/>
          <w:spacing w:val="-3"/>
          <w:sz w:val="24"/>
        </w:rPr>
        <w:t xml:space="preserve">Collections of the </w:t>
      </w:r>
      <w:proofErr w:type="gramStart"/>
      <w:r w:rsidRPr="00F54559">
        <w:rPr>
          <w:rFonts w:cstheme="minorHAnsi"/>
          <w:bCs/>
          <w:spacing w:val="-3"/>
          <w:sz w:val="24"/>
        </w:rPr>
        <w:t>notes</w:t>
      </w:r>
      <w:proofErr w:type="gramEnd"/>
      <w:r w:rsidRPr="00F54559">
        <w:rPr>
          <w:rFonts w:cstheme="minorHAnsi"/>
          <w:bCs/>
          <w:spacing w:val="-3"/>
          <w:sz w:val="24"/>
        </w:rPr>
        <w:t xml:space="preserve"> receivable for Perkins, Nursing, and Institutional loans may not be used to pay current liabilities, as the proceeds are restricted for making new loans.  Accordingly, these notes receivable are recorded in the accompanying Statements of Net Position as noncurrent assets.</w:t>
      </w:r>
    </w:p>
    <w:p w14:paraId="5FD858DA" w14:textId="77777777" w:rsidR="00051D7E" w:rsidRPr="00F54559" w:rsidRDefault="00051D7E" w:rsidP="00051D7E">
      <w:pPr>
        <w:tabs>
          <w:tab w:val="left" w:pos="540"/>
          <w:tab w:val="left" w:pos="1800"/>
        </w:tabs>
        <w:suppressAutoHyphens/>
        <w:rPr>
          <w:rFonts w:cstheme="minorHAnsi"/>
          <w:bCs/>
          <w:spacing w:val="-3"/>
          <w:sz w:val="20"/>
        </w:rPr>
      </w:pPr>
    </w:p>
    <w:p w14:paraId="09D58907" w14:textId="77777777" w:rsidR="00051D7E" w:rsidRPr="00F54559" w:rsidRDefault="00051D7E" w:rsidP="00051D7E">
      <w:pPr>
        <w:numPr>
          <w:ilvl w:val="0"/>
          <w:numId w:val="12"/>
        </w:numPr>
        <w:tabs>
          <w:tab w:val="left" w:pos="720"/>
          <w:tab w:val="left" w:pos="1440"/>
        </w:tabs>
        <w:suppressAutoHyphens/>
        <w:ind w:right="360"/>
        <w:rPr>
          <w:rFonts w:eastAsia="Times New Roman" w:cstheme="minorHAnsi"/>
          <w:bCs/>
          <w:spacing w:val="-3"/>
          <w:sz w:val="24"/>
          <w:szCs w:val="24"/>
        </w:rPr>
      </w:pPr>
      <w:r w:rsidRPr="00F54559">
        <w:rPr>
          <w:rFonts w:eastAsia="Times New Roman" w:cstheme="minorHAnsi"/>
          <w:bCs/>
          <w:spacing w:val="-3"/>
          <w:sz w:val="24"/>
          <w:szCs w:val="24"/>
        </w:rPr>
        <w:t xml:space="preserve">Lease receivable consists of a lease with the University of New Hampshire, secured by equipment with monthly payments of </w:t>
      </w:r>
      <w:r w:rsidRPr="000D6FC7">
        <w:rPr>
          <w:rFonts w:eastAsia="Times New Roman" w:cstheme="minorHAnsi"/>
          <w:bCs/>
          <w:spacing w:val="-3"/>
          <w:sz w:val="24"/>
          <w:szCs w:val="24"/>
        </w:rPr>
        <w:t>$</w:t>
      </w:r>
      <w:r w:rsidRPr="00C921E6">
        <w:rPr>
          <w:rFonts w:eastAsia="Times New Roman" w:cstheme="minorHAnsi"/>
          <w:bCs/>
          <w:spacing w:val="-3"/>
          <w:sz w:val="24"/>
          <w:szCs w:val="24"/>
        </w:rPr>
        <w:t xml:space="preserve">5, including interest at 4.85% per </w:t>
      </w:r>
      <w:r w:rsidRPr="00F54559">
        <w:rPr>
          <w:rFonts w:eastAsia="Times New Roman" w:cstheme="minorHAnsi"/>
          <w:bCs/>
          <w:spacing w:val="-3"/>
          <w:sz w:val="24"/>
          <w:szCs w:val="24"/>
        </w:rPr>
        <w:t>annum.  The lease matures in 2029.</w:t>
      </w:r>
    </w:p>
    <w:p w14:paraId="5FF67F3F" w14:textId="77777777" w:rsidR="00051D7E" w:rsidRPr="00F54559" w:rsidRDefault="00051D7E" w:rsidP="00051D7E">
      <w:pPr>
        <w:pStyle w:val="AFR2"/>
        <w:rPr>
          <w:rFonts w:cstheme="minorHAnsi"/>
          <w:sz w:val="26"/>
          <w:szCs w:val="26"/>
        </w:rPr>
      </w:pPr>
      <w:r w:rsidRPr="00F54559">
        <w:rPr>
          <w:rFonts w:cstheme="minorHAnsi"/>
          <w:sz w:val="26"/>
          <w:szCs w:val="26"/>
        </w:rPr>
        <w:lastRenderedPageBreak/>
        <w:t>6. CAPITAL ASSETS</w:t>
      </w:r>
    </w:p>
    <w:p w14:paraId="0E7C8C73" w14:textId="77777777" w:rsidR="00051D7E" w:rsidRDefault="00051D7E" w:rsidP="00051D7E">
      <w:pPr>
        <w:tabs>
          <w:tab w:val="left" w:pos="720"/>
          <w:tab w:val="left" w:pos="1440"/>
          <w:tab w:val="right" w:pos="4262"/>
          <w:tab w:val="right" w:pos="5220"/>
          <w:tab w:val="right" w:pos="6691"/>
          <w:tab w:val="right" w:pos="7621"/>
          <w:tab w:val="right" w:pos="9187"/>
        </w:tabs>
        <w:suppressAutoHyphens/>
        <w:spacing w:after="120"/>
        <w:rPr>
          <w:rFonts w:cstheme="minorHAnsi"/>
          <w:bCs/>
          <w:spacing w:val="-3"/>
          <w:sz w:val="24"/>
        </w:rPr>
      </w:pPr>
      <w:r w:rsidRPr="00F54559">
        <w:rPr>
          <w:rFonts w:cstheme="minorHAnsi"/>
          <w:bCs/>
          <w:spacing w:val="-3"/>
          <w:sz w:val="24"/>
        </w:rPr>
        <w:t>Capital asset activity for the year ended June 30, 20</w:t>
      </w:r>
      <w:r>
        <w:rPr>
          <w:rFonts w:cstheme="minorHAnsi"/>
          <w:bCs/>
          <w:spacing w:val="-3"/>
          <w:sz w:val="24"/>
        </w:rPr>
        <w:t>21</w:t>
      </w:r>
      <w:r w:rsidRPr="00F54559">
        <w:rPr>
          <w:rFonts w:cstheme="minorHAnsi"/>
          <w:bCs/>
          <w:spacing w:val="-3"/>
          <w:sz w:val="24"/>
        </w:rPr>
        <w:t xml:space="preserve"> is as follows:</w:t>
      </w:r>
    </w:p>
    <w:p w14:paraId="5B24D538" w14:textId="77777777" w:rsidR="00051D7E" w:rsidRPr="00F54559" w:rsidRDefault="00051D7E" w:rsidP="00051D7E">
      <w:pPr>
        <w:tabs>
          <w:tab w:val="left" w:pos="720"/>
          <w:tab w:val="left" w:pos="1440"/>
          <w:tab w:val="right" w:pos="4262"/>
          <w:tab w:val="right" w:pos="5220"/>
          <w:tab w:val="right" w:pos="6691"/>
          <w:tab w:val="right" w:pos="7621"/>
          <w:tab w:val="right" w:pos="9187"/>
        </w:tabs>
        <w:suppressAutoHyphens/>
        <w:spacing w:after="120"/>
        <w:rPr>
          <w:rFonts w:cstheme="minorHAnsi"/>
          <w:bCs/>
          <w:spacing w:val="-3"/>
          <w:sz w:val="24"/>
        </w:rPr>
      </w:pPr>
      <w:r w:rsidRPr="00DF7D09">
        <w:rPr>
          <w:noProof/>
        </w:rPr>
        <w:drawing>
          <wp:inline distT="0" distB="0" distL="0" distR="0" wp14:anchorId="3468770E" wp14:editId="5FF87BD7">
            <wp:extent cx="5943600" cy="3525398"/>
            <wp:effectExtent l="0" t="0" r="0" b="0"/>
            <wp:docPr id="38" name="Picture 38" descr=" &quot;Beginning&#10;Balance&quot; Additions Reclassifications Retirements &quot;Ending&#10;Balance&quot;&#10;Land  $18,376   $-   $-   $-   $18,376 &#10;Library materials  25,686   -   -   -   25,686 &#10;Construction in progress  23,582   45,985   (19,112)  -   50,455 &#10;Total nondepreciable assets  67,644   45,985   (19,112)  -   94,517 &#10;Land improvements  62,884   -   874   (162)  63,596 &#10;Buildings &amp; improvements  951,172   -   14,674   (4,564)  961,282 &#10;Equipment  171,421   3,978   3,564   (4,122)  174,841 &#10;Software  35,794   -   -   (98)  35,696 &#10;Total depreciable assets  1,221,271   3,978   19,112   (8,946)  1,235,415 &#10;Less accumulated depreciation:     &#10;Land improvements  42,544   2,304   -   (162)  44,686 &#10;Buildings &amp; improvements  414,067   27,015   -   (2,822)  438,260 &#10;Equipment  120,773   10,961   -   (3,634)  128,100 &#10;Software  28,358   2,005   -   (64)  30,299 &#10;Total accumulated depreciation  605,742   42,285   -   (6,682)  641,345 &#10;Net depreciable assets  615,529   (38,307)  19,112   (2,264)  594,070 &#10;Total capital assets  $683,173   $7,678   $-   $(2,264)  $688,58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525398"/>
                    </a:xfrm>
                    <a:prstGeom prst="rect">
                      <a:avLst/>
                    </a:prstGeom>
                    <a:noFill/>
                    <a:ln>
                      <a:noFill/>
                    </a:ln>
                  </pic:spPr>
                </pic:pic>
              </a:graphicData>
            </a:graphic>
          </wp:inline>
        </w:drawing>
      </w:r>
      <w:r>
        <w:rPr>
          <w:rFonts w:cstheme="minorHAnsi"/>
          <w:bCs/>
          <w:spacing w:val="-3"/>
          <w:sz w:val="24"/>
        </w:rPr>
        <w:fldChar w:fldCharType="begin"/>
      </w:r>
      <w:r>
        <w:rPr>
          <w:rFonts w:cstheme="minorHAnsi"/>
          <w:bCs/>
          <w:spacing w:val="-3"/>
          <w:sz w:val="24"/>
        </w:rPr>
        <w:fldChar w:fldCharType="end"/>
      </w:r>
    </w:p>
    <w:p w14:paraId="2F149D16" w14:textId="77777777" w:rsidR="00051D7E" w:rsidRDefault="00051D7E" w:rsidP="00051D7E">
      <w:pPr>
        <w:tabs>
          <w:tab w:val="left" w:pos="720"/>
          <w:tab w:val="left" w:pos="1440"/>
          <w:tab w:val="right" w:pos="4262"/>
          <w:tab w:val="right" w:pos="5220"/>
          <w:tab w:val="right" w:pos="6691"/>
          <w:tab w:val="right" w:pos="7621"/>
          <w:tab w:val="right" w:pos="9187"/>
        </w:tabs>
        <w:suppressAutoHyphens/>
        <w:spacing w:after="120"/>
        <w:rPr>
          <w:rFonts w:cstheme="minorHAnsi"/>
          <w:bCs/>
          <w:spacing w:val="-3"/>
          <w:sz w:val="24"/>
        </w:rPr>
      </w:pPr>
      <w:r w:rsidRPr="00F54559">
        <w:rPr>
          <w:rFonts w:cstheme="minorHAnsi"/>
          <w:bCs/>
          <w:spacing w:val="-3"/>
          <w:sz w:val="24"/>
        </w:rPr>
        <w:t xml:space="preserve">Capital asset activity for the year ended June 30, </w:t>
      </w:r>
      <w:r>
        <w:rPr>
          <w:rFonts w:cstheme="minorHAnsi"/>
          <w:bCs/>
          <w:spacing w:val="-3"/>
          <w:sz w:val="24"/>
        </w:rPr>
        <w:t>2020</w:t>
      </w:r>
      <w:r w:rsidRPr="00F54559">
        <w:rPr>
          <w:rFonts w:cstheme="minorHAnsi"/>
          <w:bCs/>
          <w:spacing w:val="-3"/>
          <w:sz w:val="24"/>
        </w:rPr>
        <w:t xml:space="preserve"> is as follows:</w:t>
      </w:r>
      <w:r>
        <w:rPr>
          <w:rFonts w:cstheme="minorHAnsi"/>
          <w:bCs/>
          <w:spacing w:val="-3"/>
          <w:sz w:val="24"/>
        </w:rPr>
        <w:t xml:space="preserve"> </w:t>
      </w:r>
    </w:p>
    <w:p w14:paraId="44DB235E" w14:textId="11F558E2" w:rsidR="00051D7E" w:rsidRPr="00F54559" w:rsidRDefault="00DE01B3" w:rsidP="00051D7E">
      <w:pPr>
        <w:tabs>
          <w:tab w:val="left" w:pos="720"/>
          <w:tab w:val="left" w:pos="1440"/>
          <w:tab w:val="right" w:pos="4262"/>
          <w:tab w:val="right" w:pos="5220"/>
          <w:tab w:val="right" w:pos="6691"/>
          <w:tab w:val="right" w:pos="7621"/>
          <w:tab w:val="right" w:pos="9187"/>
        </w:tabs>
        <w:suppressAutoHyphens/>
        <w:spacing w:after="120"/>
        <w:rPr>
          <w:rFonts w:cstheme="minorHAnsi"/>
          <w:bCs/>
          <w:spacing w:val="-3"/>
          <w:sz w:val="24"/>
        </w:rPr>
      </w:pPr>
      <w:r w:rsidRPr="00DE01B3">
        <w:rPr>
          <w:noProof/>
        </w:rPr>
        <w:drawing>
          <wp:inline distT="0" distB="0" distL="0" distR="0" wp14:anchorId="4728DD37" wp14:editId="5B462709">
            <wp:extent cx="5913120" cy="3691881"/>
            <wp:effectExtent l="0" t="0" r="0" b="4445"/>
            <wp:docPr id="56" name="Picture 56" descr=" &quot;Beginning&#10;Balance&quot; Additions Reclassifications Retirements &quot;Ending&#10;Balance&quot;&#10;Land  $18,376   $-   $-   $-   $18,376 &#10;Library materials  25,686   -   -   -   25,686 &#10;Construction in progress  17,806   31,265   (25,489)  -   23,582 &#10;Total nondepreciable assets  61,868   31,265   (25,489)  -   67,644 &#10;Land improvements  61,763   -   1,121   -   62,884 &#10;Buildings &amp; improvements  931,377   -   20,753   (958)  951,172 &#10;Equipment  163,069   4,948   3,615   (211)  171,421 &#10;Software  34,292   4,387   -   (2,885)  35,794 &#10;Total depreciable assets  1,190,501   9,335   25,489   (4,054)  1,221,271 &#10;Less accumulated depreciation:     &#10;Land improvements  40,268   2,276   -   -   42,544 &#10;Buildings &amp; improvements  388,305   26,188   -   (426)  414,067 &#10;Equipment  109,807   11,163   -   (197)  120,773 &#10;Software  29,032   2,211   -   (2,885)  28,358 &#10;Total accumulated depreciation  567,412   41,838   -   (3,508)  605,742 &#10;Net depreciable assets  623,089   (32,503)  25,489   (546)  615,529 &#10;Total capital assets  $684,957   $(1,238)  $-   $(546)  $683,17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
                      <a:extLst>
                        <a:ext uri="{28A0092B-C50C-407E-A947-70E740481C1C}">
                          <a14:useLocalDpi xmlns:a14="http://schemas.microsoft.com/office/drawing/2010/main" val="0"/>
                        </a:ext>
                      </a:extLst>
                    </a:blip>
                    <a:srcRect l="478" t="630" r="685" b="1556"/>
                    <a:stretch/>
                  </pic:blipFill>
                  <pic:spPr bwMode="auto">
                    <a:xfrm>
                      <a:off x="0" y="0"/>
                      <a:ext cx="5915016" cy="3693065"/>
                    </a:xfrm>
                    <a:prstGeom prst="rect">
                      <a:avLst/>
                    </a:prstGeom>
                    <a:noFill/>
                    <a:ln>
                      <a:noFill/>
                    </a:ln>
                    <a:extLst>
                      <a:ext uri="{53640926-AAD7-44D8-BBD7-CCE9431645EC}">
                        <a14:shadowObscured xmlns:a14="http://schemas.microsoft.com/office/drawing/2010/main"/>
                      </a:ext>
                    </a:extLst>
                  </pic:spPr>
                </pic:pic>
              </a:graphicData>
            </a:graphic>
          </wp:inline>
        </w:drawing>
      </w:r>
      <w:r w:rsidR="00051D7E">
        <w:rPr>
          <w:rFonts w:cstheme="minorHAnsi"/>
          <w:bCs/>
          <w:spacing w:val="-3"/>
          <w:sz w:val="24"/>
        </w:rPr>
        <w:fldChar w:fldCharType="begin"/>
      </w:r>
      <w:r w:rsidR="00051D7E">
        <w:rPr>
          <w:rFonts w:cstheme="minorHAnsi"/>
          <w:bCs/>
          <w:spacing w:val="-3"/>
          <w:sz w:val="24"/>
        </w:rPr>
        <w:fldChar w:fldCharType="end"/>
      </w:r>
    </w:p>
    <w:p w14:paraId="25E8A6D7" w14:textId="77777777" w:rsidR="00051D7E" w:rsidRPr="00F54559" w:rsidRDefault="00051D7E" w:rsidP="00051D7E">
      <w:pPr>
        <w:tabs>
          <w:tab w:val="left" w:pos="720"/>
          <w:tab w:val="left" w:pos="1022"/>
          <w:tab w:val="left" w:pos="1440"/>
          <w:tab w:val="decimal" w:pos="6890"/>
          <w:tab w:val="decimal" w:pos="9454"/>
          <w:tab w:val="left" w:pos="10440"/>
        </w:tabs>
        <w:suppressAutoHyphens/>
        <w:rPr>
          <w:rFonts w:cstheme="minorHAnsi"/>
          <w:spacing w:val="-3"/>
          <w:sz w:val="24"/>
        </w:rPr>
      </w:pPr>
      <w:r w:rsidRPr="00F54559">
        <w:rPr>
          <w:rFonts w:eastAsiaTheme="majorEastAsia" w:cstheme="minorHAnsi"/>
          <w:b/>
          <w:i/>
          <w:iCs/>
          <w:smallCaps/>
          <w:noProof/>
          <w:color w:val="000000" w:themeColor="text1"/>
          <w:sz w:val="26"/>
          <w:szCs w:val="26"/>
          <w:u w:color="5B9BD5"/>
        </w:rPr>
        <w:lastRenderedPageBreak/>
        <w:t>6. CAPITAL ASSETS - CONTINUED</w:t>
      </w:r>
    </w:p>
    <w:p w14:paraId="695549D7" w14:textId="77777777" w:rsidR="00051D7E" w:rsidRPr="00F54559" w:rsidRDefault="00051D7E" w:rsidP="00051D7E">
      <w:pPr>
        <w:tabs>
          <w:tab w:val="left" w:pos="720"/>
          <w:tab w:val="left" w:pos="1022"/>
          <w:tab w:val="left" w:pos="1440"/>
          <w:tab w:val="decimal" w:pos="6890"/>
          <w:tab w:val="decimal" w:pos="9454"/>
          <w:tab w:val="left" w:pos="10440"/>
        </w:tabs>
        <w:suppressAutoHyphens/>
        <w:rPr>
          <w:rFonts w:cstheme="minorHAnsi"/>
          <w:spacing w:val="-3"/>
          <w:sz w:val="24"/>
        </w:rPr>
      </w:pPr>
    </w:p>
    <w:p w14:paraId="07FE9EBE" w14:textId="2B12D7D2" w:rsidR="00051D7E" w:rsidRPr="00F54559" w:rsidRDefault="00051D7E" w:rsidP="00051D7E">
      <w:pPr>
        <w:tabs>
          <w:tab w:val="left" w:pos="720"/>
          <w:tab w:val="left" w:pos="1022"/>
          <w:tab w:val="left" w:pos="1440"/>
          <w:tab w:val="decimal" w:pos="6890"/>
          <w:tab w:val="decimal" w:pos="9454"/>
          <w:tab w:val="left" w:pos="10440"/>
        </w:tabs>
        <w:suppressAutoHyphens/>
        <w:rPr>
          <w:rFonts w:cstheme="minorHAnsi"/>
          <w:spacing w:val="-3"/>
          <w:sz w:val="24"/>
          <w:highlight w:val="yellow"/>
        </w:rPr>
      </w:pPr>
      <w:r w:rsidRPr="00F54559">
        <w:rPr>
          <w:rFonts w:cstheme="minorHAnsi"/>
          <w:spacing w:val="-3"/>
          <w:sz w:val="24"/>
        </w:rPr>
        <w:t>As of June 30, 20</w:t>
      </w:r>
      <w:r>
        <w:rPr>
          <w:rFonts w:cstheme="minorHAnsi"/>
          <w:spacing w:val="-3"/>
          <w:sz w:val="24"/>
        </w:rPr>
        <w:t>21</w:t>
      </w:r>
      <w:r w:rsidRPr="00F54559">
        <w:rPr>
          <w:rFonts w:cstheme="minorHAnsi"/>
          <w:spacing w:val="-3"/>
          <w:sz w:val="24"/>
        </w:rPr>
        <w:t xml:space="preserve"> and 20</w:t>
      </w:r>
      <w:r>
        <w:rPr>
          <w:rFonts w:cstheme="minorHAnsi"/>
          <w:spacing w:val="-3"/>
          <w:sz w:val="24"/>
        </w:rPr>
        <w:t>20</w:t>
      </w:r>
      <w:r w:rsidRPr="00F54559">
        <w:rPr>
          <w:rFonts w:cstheme="minorHAnsi"/>
          <w:spacing w:val="-3"/>
          <w:sz w:val="24"/>
        </w:rPr>
        <w:t>, $</w:t>
      </w:r>
      <w:r w:rsidRPr="004D725A">
        <w:rPr>
          <w:rFonts w:cstheme="minorHAnsi"/>
          <w:spacing w:val="-3"/>
          <w:sz w:val="24"/>
        </w:rPr>
        <w:t xml:space="preserve">34,179 </w:t>
      </w:r>
      <w:r w:rsidRPr="00F54559">
        <w:rPr>
          <w:rFonts w:cstheme="minorHAnsi"/>
          <w:spacing w:val="-3"/>
          <w:sz w:val="24"/>
        </w:rPr>
        <w:t>and $</w:t>
      </w:r>
      <w:r>
        <w:rPr>
          <w:rFonts w:cstheme="minorHAnsi"/>
          <w:spacing w:val="-3"/>
          <w:sz w:val="24"/>
        </w:rPr>
        <w:t>5,755</w:t>
      </w:r>
      <w:r w:rsidRPr="00F54559">
        <w:rPr>
          <w:rFonts w:cstheme="minorHAnsi"/>
          <w:spacing w:val="-3"/>
          <w:sz w:val="24"/>
        </w:rPr>
        <w:t xml:space="preserve">, respectively, in proceeds from </w:t>
      </w:r>
      <w:r w:rsidR="000752AB">
        <w:rPr>
          <w:rFonts w:cstheme="minorHAnsi"/>
          <w:spacing w:val="-3"/>
          <w:sz w:val="24"/>
        </w:rPr>
        <w:t>debt</w:t>
      </w:r>
      <w:r w:rsidRPr="00F54559">
        <w:rPr>
          <w:rFonts w:cstheme="minorHAnsi"/>
          <w:spacing w:val="-3"/>
          <w:sz w:val="24"/>
        </w:rPr>
        <w:t xml:space="preserve"> issuances remain unspent.  These amounts are included in the accompanying Statements of Net Position as part of deposits with bond trustees</w:t>
      </w:r>
      <w:r w:rsidR="00FA5ED7">
        <w:rPr>
          <w:rFonts w:cstheme="minorHAnsi"/>
          <w:spacing w:val="-3"/>
          <w:sz w:val="24"/>
        </w:rPr>
        <w:t xml:space="preserve"> along with amounts restricted for debt service</w:t>
      </w:r>
      <w:r w:rsidRPr="00F54559">
        <w:rPr>
          <w:rFonts w:cstheme="minorHAnsi"/>
          <w:spacing w:val="-3"/>
          <w:sz w:val="24"/>
        </w:rPr>
        <w:t>.</w:t>
      </w:r>
    </w:p>
    <w:p w14:paraId="4E1C8623" w14:textId="77777777" w:rsidR="00051D7E" w:rsidRPr="00F54559" w:rsidRDefault="00051D7E" w:rsidP="00051D7E">
      <w:pPr>
        <w:tabs>
          <w:tab w:val="left" w:pos="720"/>
          <w:tab w:val="left" w:pos="1022"/>
          <w:tab w:val="left" w:pos="1440"/>
          <w:tab w:val="decimal" w:pos="6890"/>
          <w:tab w:val="decimal" w:pos="9454"/>
          <w:tab w:val="left" w:pos="10440"/>
        </w:tabs>
        <w:suppressAutoHyphens/>
        <w:rPr>
          <w:rFonts w:cstheme="minorHAnsi"/>
          <w:spacing w:val="-3"/>
          <w:sz w:val="24"/>
        </w:rPr>
      </w:pPr>
    </w:p>
    <w:p w14:paraId="3752BF83" w14:textId="77777777" w:rsidR="00051D7E" w:rsidRPr="00E9152E" w:rsidRDefault="00051D7E" w:rsidP="00051D7E">
      <w:pPr>
        <w:tabs>
          <w:tab w:val="left" w:pos="720"/>
          <w:tab w:val="left" w:pos="1022"/>
          <w:tab w:val="left" w:pos="1440"/>
          <w:tab w:val="decimal" w:pos="6890"/>
          <w:tab w:val="decimal" w:pos="9454"/>
          <w:tab w:val="left" w:pos="10440"/>
        </w:tabs>
        <w:suppressAutoHyphens/>
        <w:rPr>
          <w:rFonts w:cstheme="minorHAnsi"/>
          <w:spacing w:val="-3"/>
          <w:sz w:val="24"/>
        </w:rPr>
      </w:pPr>
      <w:r w:rsidRPr="00F54559">
        <w:rPr>
          <w:rFonts w:cstheme="minorHAnsi"/>
          <w:spacing w:val="-3"/>
          <w:sz w:val="24"/>
        </w:rPr>
        <w:t>Also remaining unspent as of June 30, 20</w:t>
      </w:r>
      <w:r>
        <w:rPr>
          <w:rFonts w:cstheme="minorHAnsi"/>
          <w:spacing w:val="-3"/>
          <w:sz w:val="24"/>
        </w:rPr>
        <w:t>21</w:t>
      </w:r>
      <w:r w:rsidRPr="00F54559">
        <w:rPr>
          <w:rFonts w:cstheme="minorHAnsi"/>
          <w:spacing w:val="-3"/>
          <w:sz w:val="24"/>
        </w:rPr>
        <w:t xml:space="preserve"> and 20</w:t>
      </w:r>
      <w:r>
        <w:rPr>
          <w:rFonts w:cstheme="minorHAnsi"/>
          <w:spacing w:val="-3"/>
          <w:sz w:val="24"/>
        </w:rPr>
        <w:t>20</w:t>
      </w:r>
      <w:r w:rsidRPr="00F54559">
        <w:rPr>
          <w:rFonts w:cstheme="minorHAnsi"/>
          <w:spacing w:val="-3"/>
          <w:sz w:val="24"/>
        </w:rPr>
        <w:t xml:space="preserve"> is $</w:t>
      </w:r>
      <w:r w:rsidRPr="004D725A">
        <w:rPr>
          <w:rFonts w:cstheme="minorHAnsi"/>
          <w:spacing w:val="-3"/>
          <w:sz w:val="24"/>
        </w:rPr>
        <w:t xml:space="preserve">33,401 </w:t>
      </w:r>
      <w:r w:rsidRPr="00F54559">
        <w:rPr>
          <w:rFonts w:cstheme="minorHAnsi"/>
          <w:spacing w:val="-3"/>
          <w:sz w:val="24"/>
        </w:rPr>
        <w:t>and $</w:t>
      </w:r>
      <w:r>
        <w:rPr>
          <w:rFonts w:cstheme="minorHAnsi"/>
          <w:spacing w:val="-3"/>
          <w:sz w:val="24"/>
        </w:rPr>
        <w:t>41,057</w:t>
      </w:r>
      <w:r w:rsidRPr="00F54559">
        <w:rPr>
          <w:rFonts w:cstheme="minorHAnsi"/>
          <w:spacing w:val="-3"/>
          <w:sz w:val="24"/>
        </w:rPr>
        <w:t>, respectively, in capital appropriations awarded by the State of Maine.  These amounts are not included in the accompanying financial statements because the System has not met all eligibility requirements (e.g., incurred costs).</w:t>
      </w:r>
    </w:p>
    <w:p w14:paraId="7C89D369" w14:textId="77777777" w:rsidR="00051D7E" w:rsidRPr="00F54559" w:rsidRDefault="00051D7E" w:rsidP="00051D7E">
      <w:pPr>
        <w:tabs>
          <w:tab w:val="left" w:pos="720"/>
          <w:tab w:val="left" w:pos="1022"/>
          <w:tab w:val="left" w:pos="1440"/>
          <w:tab w:val="decimal" w:pos="6890"/>
          <w:tab w:val="decimal" w:pos="9454"/>
          <w:tab w:val="left" w:pos="10440"/>
        </w:tabs>
        <w:suppressAutoHyphens/>
        <w:rPr>
          <w:rFonts w:cstheme="minorHAnsi"/>
          <w:spacing w:val="-3"/>
          <w:sz w:val="24"/>
        </w:rPr>
      </w:pPr>
    </w:p>
    <w:p w14:paraId="4E8066A5" w14:textId="61BB8C2F" w:rsidR="00051D7E" w:rsidRPr="00F54559" w:rsidRDefault="00051D7E" w:rsidP="00051D7E">
      <w:pPr>
        <w:tabs>
          <w:tab w:val="left" w:pos="720"/>
          <w:tab w:val="left" w:pos="1022"/>
          <w:tab w:val="left" w:pos="1440"/>
          <w:tab w:val="decimal" w:pos="6890"/>
          <w:tab w:val="decimal" w:pos="9454"/>
          <w:tab w:val="left" w:pos="10440"/>
        </w:tabs>
        <w:suppressAutoHyphens/>
        <w:rPr>
          <w:rFonts w:cstheme="minorHAnsi"/>
          <w:spacing w:val="-3"/>
          <w:sz w:val="24"/>
        </w:rPr>
      </w:pPr>
      <w:r w:rsidRPr="00F54559">
        <w:rPr>
          <w:rFonts w:cstheme="minorHAnsi"/>
          <w:spacing w:val="-3"/>
          <w:sz w:val="24"/>
        </w:rPr>
        <w:t xml:space="preserve">Both the </w:t>
      </w:r>
      <w:r w:rsidR="000752AB">
        <w:rPr>
          <w:rFonts w:cstheme="minorHAnsi"/>
          <w:spacing w:val="-3"/>
          <w:sz w:val="24"/>
        </w:rPr>
        <w:t>debt proceeds</w:t>
      </w:r>
      <w:r w:rsidRPr="00F54559">
        <w:rPr>
          <w:rFonts w:cstheme="minorHAnsi"/>
          <w:spacing w:val="-3"/>
          <w:sz w:val="24"/>
        </w:rPr>
        <w:t xml:space="preserve"> and capital appropriation monies are earmarked for specific projects, most of which are capital construction projects.  As monies are spent on these projects, the costs are included in capital assets in the accompanying Statements of Net Position.</w:t>
      </w:r>
    </w:p>
    <w:p w14:paraId="2EEE9964" w14:textId="77777777" w:rsidR="00051D7E" w:rsidRPr="00F54559" w:rsidRDefault="00051D7E" w:rsidP="00051D7E">
      <w:pPr>
        <w:tabs>
          <w:tab w:val="left" w:pos="720"/>
          <w:tab w:val="left" w:pos="1022"/>
          <w:tab w:val="left" w:pos="1440"/>
          <w:tab w:val="decimal" w:pos="6890"/>
          <w:tab w:val="decimal" w:pos="9454"/>
          <w:tab w:val="left" w:pos="10440"/>
        </w:tabs>
        <w:suppressAutoHyphens/>
        <w:rPr>
          <w:rFonts w:cstheme="minorHAnsi"/>
          <w:spacing w:val="-3"/>
          <w:sz w:val="24"/>
        </w:rPr>
      </w:pPr>
    </w:p>
    <w:p w14:paraId="127F55D1" w14:textId="77777777" w:rsidR="00051D7E" w:rsidRDefault="00051D7E" w:rsidP="00051D7E">
      <w:pPr>
        <w:tabs>
          <w:tab w:val="left" w:pos="720"/>
          <w:tab w:val="left" w:pos="1022"/>
          <w:tab w:val="left" w:pos="1440"/>
          <w:tab w:val="decimal" w:pos="6890"/>
          <w:tab w:val="decimal" w:pos="9454"/>
          <w:tab w:val="left" w:pos="10440"/>
        </w:tabs>
        <w:suppressAutoHyphens/>
        <w:rPr>
          <w:rFonts w:cstheme="minorHAnsi"/>
          <w:spacing w:val="-3"/>
          <w:sz w:val="24"/>
        </w:rPr>
      </w:pPr>
      <w:r w:rsidRPr="00F54559">
        <w:rPr>
          <w:rFonts w:cstheme="minorHAnsi"/>
          <w:spacing w:val="-3"/>
          <w:sz w:val="24"/>
        </w:rPr>
        <w:t>Outstanding commitments on uncompleted construction contracts totaled $</w:t>
      </w:r>
      <w:r w:rsidRPr="004D725A">
        <w:rPr>
          <w:rFonts w:cstheme="minorHAnsi"/>
          <w:spacing w:val="-3"/>
          <w:sz w:val="24"/>
        </w:rPr>
        <w:t xml:space="preserve">52,403 </w:t>
      </w:r>
      <w:r w:rsidRPr="00F54559">
        <w:rPr>
          <w:rFonts w:cstheme="minorHAnsi"/>
          <w:spacing w:val="-3"/>
          <w:sz w:val="24"/>
        </w:rPr>
        <w:t>and $</w:t>
      </w:r>
      <w:r>
        <w:rPr>
          <w:rFonts w:cstheme="minorHAnsi"/>
          <w:spacing w:val="-3"/>
          <w:sz w:val="24"/>
        </w:rPr>
        <w:t>21,289</w:t>
      </w:r>
      <w:r w:rsidRPr="00F54559">
        <w:rPr>
          <w:rFonts w:cstheme="minorHAnsi"/>
          <w:spacing w:val="-3"/>
          <w:sz w:val="24"/>
        </w:rPr>
        <w:t xml:space="preserve"> at June 30, 20</w:t>
      </w:r>
      <w:r>
        <w:rPr>
          <w:rFonts w:cstheme="minorHAnsi"/>
          <w:spacing w:val="-3"/>
          <w:sz w:val="24"/>
        </w:rPr>
        <w:t>21</w:t>
      </w:r>
      <w:r w:rsidRPr="00F54559">
        <w:rPr>
          <w:rFonts w:cstheme="minorHAnsi"/>
          <w:spacing w:val="-3"/>
          <w:sz w:val="24"/>
        </w:rPr>
        <w:t xml:space="preserve"> and 20</w:t>
      </w:r>
      <w:r>
        <w:rPr>
          <w:rFonts w:cstheme="minorHAnsi"/>
          <w:spacing w:val="-3"/>
          <w:sz w:val="24"/>
        </w:rPr>
        <w:t>20</w:t>
      </w:r>
      <w:r w:rsidRPr="00F54559">
        <w:rPr>
          <w:rFonts w:cstheme="minorHAnsi"/>
          <w:spacing w:val="-3"/>
          <w:sz w:val="24"/>
        </w:rPr>
        <w:t>, respectively.</w:t>
      </w:r>
    </w:p>
    <w:p w14:paraId="3A0BE727" w14:textId="77777777" w:rsidR="00051D7E" w:rsidRPr="00243894" w:rsidRDefault="00051D7E" w:rsidP="00051D7E">
      <w:pPr>
        <w:pStyle w:val="AFR2"/>
        <w:rPr>
          <w:rFonts w:cstheme="minorHAnsi"/>
          <w:sz w:val="26"/>
          <w:szCs w:val="26"/>
        </w:rPr>
      </w:pPr>
      <w:r w:rsidRPr="00243894">
        <w:rPr>
          <w:rFonts w:cstheme="minorHAnsi"/>
          <w:sz w:val="26"/>
          <w:szCs w:val="26"/>
        </w:rPr>
        <w:t>7. ACCRUED LIABILITIES AND LONG-TERM DEBT</w:t>
      </w:r>
    </w:p>
    <w:p w14:paraId="75AF8DCB" w14:textId="77777777" w:rsidR="00051D7E" w:rsidRPr="003D5BDA" w:rsidRDefault="00051D7E" w:rsidP="00051D7E">
      <w:pPr>
        <w:tabs>
          <w:tab w:val="left" w:pos="720"/>
          <w:tab w:val="left" w:pos="1022"/>
          <w:tab w:val="left" w:pos="1440"/>
          <w:tab w:val="decimal" w:pos="6890"/>
          <w:tab w:val="decimal" w:pos="9454"/>
        </w:tabs>
        <w:suppressAutoHyphens/>
        <w:rPr>
          <w:rFonts w:cstheme="minorHAnsi"/>
          <w:bCs/>
          <w:color w:val="FF0000"/>
          <w:spacing w:val="-3"/>
          <w:sz w:val="24"/>
        </w:rPr>
      </w:pPr>
      <w:r w:rsidRPr="00F54559">
        <w:rPr>
          <w:rFonts w:cstheme="minorHAnsi"/>
          <w:bCs/>
          <w:spacing w:val="-3"/>
          <w:sz w:val="24"/>
        </w:rPr>
        <w:t xml:space="preserve">Changes in accrued liabilities and long-term debt during the year ended June 30, </w:t>
      </w:r>
      <w:r>
        <w:rPr>
          <w:rFonts w:cstheme="minorHAnsi"/>
          <w:bCs/>
          <w:spacing w:val="-3"/>
          <w:sz w:val="24"/>
        </w:rPr>
        <w:t>2021</w:t>
      </w:r>
      <w:r w:rsidRPr="00F54559">
        <w:rPr>
          <w:rFonts w:cstheme="minorHAnsi"/>
          <w:bCs/>
          <w:spacing w:val="-3"/>
          <w:sz w:val="24"/>
        </w:rPr>
        <w:t xml:space="preserve"> include the following:</w:t>
      </w:r>
    </w:p>
    <w:p w14:paraId="6ADFA1A6" w14:textId="4561E96A" w:rsidR="00051D7E" w:rsidRDefault="00054253" w:rsidP="00051D7E">
      <w:pPr>
        <w:tabs>
          <w:tab w:val="left" w:pos="720"/>
          <w:tab w:val="left" w:pos="1022"/>
          <w:tab w:val="left" w:pos="1440"/>
          <w:tab w:val="decimal" w:pos="6890"/>
          <w:tab w:val="decimal" w:pos="9454"/>
        </w:tabs>
        <w:suppressAutoHyphens/>
        <w:spacing w:before="160" w:after="120"/>
        <w:rPr>
          <w:rFonts w:eastAsiaTheme="majorEastAsia" w:cstheme="minorHAnsi"/>
          <w:b/>
          <w:i/>
          <w:iCs/>
          <w:smallCaps/>
          <w:noProof/>
          <w:color w:val="000000" w:themeColor="text1"/>
          <w:sz w:val="26"/>
          <w:szCs w:val="26"/>
          <w:u w:color="5B9BD5"/>
        </w:rPr>
      </w:pPr>
      <w:r w:rsidRPr="00054253">
        <w:rPr>
          <w:noProof/>
        </w:rPr>
        <w:drawing>
          <wp:inline distT="0" distB="0" distL="0" distR="0" wp14:anchorId="26134B46" wp14:editId="551556A5">
            <wp:extent cx="5943600" cy="2767062"/>
            <wp:effectExtent l="0" t="0" r="0" b="0"/>
            <wp:docPr id="26" name="Picture 26" descr=" &quot;Beginning&#10;Balance&quot; Additions Reductions &quot;Ending&#10;Balance&quot; &quot;Current&#10;Portion&quot;&#10;Accrued liabilities:     &#10;Workers' compensation (Note 11)  $2,200   $160   $(159)  $2,201   $553 &#10;Health insurance (Note 11)  6,982   84,540   (85,235)  6,287   6,287 &#10;Postemployment health plan (Note 14)  76,031   29,681   (105,712)  -   - &#10;Other employee benefit programs (Note 13)  56,307   68,622   (69,391)  55,538   6,039 &#10;Other  21,390   28,727   (15,958)  34,159   31,225 &#10;Total accrued liabilities  $162,910   $211,730   $(276,455)  $98,185   $44,104 &#10;Long-term debt:     &#10;Capital lease obligations (a)  $1,972   $-   $(503)  $1,469   $162 &#10;Bonds and notes payable (b)  131,776   43,000   (12,510)  162,266   12,712 &#10;Lease purchase agreement (b)  3,803   106   (803)  3,106   862 &#10;Total long-term debt  $137,551   $43,106   $(13,816)  $166,841   $13,7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767062"/>
                    </a:xfrm>
                    <a:prstGeom prst="rect">
                      <a:avLst/>
                    </a:prstGeom>
                    <a:noFill/>
                    <a:ln>
                      <a:noFill/>
                    </a:ln>
                  </pic:spPr>
                </pic:pic>
              </a:graphicData>
            </a:graphic>
          </wp:inline>
        </w:drawing>
      </w:r>
      <w:r w:rsidR="00051D7E">
        <w:rPr>
          <w:rFonts w:eastAsiaTheme="majorEastAsia" w:cstheme="minorHAnsi"/>
          <w:b/>
          <w:i/>
          <w:iCs/>
          <w:smallCaps/>
          <w:noProof/>
          <w:color w:val="000000" w:themeColor="text1"/>
          <w:sz w:val="26"/>
          <w:szCs w:val="26"/>
          <w:u w:color="5B9BD5"/>
        </w:rPr>
        <w:fldChar w:fldCharType="begin"/>
      </w:r>
      <w:r w:rsidR="00051D7E">
        <w:rPr>
          <w:rFonts w:eastAsiaTheme="majorEastAsia" w:cstheme="minorHAnsi"/>
          <w:b/>
          <w:i/>
          <w:iCs/>
          <w:smallCaps/>
          <w:noProof/>
          <w:color w:val="000000" w:themeColor="text1"/>
          <w:sz w:val="26"/>
          <w:szCs w:val="26"/>
          <w:u w:color="5B9BD5"/>
        </w:rPr>
        <w:fldChar w:fldCharType="end"/>
      </w:r>
      <w:r w:rsidR="00051D7E">
        <w:rPr>
          <w:rFonts w:eastAsiaTheme="majorEastAsia" w:cstheme="minorHAnsi"/>
          <w:b/>
          <w:i/>
          <w:iCs/>
          <w:smallCaps/>
          <w:noProof/>
          <w:color w:val="000000" w:themeColor="text1"/>
          <w:sz w:val="26"/>
          <w:szCs w:val="26"/>
          <w:u w:color="5B9BD5"/>
        </w:rPr>
        <w:br w:type="page"/>
      </w:r>
    </w:p>
    <w:p w14:paraId="204955B7" w14:textId="77777777" w:rsidR="00051D7E" w:rsidRPr="00F54559" w:rsidRDefault="00051D7E" w:rsidP="00051D7E">
      <w:pPr>
        <w:tabs>
          <w:tab w:val="left" w:pos="720"/>
          <w:tab w:val="left" w:pos="1022"/>
          <w:tab w:val="left" w:pos="1440"/>
          <w:tab w:val="decimal" w:pos="6890"/>
          <w:tab w:val="decimal" w:pos="9454"/>
        </w:tabs>
        <w:suppressAutoHyphens/>
        <w:spacing w:after="240"/>
        <w:rPr>
          <w:rFonts w:cstheme="minorHAnsi"/>
          <w:bCs/>
          <w:spacing w:val="-3"/>
          <w:sz w:val="24"/>
        </w:rPr>
      </w:pPr>
      <w:r w:rsidRPr="00F54559">
        <w:rPr>
          <w:rFonts w:eastAsiaTheme="majorEastAsia" w:cstheme="minorHAnsi"/>
          <w:b/>
          <w:i/>
          <w:iCs/>
          <w:smallCaps/>
          <w:noProof/>
          <w:color w:val="000000" w:themeColor="text1"/>
          <w:sz w:val="26"/>
          <w:szCs w:val="26"/>
          <w:u w:color="5B9BD5"/>
        </w:rPr>
        <w:lastRenderedPageBreak/>
        <w:t>7. ACCRUED LIABILITIES AND LONG-TERM DEBT  - CONTINUED</w:t>
      </w:r>
    </w:p>
    <w:p w14:paraId="386A236D" w14:textId="77777777" w:rsidR="00051D7E" w:rsidRDefault="00051D7E" w:rsidP="00051D7E">
      <w:pPr>
        <w:tabs>
          <w:tab w:val="left" w:pos="720"/>
          <w:tab w:val="left" w:pos="1022"/>
          <w:tab w:val="left" w:pos="1440"/>
          <w:tab w:val="decimal" w:pos="6890"/>
          <w:tab w:val="decimal" w:pos="9454"/>
        </w:tabs>
        <w:suppressAutoHyphens/>
        <w:rPr>
          <w:rFonts w:cstheme="minorHAnsi"/>
          <w:bCs/>
          <w:spacing w:val="-3"/>
          <w:sz w:val="24"/>
        </w:rPr>
      </w:pPr>
      <w:r w:rsidRPr="00F54559">
        <w:rPr>
          <w:rFonts w:cstheme="minorHAnsi"/>
          <w:bCs/>
          <w:spacing w:val="-3"/>
          <w:sz w:val="24"/>
        </w:rPr>
        <w:t>Changes in accrued liabilities and long-term debt during the year ended June 30, 20</w:t>
      </w:r>
      <w:r>
        <w:rPr>
          <w:rFonts w:cstheme="minorHAnsi"/>
          <w:bCs/>
          <w:spacing w:val="-3"/>
          <w:sz w:val="24"/>
        </w:rPr>
        <w:t>20</w:t>
      </w:r>
      <w:r w:rsidRPr="00F54559">
        <w:rPr>
          <w:rFonts w:cstheme="minorHAnsi"/>
          <w:bCs/>
          <w:spacing w:val="-3"/>
          <w:sz w:val="24"/>
        </w:rPr>
        <w:t xml:space="preserve"> include the following:</w:t>
      </w:r>
    </w:p>
    <w:p w14:paraId="5ADDCD2F" w14:textId="702D4D2B" w:rsidR="00051D7E" w:rsidRPr="00F54559" w:rsidRDefault="00127D9C" w:rsidP="00051D7E">
      <w:pPr>
        <w:tabs>
          <w:tab w:val="left" w:pos="720"/>
          <w:tab w:val="left" w:pos="1022"/>
          <w:tab w:val="left" w:pos="1440"/>
          <w:tab w:val="decimal" w:pos="6890"/>
          <w:tab w:val="decimal" w:pos="9454"/>
        </w:tabs>
        <w:suppressAutoHyphens/>
        <w:spacing w:before="120" w:after="120"/>
        <w:rPr>
          <w:rFonts w:cstheme="minorHAnsi"/>
          <w:bCs/>
          <w:spacing w:val="-3"/>
          <w:sz w:val="24"/>
        </w:rPr>
      </w:pPr>
      <w:r w:rsidRPr="00127D9C">
        <w:rPr>
          <w:noProof/>
        </w:rPr>
        <w:drawing>
          <wp:inline distT="0" distB="0" distL="0" distR="0" wp14:anchorId="17E4098F" wp14:editId="6DD2F433">
            <wp:extent cx="5943600" cy="2767062"/>
            <wp:effectExtent l="0" t="0" r="0" b="0"/>
            <wp:docPr id="16" name="Picture 16" descr=" &quot;Beginning&#10;Balance&quot; Additions Reductions &quot;Ending&#10;Balance&quot; &quot;Current&#10;Portion&quot;&#10;Accrued liabilities:     &#10;Workers' compensation (Note 11)  $1,819   $712   $(331)  $2,200   $825 &#10;Health insurance (Note 11)  8,171   75,714   (76,903)  6,982   6,982 &#10;Postemployment health plan (Note 14)  63,247   35,335   (22,551)  76,031   - &#10;Other employee benefit programs (Note 13)  53,984   61,221   (58,898)  56,307   5,577 &#10;Other  14,909   19,894   (13,413)  21,390   16,996 &#10;Total accrued liabilities  $142,130   $192,876   $(172,096)  $162,910   $30,380 &#10;Long-term debt:     &#10;Capital lease obligations (a)  $2,433   $-   $(461)  $1,972   $503 &#10;Bonds and notes payable (b)  145,636   -   (13,860)  131,776   12,510 &#10;Lease purchase agreement (b)  2,069   2,389   (655)  3,803   803 &#10;Total long-term debt  $150,138   $2,389   $(14,976)  $137,551   $1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767062"/>
                    </a:xfrm>
                    <a:prstGeom prst="rect">
                      <a:avLst/>
                    </a:prstGeom>
                    <a:noFill/>
                    <a:ln>
                      <a:noFill/>
                    </a:ln>
                  </pic:spPr>
                </pic:pic>
              </a:graphicData>
            </a:graphic>
          </wp:inline>
        </w:drawing>
      </w:r>
      <w:r w:rsidR="00051D7E">
        <w:rPr>
          <w:rFonts w:cstheme="minorHAnsi"/>
          <w:bCs/>
          <w:spacing w:val="-3"/>
          <w:sz w:val="24"/>
        </w:rPr>
        <w:fldChar w:fldCharType="begin"/>
      </w:r>
      <w:r w:rsidR="00051D7E">
        <w:rPr>
          <w:rFonts w:cstheme="minorHAnsi"/>
          <w:bCs/>
          <w:spacing w:val="-3"/>
          <w:sz w:val="24"/>
        </w:rPr>
        <w:fldChar w:fldCharType="end"/>
      </w:r>
    </w:p>
    <w:p w14:paraId="0A1573F2" w14:textId="77777777" w:rsidR="00051D7E" w:rsidRPr="00F54559" w:rsidRDefault="00051D7E" w:rsidP="00051D7E">
      <w:pPr>
        <w:pStyle w:val="AFR3"/>
        <w:rPr>
          <w:rFonts w:cstheme="minorHAnsi"/>
        </w:rPr>
      </w:pPr>
      <w:r w:rsidRPr="00F54559">
        <w:rPr>
          <w:rFonts w:cstheme="minorHAnsi"/>
        </w:rPr>
        <w:t>a. Lease Obligations</w:t>
      </w:r>
    </w:p>
    <w:p w14:paraId="740DC5A8" w14:textId="39C2C058" w:rsidR="00051D7E" w:rsidRDefault="00051D7E" w:rsidP="00051D7E">
      <w:pPr>
        <w:tabs>
          <w:tab w:val="left" w:pos="630"/>
          <w:tab w:val="left" w:pos="1022"/>
          <w:tab w:val="left" w:pos="1440"/>
          <w:tab w:val="decimal" w:pos="6890"/>
          <w:tab w:val="decimal" w:pos="9454"/>
        </w:tabs>
        <w:suppressAutoHyphens/>
        <w:spacing w:after="240"/>
        <w:rPr>
          <w:rFonts w:cstheme="minorHAnsi"/>
          <w:bCs/>
          <w:spacing w:val="-3"/>
          <w:sz w:val="24"/>
        </w:rPr>
      </w:pPr>
      <w:r w:rsidRPr="00F54559">
        <w:rPr>
          <w:rFonts w:cstheme="minorHAnsi"/>
          <w:spacing w:val="-3"/>
          <w:sz w:val="24"/>
        </w:rPr>
        <w:t xml:space="preserve">The System leases certain equipment and real estate under leases with terms exceeding one year.  </w:t>
      </w:r>
      <w:r w:rsidRPr="00F54559">
        <w:rPr>
          <w:rFonts w:cstheme="minorHAnsi"/>
          <w:bCs/>
          <w:spacing w:val="-3"/>
          <w:sz w:val="24"/>
        </w:rPr>
        <w:t xml:space="preserve">Future minimum lease payments under capital leases and under non-cancelable operating leases (with initial or remaining lease terms in excess of one year) as of June 30, </w:t>
      </w:r>
      <w:r w:rsidR="000752AB">
        <w:rPr>
          <w:rFonts w:cstheme="minorHAnsi"/>
          <w:bCs/>
          <w:spacing w:val="-3"/>
          <w:sz w:val="24"/>
        </w:rPr>
        <w:t>2021</w:t>
      </w:r>
      <w:r w:rsidR="000752AB" w:rsidRPr="00F54559">
        <w:rPr>
          <w:rFonts w:cstheme="minorHAnsi"/>
          <w:bCs/>
          <w:spacing w:val="-3"/>
          <w:sz w:val="24"/>
        </w:rPr>
        <w:t xml:space="preserve"> </w:t>
      </w:r>
      <w:r w:rsidRPr="00F54559">
        <w:rPr>
          <w:rFonts w:cstheme="minorHAnsi"/>
          <w:bCs/>
          <w:spacing w:val="-3"/>
          <w:sz w:val="24"/>
        </w:rPr>
        <w:t>are as follows:</w:t>
      </w:r>
    </w:p>
    <w:p w14:paraId="4F64A774" w14:textId="0C79B284" w:rsidR="00051D7E" w:rsidRDefault="00F74DDB" w:rsidP="00051D7E">
      <w:pPr>
        <w:tabs>
          <w:tab w:val="left" w:pos="630"/>
          <w:tab w:val="left" w:pos="1022"/>
          <w:tab w:val="left" w:pos="1440"/>
          <w:tab w:val="decimal" w:pos="6890"/>
          <w:tab w:val="decimal" w:pos="9454"/>
        </w:tabs>
        <w:suppressAutoHyphens/>
        <w:spacing w:after="240"/>
        <w:jc w:val="center"/>
        <w:rPr>
          <w:rFonts w:cstheme="minorHAnsi"/>
          <w:bCs/>
          <w:spacing w:val="-3"/>
          <w:sz w:val="24"/>
        </w:rPr>
      </w:pPr>
      <w:r w:rsidRPr="00F74DDB">
        <w:rPr>
          <w:noProof/>
        </w:rPr>
        <w:drawing>
          <wp:inline distT="0" distB="0" distL="0" distR="0" wp14:anchorId="5D940FA9" wp14:editId="6796422A">
            <wp:extent cx="3750945" cy="2294255"/>
            <wp:effectExtent l="0" t="0" r="1905" b="0"/>
            <wp:docPr id="61" name="Picture 61" descr="Year Ending          June 30: Capital Leases  Operating Leases Total&#10; Principal Interest  &#10;2022  $162   $63   $245   $470 &#10;2023  169   56   239   464 &#10;2024  177   48   237   462 &#10;2025  185   40   239   464 &#10;2026  193   32   239   464 &#10;2027-2031  583   42   1,246   1,871 &#10;2032-2036  -   -   659   659 &#10;2037-2041  -   -   131   131 &#10;Total minimum &#10;lease payments  $1,469   $281   $3,235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0945" cy="2294255"/>
                    </a:xfrm>
                    <a:prstGeom prst="rect">
                      <a:avLst/>
                    </a:prstGeom>
                    <a:noFill/>
                    <a:ln>
                      <a:noFill/>
                    </a:ln>
                  </pic:spPr>
                </pic:pic>
              </a:graphicData>
            </a:graphic>
          </wp:inline>
        </w:drawing>
      </w:r>
      <w:r w:rsidR="00051D7E">
        <w:rPr>
          <w:rFonts w:cstheme="minorHAnsi"/>
          <w:bCs/>
          <w:spacing w:val="-3"/>
          <w:sz w:val="24"/>
        </w:rPr>
        <w:fldChar w:fldCharType="begin"/>
      </w:r>
      <w:r w:rsidR="00051D7E">
        <w:rPr>
          <w:rFonts w:cstheme="minorHAnsi"/>
          <w:bCs/>
          <w:spacing w:val="-3"/>
          <w:sz w:val="24"/>
        </w:rPr>
        <w:fldChar w:fldCharType="end"/>
      </w:r>
    </w:p>
    <w:p w14:paraId="6378FCDB" w14:textId="77777777" w:rsidR="00051D7E" w:rsidRPr="00F54559" w:rsidRDefault="00051D7E" w:rsidP="00051D7E">
      <w:pPr>
        <w:spacing w:before="100" w:beforeAutospacing="1" w:after="160" w:line="259" w:lineRule="auto"/>
        <w:rPr>
          <w:rFonts w:eastAsia="Times New Roman" w:cstheme="minorHAnsi"/>
          <w:b/>
          <w:noProof/>
          <w:color w:val="000000"/>
          <w:spacing w:val="-2"/>
          <w:sz w:val="24"/>
          <w:szCs w:val="24"/>
          <w:u w:val="single" w:color="000000" w:themeColor="text1"/>
        </w:rPr>
      </w:pPr>
      <w:r w:rsidRPr="00F54559">
        <w:rPr>
          <w:rFonts w:cstheme="minorHAnsi"/>
          <w:noProof/>
          <w:spacing w:val="-2"/>
          <w:sz w:val="24"/>
          <w:szCs w:val="24"/>
        </w:rPr>
        <w:t>The rent expense related to operating leases amounted to $</w:t>
      </w:r>
      <w:r w:rsidRPr="001E5572">
        <w:rPr>
          <w:rFonts w:cstheme="minorHAnsi"/>
          <w:noProof/>
          <w:spacing w:val="-2"/>
          <w:sz w:val="24"/>
          <w:szCs w:val="24"/>
        </w:rPr>
        <w:t xml:space="preserve">233 </w:t>
      </w:r>
      <w:r w:rsidRPr="00F54559">
        <w:rPr>
          <w:rFonts w:cstheme="minorHAnsi"/>
          <w:noProof/>
          <w:spacing w:val="-2"/>
          <w:sz w:val="24"/>
          <w:szCs w:val="24"/>
        </w:rPr>
        <w:t>for the year ended June 30, 20</w:t>
      </w:r>
      <w:r>
        <w:rPr>
          <w:rFonts w:cstheme="minorHAnsi"/>
          <w:noProof/>
          <w:spacing w:val="-2"/>
          <w:sz w:val="24"/>
          <w:szCs w:val="24"/>
        </w:rPr>
        <w:t>21</w:t>
      </w:r>
      <w:r w:rsidRPr="00F54559">
        <w:rPr>
          <w:rFonts w:cstheme="minorHAnsi"/>
          <w:noProof/>
          <w:spacing w:val="-2"/>
          <w:sz w:val="24"/>
          <w:szCs w:val="24"/>
        </w:rPr>
        <w:t xml:space="preserve"> and $</w:t>
      </w:r>
      <w:r>
        <w:rPr>
          <w:rFonts w:cstheme="minorHAnsi"/>
          <w:noProof/>
          <w:spacing w:val="-2"/>
          <w:sz w:val="24"/>
          <w:szCs w:val="24"/>
        </w:rPr>
        <w:t>395</w:t>
      </w:r>
      <w:r w:rsidRPr="00F54559">
        <w:rPr>
          <w:rFonts w:cstheme="minorHAnsi"/>
          <w:noProof/>
          <w:spacing w:val="-2"/>
          <w:sz w:val="24"/>
          <w:szCs w:val="24"/>
        </w:rPr>
        <w:t xml:space="preserve"> for the year ended June 30, 20</w:t>
      </w:r>
      <w:r>
        <w:rPr>
          <w:rFonts w:cstheme="minorHAnsi"/>
          <w:noProof/>
          <w:spacing w:val="-2"/>
          <w:sz w:val="24"/>
          <w:szCs w:val="24"/>
        </w:rPr>
        <w:t>20</w:t>
      </w:r>
      <w:r w:rsidRPr="00F54559">
        <w:rPr>
          <w:rFonts w:cstheme="minorHAnsi"/>
          <w:noProof/>
          <w:spacing w:val="-2"/>
          <w:sz w:val="24"/>
          <w:szCs w:val="24"/>
        </w:rPr>
        <w:t>.</w:t>
      </w:r>
      <w:r w:rsidRPr="00F54559">
        <w:rPr>
          <w:rFonts w:cstheme="minorHAnsi"/>
          <w:noProof/>
          <w:spacing w:val="-2"/>
          <w:sz w:val="24"/>
          <w:szCs w:val="24"/>
        </w:rPr>
        <w:br w:type="page"/>
      </w:r>
    </w:p>
    <w:p w14:paraId="33895718" w14:textId="16BEC688" w:rsidR="00051D7E" w:rsidRPr="00F54559" w:rsidRDefault="00051D7E" w:rsidP="00051D7E">
      <w:pPr>
        <w:pStyle w:val="AFR3"/>
        <w:rPr>
          <w:rFonts w:cstheme="minorHAnsi"/>
        </w:rPr>
      </w:pPr>
      <w:r w:rsidRPr="00F54559">
        <w:rPr>
          <w:rFonts w:cstheme="minorHAnsi"/>
          <w:noProof/>
          <w:spacing w:val="-2"/>
        </w:rPr>
        <w:lastRenderedPageBreak/>
        <w:t>b</w:t>
      </w:r>
      <w:r w:rsidRPr="00F453D3">
        <w:rPr>
          <w:rFonts w:cstheme="minorHAnsi"/>
          <w:noProof/>
          <w:spacing w:val="-2"/>
        </w:rPr>
        <w:t xml:space="preserve">. </w:t>
      </w:r>
      <w:r w:rsidRPr="00F453D3">
        <w:rPr>
          <w:rFonts w:cstheme="minorHAnsi"/>
        </w:rPr>
        <w:t>Bonds</w:t>
      </w:r>
      <w:r w:rsidR="00AD2846">
        <w:rPr>
          <w:rFonts w:cstheme="minorHAnsi"/>
        </w:rPr>
        <w:t xml:space="preserve"> Payable and Direct Borrowings</w:t>
      </w:r>
    </w:p>
    <w:p w14:paraId="36DEFF06" w14:textId="4097D820" w:rsidR="00051D7E" w:rsidRPr="00F54559" w:rsidRDefault="00051D7E" w:rsidP="00051D7E">
      <w:pPr>
        <w:tabs>
          <w:tab w:val="left" w:pos="720"/>
          <w:tab w:val="left" w:pos="1260"/>
          <w:tab w:val="left" w:pos="1440"/>
        </w:tabs>
        <w:suppressAutoHyphens/>
        <w:spacing w:after="120"/>
        <w:rPr>
          <w:rFonts w:eastAsia="Times New Roman" w:cstheme="minorHAnsi"/>
          <w:spacing w:val="-3"/>
          <w:sz w:val="2"/>
          <w:szCs w:val="2"/>
        </w:rPr>
      </w:pPr>
      <w:r w:rsidRPr="00F54559">
        <w:rPr>
          <w:rFonts w:eastAsia="Times New Roman" w:cstheme="minorHAnsi"/>
          <w:spacing w:val="-3"/>
          <w:sz w:val="24"/>
          <w:szCs w:val="20"/>
        </w:rPr>
        <w:t>Bonds</w:t>
      </w:r>
      <w:r w:rsidR="00AD2846">
        <w:rPr>
          <w:rFonts w:eastAsia="Times New Roman" w:cstheme="minorHAnsi"/>
          <w:spacing w:val="-3"/>
          <w:sz w:val="24"/>
          <w:szCs w:val="20"/>
        </w:rPr>
        <w:t xml:space="preserve"> </w:t>
      </w:r>
      <w:r w:rsidRPr="00F54559">
        <w:rPr>
          <w:rFonts w:eastAsia="Times New Roman" w:cstheme="minorHAnsi"/>
          <w:spacing w:val="-3"/>
          <w:sz w:val="24"/>
          <w:szCs w:val="20"/>
        </w:rPr>
        <w:t xml:space="preserve">payable and </w:t>
      </w:r>
      <w:r w:rsidR="00AD2846">
        <w:rPr>
          <w:rFonts w:eastAsia="Times New Roman" w:cstheme="minorHAnsi"/>
          <w:spacing w:val="-3"/>
          <w:sz w:val="24"/>
          <w:szCs w:val="20"/>
        </w:rPr>
        <w:t>direct borrowings</w:t>
      </w:r>
      <w:r w:rsidRPr="00F54559">
        <w:rPr>
          <w:rFonts w:eastAsia="Times New Roman" w:cstheme="minorHAnsi"/>
          <w:spacing w:val="-3"/>
          <w:sz w:val="24"/>
          <w:szCs w:val="20"/>
        </w:rPr>
        <w:t xml:space="preserve"> consist of the following at June 30:</w:t>
      </w:r>
      <w:r>
        <w:rPr>
          <w:rFonts w:eastAsia="Times New Roman" w:cstheme="minorHAnsi"/>
          <w:spacing w:val="-3"/>
          <w:sz w:val="2"/>
          <w:szCs w:val="2"/>
        </w:rPr>
        <w:fldChar w:fldCharType="begin"/>
      </w:r>
      <w:r>
        <w:rPr>
          <w:rFonts w:eastAsia="Times New Roman" w:cstheme="minorHAnsi"/>
          <w:spacing w:val="-3"/>
          <w:sz w:val="2"/>
          <w:szCs w:val="2"/>
        </w:rPr>
        <w:fldChar w:fldCharType="end"/>
      </w:r>
    </w:p>
    <w:tbl>
      <w:tblPr>
        <w:tblW w:w="9360" w:type="dxa"/>
        <w:tblLook w:val="04A0" w:firstRow="1" w:lastRow="0" w:firstColumn="1" w:lastColumn="0" w:noHBand="0" w:noVBand="1"/>
      </w:tblPr>
      <w:tblGrid>
        <w:gridCol w:w="6258"/>
        <w:gridCol w:w="1502"/>
        <w:gridCol w:w="1600"/>
      </w:tblGrid>
      <w:tr w:rsidR="00051D7E" w:rsidRPr="00C317EF" w14:paraId="065FB403" w14:textId="77777777" w:rsidTr="007531FB">
        <w:trPr>
          <w:trHeight w:val="300"/>
          <w:tblHeader/>
        </w:trPr>
        <w:tc>
          <w:tcPr>
            <w:tcW w:w="6258" w:type="dxa"/>
            <w:tcBorders>
              <w:top w:val="nil"/>
              <w:left w:val="nil"/>
              <w:bottom w:val="single" w:sz="12" w:space="0" w:color="00688D"/>
              <w:right w:val="nil"/>
            </w:tcBorders>
            <w:shd w:val="clear" w:color="000000" w:fill="FFFFFF"/>
            <w:noWrap/>
            <w:vAlign w:val="bottom"/>
            <w:hideMark/>
          </w:tcPr>
          <w:p w14:paraId="23EA51B6" w14:textId="77777777" w:rsidR="00051D7E" w:rsidRPr="00C317EF" w:rsidRDefault="00051D7E" w:rsidP="007531FB">
            <w:pPr>
              <w:rPr>
                <w:rFonts w:ascii="Calibri" w:eastAsia="Times New Roman" w:hAnsi="Calibri" w:cs="Calibri"/>
                <w:b/>
                <w:bCs/>
                <w:color w:val="0D0D0D"/>
              </w:rPr>
            </w:pPr>
            <w:r w:rsidRPr="00C317EF">
              <w:rPr>
                <w:rFonts w:ascii="Calibri" w:eastAsia="Times New Roman" w:hAnsi="Calibri" w:cs="Calibri"/>
                <w:b/>
                <w:bCs/>
                <w:color w:val="0D0D0D"/>
              </w:rPr>
              <w:t> </w:t>
            </w:r>
            <w:bookmarkStart w:id="9" w:name="_GoBack"/>
            <w:bookmarkEnd w:id="9"/>
          </w:p>
        </w:tc>
        <w:tc>
          <w:tcPr>
            <w:tcW w:w="1502" w:type="dxa"/>
            <w:tcBorders>
              <w:top w:val="nil"/>
              <w:left w:val="nil"/>
              <w:bottom w:val="single" w:sz="12" w:space="0" w:color="00688D"/>
              <w:right w:val="nil"/>
            </w:tcBorders>
            <w:shd w:val="clear" w:color="000000" w:fill="FFFFFF"/>
            <w:noWrap/>
            <w:vAlign w:val="bottom"/>
            <w:hideMark/>
          </w:tcPr>
          <w:p w14:paraId="6F4D865C" w14:textId="77777777" w:rsidR="00051D7E" w:rsidRPr="00C317EF" w:rsidRDefault="00051D7E" w:rsidP="007531FB">
            <w:pPr>
              <w:jc w:val="center"/>
              <w:rPr>
                <w:rFonts w:ascii="Calibri" w:eastAsia="Times New Roman" w:hAnsi="Calibri" w:cs="Calibri"/>
                <w:b/>
                <w:bCs/>
                <w:color w:val="0D0D0D"/>
              </w:rPr>
            </w:pPr>
            <w:r w:rsidRPr="00C317EF">
              <w:rPr>
                <w:rFonts w:ascii="Calibri" w:eastAsia="Times New Roman" w:hAnsi="Calibri" w:cs="Calibri"/>
                <w:b/>
                <w:bCs/>
                <w:color w:val="0D0D0D"/>
              </w:rPr>
              <w:t>202</w:t>
            </w:r>
            <w:r>
              <w:rPr>
                <w:rFonts w:ascii="Calibri" w:eastAsia="Times New Roman" w:hAnsi="Calibri" w:cs="Calibri"/>
                <w:b/>
                <w:bCs/>
                <w:color w:val="0D0D0D"/>
              </w:rPr>
              <w:t>1</w:t>
            </w:r>
          </w:p>
        </w:tc>
        <w:tc>
          <w:tcPr>
            <w:tcW w:w="1600" w:type="dxa"/>
            <w:tcBorders>
              <w:top w:val="nil"/>
              <w:left w:val="nil"/>
              <w:bottom w:val="single" w:sz="12" w:space="0" w:color="00688D"/>
              <w:right w:val="nil"/>
            </w:tcBorders>
            <w:shd w:val="clear" w:color="auto" w:fill="D9D9D9" w:themeFill="background1" w:themeFillShade="D9"/>
            <w:noWrap/>
            <w:vAlign w:val="bottom"/>
            <w:hideMark/>
          </w:tcPr>
          <w:p w14:paraId="0C28700F" w14:textId="77777777" w:rsidR="00051D7E" w:rsidRPr="00C317EF" w:rsidRDefault="00051D7E" w:rsidP="007531FB">
            <w:pPr>
              <w:jc w:val="center"/>
              <w:rPr>
                <w:rFonts w:ascii="Calibri" w:eastAsia="Times New Roman" w:hAnsi="Calibri" w:cs="Calibri"/>
                <w:b/>
                <w:bCs/>
                <w:color w:val="0D0D0D"/>
              </w:rPr>
            </w:pPr>
            <w:r w:rsidRPr="00C317EF">
              <w:rPr>
                <w:rFonts w:ascii="Calibri" w:eastAsia="Times New Roman" w:hAnsi="Calibri" w:cs="Calibri"/>
                <w:b/>
                <w:bCs/>
                <w:color w:val="0D0D0D"/>
              </w:rPr>
              <w:t>20</w:t>
            </w:r>
            <w:r>
              <w:rPr>
                <w:rFonts w:ascii="Calibri" w:eastAsia="Times New Roman" w:hAnsi="Calibri" w:cs="Calibri"/>
                <w:b/>
                <w:bCs/>
                <w:color w:val="0D0D0D"/>
              </w:rPr>
              <w:t>20</w:t>
            </w:r>
          </w:p>
        </w:tc>
      </w:tr>
      <w:tr w:rsidR="0045079E" w:rsidRPr="00C317EF" w14:paraId="7C04629F" w14:textId="77777777" w:rsidTr="007531FB">
        <w:trPr>
          <w:trHeight w:val="300"/>
        </w:trPr>
        <w:tc>
          <w:tcPr>
            <w:tcW w:w="6258" w:type="dxa"/>
            <w:tcBorders>
              <w:top w:val="nil"/>
              <w:left w:val="nil"/>
              <w:bottom w:val="nil"/>
              <w:right w:val="nil"/>
            </w:tcBorders>
            <w:shd w:val="clear" w:color="auto" w:fill="auto"/>
            <w:noWrap/>
            <w:vAlign w:val="bottom"/>
          </w:tcPr>
          <w:p w14:paraId="5C1D7960" w14:textId="495FE3EC" w:rsidR="0045079E" w:rsidRPr="0045079E" w:rsidRDefault="0045079E" w:rsidP="007531FB">
            <w:pPr>
              <w:rPr>
                <w:rFonts w:ascii="Calibri" w:eastAsia="Times New Roman" w:hAnsi="Calibri" w:cs="Calibri"/>
                <w:b/>
                <w:color w:val="0D0D0D"/>
              </w:rPr>
            </w:pPr>
            <w:r w:rsidRPr="0045079E">
              <w:rPr>
                <w:rFonts w:ascii="Calibri" w:eastAsia="Times New Roman" w:hAnsi="Calibri" w:cs="Calibri"/>
                <w:b/>
                <w:color w:val="0D0D0D"/>
              </w:rPr>
              <w:t>Bonds Payable:</w:t>
            </w:r>
          </w:p>
        </w:tc>
        <w:tc>
          <w:tcPr>
            <w:tcW w:w="1502" w:type="dxa"/>
            <w:tcBorders>
              <w:top w:val="nil"/>
              <w:left w:val="nil"/>
              <w:bottom w:val="nil"/>
              <w:right w:val="nil"/>
            </w:tcBorders>
            <w:shd w:val="clear" w:color="000000" w:fill="FFFFFF"/>
            <w:noWrap/>
            <w:vAlign w:val="bottom"/>
          </w:tcPr>
          <w:p w14:paraId="71C63F6C" w14:textId="77777777" w:rsidR="0045079E" w:rsidRPr="00C317EF" w:rsidRDefault="0045079E" w:rsidP="007531FB">
            <w:pPr>
              <w:jc w:val="center"/>
              <w:rPr>
                <w:rFonts w:ascii="Calibri" w:eastAsia="Times New Roman" w:hAnsi="Calibri" w:cs="Calibri"/>
                <w:color w:val="0D0D0D"/>
                <w:u w:val="single"/>
              </w:rPr>
            </w:pPr>
          </w:p>
        </w:tc>
        <w:tc>
          <w:tcPr>
            <w:tcW w:w="1600" w:type="dxa"/>
            <w:tcBorders>
              <w:top w:val="nil"/>
              <w:left w:val="nil"/>
              <w:bottom w:val="nil"/>
              <w:right w:val="nil"/>
            </w:tcBorders>
            <w:shd w:val="clear" w:color="auto" w:fill="D9D9D9" w:themeFill="background1" w:themeFillShade="D9"/>
            <w:noWrap/>
            <w:vAlign w:val="bottom"/>
          </w:tcPr>
          <w:p w14:paraId="5D7C137C" w14:textId="77777777" w:rsidR="0045079E" w:rsidRPr="00C317EF" w:rsidRDefault="0045079E" w:rsidP="007531FB">
            <w:pPr>
              <w:jc w:val="center"/>
              <w:rPr>
                <w:rFonts w:ascii="Calibri" w:eastAsia="Times New Roman" w:hAnsi="Calibri" w:cs="Calibri"/>
                <w:color w:val="0D0D0D"/>
                <w:u w:val="single"/>
              </w:rPr>
            </w:pPr>
          </w:p>
        </w:tc>
      </w:tr>
      <w:tr w:rsidR="00051D7E" w:rsidRPr="00C317EF" w14:paraId="6A3AD9D0" w14:textId="77777777" w:rsidTr="007531FB">
        <w:trPr>
          <w:trHeight w:val="1251"/>
        </w:trPr>
        <w:tc>
          <w:tcPr>
            <w:tcW w:w="6258" w:type="dxa"/>
            <w:tcBorders>
              <w:top w:val="nil"/>
              <w:left w:val="nil"/>
              <w:bottom w:val="nil"/>
              <w:right w:val="nil"/>
            </w:tcBorders>
            <w:shd w:val="clear" w:color="auto" w:fill="auto"/>
            <w:vAlign w:val="bottom"/>
            <w:hideMark/>
          </w:tcPr>
          <w:p w14:paraId="64B56D15" w14:textId="1F92A781" w:rsidR="00051D7E" w:rsidRPr="00C317EF" w:rsidRDefault="00F93CAA" w:rsidP="00F93CAA">
            <w:pPr>
              <w:spacing w:before="120"/>
              <w:ind w:leftChars="106" w:left="248" w:hangingChars="7" w:hanging="15"/>
              <w:rPr>
                <w:rFonts w:ascii="Calibri" w:eastAsia="Times New Roman" w:hAnsi="Calibri" w:cs="Calibri"/>
                <w:color w:val="0D0D0D"/>
              </w:rPr>
            </w:pPr>
            <w:r>
              <w:rPr>
                <w:rFonts w:ascii="Calibri" w:eastAsia="Times New Roman" w:hAnsi="Calibri" w:cs="Calibri"/>
                <w:color w:val="0D0D0D"/>
              </w:rPr>
              <w:t xml:space="preserve">2017 Series A Revenue Bonds (original principal of $30,340) </w:t>
            </w:r>
            <w:r w:rsidR="00051D7E" w:rsidRPr="00C317EF">
              <w:rPr>
                <w:rFonts w:ascii="Calibri" w:eastAsia="Times New Roman" w:hAnsi="Calibri" w:cs="Calibri"/>
                <w:color w:val="0D0D0D"/>
              </w:rPr>
              <w:t xml:space="preserve">Serial bonds, maturing from 2018 to 2026, with annual principal payments from $2,285 to $4,460 and coupon interest rates from 4.0% to 5.0%.  Issued to refund 2007A Series Revenue bonds and to provide funding for capital projects.  Includes premiums of </w:t>
            </w:r>
            <w:r w:rsidR="00051D7E" w:rsidRPr="0089419B">
              <w:rPr>
                <w:rFonts w:ascii="Calibri" w:eastAsia="Times New Roman" w:hAnsi="Calibri" w:cs="Calibri"/>
                <w:color w:val="0D0D0D"/>
              </w:rPr>
              <w:t>$1,073 and $1,604, respectively.</w:t>
            </w:r>
          </w:p>
        </w:tc>
        <w:tc>
          <w:tcPr>
            <w:tcW w:w="1502" w:type="dxa"/>
            <w:tcBorders>
              <w:top w:val="nil"/>
              <w:left w:val="nil"/>
              <w:bottom w:val="nil"/>
              <w:right w:val="nil"/>
            </w:tcBorders>
            <w:shd w:val="clear" w:color="000000" w:fill="FFFFFF"/>
            <w:noWrap/>
            <w:vAlign w:val="bottom"/>
            <w:hideMark/>
          </w:tcPr>
          <w:p w14:paraId="1F26BB9D" w14:textId="77777777" w:rsidR="00051D7E" w:rsidRPr="00C317EF" w:rsidRDefault="00051D7E" w:rsidP="007531FB">
            <w:pPr>
              <w:jc w:val="right"/>
              <w:rPr>
                <w:rFonts w:ascii="Calibri" w:eastAsia="Times New Roman" w:hAnsi="Calibri" w:cs="Calibri"/>
                <w:color w:val="0D0D0D"/>
              </w:rPr>
            </w:pPr>
            <w:r>
              <w:rPr>
                <w:rFonts w:ascii="Calibri" w:eastAsia="Times New Roman" w:hAnsi="Calibri" w:cs="Calibri"/>
                <w:color w:val="0D0D0D"/>
              </w:rPr>
              <w:t>$      17,048</w:t>
            </w:r>
          </w:p>
        </w:tc>
        <w:tc>
          <w:tcPr>
            <w:tcW w:w="1600" w:type="dxa"/>
            <w:tcBorders>
              <w:top w:val="nil"/>
              <w:left w:val="nil"/>
              <w:bottom w:val="nil"/>
              <w:right w:val="nil"/>
            </w:tcBorders>
            <w:shd w:val="clear" w:color="auto" w:fill="D9D9D9" w:themeFill="background1" w:themeFillShade="D9"/>
            <w:noWrap/>
            <w:vAlign w:val="bottom"/>
            <w:hideMark/>
          </w:tcPr>
          <w:p w14:paraId="2BF8289D" w14:textId="77777777" w:rsidR="00051D7E" w:rsidRPr="00C317EF" w:rsidRDefault="00051D7E" w:rsidP="007531FB">
            <w:pPr>
              <w:jc w:val="right"/>
              <w:rPr>
                <w:rFonts w:ascii="Calibri" w:eastAsia="Times New Roman" w:hAnsi="Calibri" w:cs="Calibri"/>
                <w:color w:val="0D0D0D"/>
              </w:rPr>
            </w:pPr>
            <w:r>
              <w:rPr>
                <w:rFonts w:ascii="Calibri" w:eastAsia="Times New Roman" w:hAnsi="Calibri" w:cs="Calibri"/>
                <w:color w:val="0D0D0D"/>
              </w:rPr>
              <w:t>$      21,024</w:t>
            </w:r>
          </w:p>
        </w:tc>
      </w:tr>
      <w:tr w:rsidR="00051D7E" w:rsidRPr="00C317EF" w14:paraId="6683CBEF" w14:textId="77777777" w:rsidTr="007531FB">
        <w:trPr>
          <w:trHeight w:val="1368"/>
        </w:trPr>
        <w:tc>
          <w:tcPr>
            <w:tcW w:w="6258" w:type="dxa"/>
            <w:tcBorders>
              <w:top w:val="nil"/>
              <w:left w:val="nil"/>
              <w:bottom w:val="nil"/>
              <w:right w:val="nil"/>
            </w:tcBorders>
            <w:shd w:val="clear" w:color="000000" w:fill="FFFFFF"/>
            <w:vAlign w:val="bottom"/>
            <w:hideMark/>
          </w:tcPr>
          <w:p w14:paraId="48DF842F" w14:textId="47EE623B" w:rsidR="00051D7E" w:rsidRPr="00142620" w:rsidRDefault="00F93CAA" w:rsidP="00F93CAA">
            <w:pPr>
              <w:spacing w:before="160"/>
              <w:ind w:leftChars="106" w:left="251" w:hangingChars="8" w:hanging="18"/>
              <w:rPr>
                <w:rFonts w:ascii="Calibri" w:eastAsia="Times New Roman" w:hAnsi="Calibri" w:cs="Calibri"/>
              </w:rPr>
            </w:pPr>
            <w:r w:rsidRPr="00142620">
              <w:rPr>
                <w:rFonts w:ascii="Calibri" w:eastAsia="Times New Roman" w:hAnsi="Calibri" w:cs="Calibri"/>
              </w:rPr>
              <w:t>2015 Series A Revenue Bonds (original principal of $48,450)</w:t>
            </w:r>
            <w:r>
              <w:rPr>
                <w:rFonts w:ascii="Calibri" w:eastAsia="Times New Roman" w:hAnsi="Calibri" w:cs="Calibri"/>
              </w:rPr>
              <w:t xml:space="preserve"> </w:t>
            </w:r>
            <w:r w:rsidR="00051D7E" w:rsidRPr="00142620">
              <w:rPr>
                <w:rFonts w:ascii="Calibri" w:eastAsia="Times New Roman" w:hAnsi="Calibri" w:cs="Calibri"/>
              </w:rPr>
              <w:t>Serial bonds, maturing from 2016 to 2037, with annual principal payments from $405 to $3,760 and coupon interest rates from 3.0% to 5.0%.  Issued to refund 2004A, 2005A, and 2007A Series Revenue bonds and to provide funding for capital projects.  Includes premiums of $1,467 and $1,898, respectively.</w:t>
            </w:r>
          </w:p>
        </w:tc>
        <w:tc>
          <w:tcPr>
            <w:tcW w:w="1502" w:type="dxa"/>
            <w:tcBorders>
              <w:top w:val="nil"/>
              <w:left w:val="nil"/>
              <w:bottom w:val="nil"/>
              <w:right w:val="nil"/>
            </w:tcBorders>
            <w:shd w:val="clear" w:color="000000" w:fill="FFFFFF"/>
            <w:noWrap/>
            <w:vAlign w:val="bottom"/>
            <w:hideMark/>
          </w:tcPr>
          <w:p w14:paraId="41DEE713" w14:textId="77777777" w:rsidR="00051D7E" w:rsidRPr="00142620" w:rsidRDefault="00051D7E" w:rsidP="007531FB">
            <w:pPr>
              <w:jc w:val="right"/>
              <w:rPr>
                <w:rFonts w:ascii="Calibri" w:eastAsia="Times New Roman" w:hAnsi="Calibri" w:cs="Calibri"/>
              </w:rPr>
            </w:pPr>
            <w:r w:rsidRPr="00142620">
              <w:rPr>
                <w:rFonts w:ascii="Calibri" w:eastAsia="Times New Roman" w:hAnsi="Calibri" w:cs="Calibri"/>
              </w:rPr>
              <w:t>38,507</w:t>
            </w:r>
          </w:p>
        </w:tc>
        <w:tc>
          <w:tcPr>
            <w:tcW w:w="1600" w:type="dxa"/>
            <w:tcBorders>
              <w:top w:val="nil"/>
              <w:left w:val="nil"/>
              <w:bottom w:val="nil"/>
              <w:right w:val="nil"/>
            </w:tcBorders>
            <w:shd w:val="clear" w:color="auto" w:fill="D9D9D9" w:themeFill="background1" w:themeFillShade="D9"/>
            <w:noWrap/>
            <w:vAlign w:val="bottom"/>
            <w:hideMark/>
          </w:tcPr>
          <w:p w14:paraId="1F53A23D" w14:textId="77777777" w:rsidR="00051D7E" w:rsidRPr="00142620" w:rsidRDefault="00051D7E" w:rsidP="007531FB">
            <w:pPr>
              <w:jc w:val="right"/>
              <w:rPr>
                <w:rFonts w:ascii="Calibri" w:eastAsia="Times New Roman" w:hAnsi="Calibri" w:cs="Calibri"/>
              </w:rPr>
            </w:pPr>
            <w:r w:rsidRPr="00142620">
              <w:rPr>
                <w:rFonts w:ascii="Calibri" w:eastAsia="Times New Roman" w:hAnsi="Calibri" w:cs="Calibri"/>
              </w:rPr>
              <w:t>41,203</w:t>
            </w:r>
          </w:p>
        </w:tc>
      </w:tr>
      <w:tr w:rsidR="00051D7E" w:rsidRPr="00C317EF" w14:paraId="7169EE57" w14:textId="77777777" w:rsidTr="007531FB">
        <w:trPr>
          <w:trHeight w:val="1305"/>
        </w:trPr>
        <w:tc>
          <w:tcPr>
            <w:tcW w:w="6258" w:type="dxa"/>
            <w:tcBorders>
              <w:top w:val="nil"/>
              <w:left w:val="nil"/>
              <w:bottom w:val="nil"/>
              <w:right w:val="nil"/>
            </w:tcBorders>
            <w:shd w:val="clear" w:color="000000" w:fill="FFFFFF"/>
            <w:vAlign w:val="bottom"/>
            <w:hideMark/>
          </w:tcPr>
          <w:p w14:paraId="5FBDB8F0" w14:textId="118EACB5" w:rsidR="00051D7E" w:rsidRPr="00C317EF" w:rsidRDefault="00F93CAA" w:rsidP="00F93CAA">
            <w:pPr>
              <w:spacing w:before="160"/>
              <w:ind w:leftChars="106" w:left="251" w:hangingChars="8" w:hanging="18"/>
              <w:rPr>
                <w:rFonts w:ascii="Calibri" w:eastAsia="Times New Roman" w:hAnsi="Calibri" w:cs="Calibri"/>
                <w:color w:val="0D0D0D"/>
              </w:rPr>
            </w:pPr>
            <w:r>
              <w:rPr>
                <w:rFonts w:ascii="Calibri" w:eastAsia="Times New Roman" w:hAnsi="Calibri" w:cs="Calibri"/>
                <w:color w:val="0D0D0D"/>
              </w:rPr>
              <w:t>2</w:t>
            </w:r>
            <w:r w:rsidRPr="00C317EF">
              <w:rPr>
                <w:rFonts w:ascii="Calibri" w:eastAsia="Times New Roman" w:hAnsi="Calibri" w:cs="Calibri"/>
                <w:color w:val="0D0D0D"/>
              </w:rPr>
              <w:t>013 Series A Revenue Bonds (original principal of $65,255)</w:t>
            </w:r>
            <w:r>
              <w:rPr>
                <w:rFonts w:ascii="Calibri" w:eastAsia="Times New Roman" w:hAnsi="Calibri" w:cs="Calibri"/>
                <w:color w:val="0D0D0D"/>
              </w:rPr>
              <w:t xml:space="preserve"> </w:t>
            </w:r>
            <w:r w:rsidR="00051D7E" w:rsidRPr="00C317EF">
              <w:rPr>
                <w:rFonts w:ascii="Calibri" w:eastAsia="Times New Roman" w:hAnsi="Calibri" w:cs="Calibri"/>
                <w:color w:val="0D0D0D"/>
              </w:rPr>
              <w:t xml:space="preserve">Serial and Term bonds, maturing from 2014 to 2035, with annual principal payments from $1,275 to $4,425 and coupon interest rates from 2.0% to 5.0%.  Issued to refund 2000A, 2003A, 2004A, and 2005A Series Revenue bonds.  Includes premiums of </w:t>
            </w:r>
            <w:r w:rsidR="00051D7E" w:rsidRPr="0089419B">
              <w:rPr>
                <w:rFonts w:ascii="Calibri" w:eastAsia="Times New Roman" w:hAnsi="Calibri" w:cs="Calibri"/>
                <w:color w:val="0D0D0D"/>
              </w:rPr>
              <w:t>$2,063 and $2,637</w:t>
            </w:r>
            <w:r w:rsidR="00051D7E" w:rsidRPr="00C317EF">
              <w:rPr>
                <w:rFonts w:ascii="Calibri" w:eastAsia="Times New Roman" w:hAnsi="Calibri" w:cs="Calibri"/>
                <w:color w:val="0D0D0D"/>
              </w:rPr>
              <w:t>.</w:t>
            </w:r>
          </w:p>
        </w:tc>
        <w:tc>
          <w:tcPr>
            <w:tcW w:w="1502" w:type="dxa"/>
            <w:tcBorders>
              <w:top w:val="nil"/>
              <w:left w:val="nil"/>
              <w:bottom w:val="nil"/>
              <w:right w:val="nil"/>
            </w:tcBorders>
            <w:shd w:val="clear" w:color="000000" w:fill="FFFFFF"/>
            <w:noWrap/>
            <w:vAlign w:val="bottom"/>
            <w:hideMark/>
          </w:tcPr>
          <w:p w14:paraId="0C6CB146" w14:textId="77777777" w:rsidR="00051D7E" w:rsidRPr="00C317EF" w:rsidRDefault="00051D7E" w:rsidP="007531FB">
            <w:pPr>
              <w:jc w:val="right"/>
              <w:rPr>
                <w:rFonts w:ascii="Calibri" w:eastAsia="Times New Roman" w:hAnsi="Calibri" w:cs="Calibri"/>
                <w:color w:val="0D0D0D"/>
              </w:rPr>
            </w:pPr>
            <w:r>
              <w:rPr>
                <w:rFonts w:ascii="Calibri" w:eastAsia="Times New Roman" w:hAnsi="Calibri" w:cs="Calibri"/>
                <w:color w:val="0D0D0D"/>
              </w:rPr>
              <w:t>46,233</w:t>
            </w:r>
          </w:p>
        </w:tc>
        <w:tc>
          <w:tcPr>
            <w:tcW w:w="1600" w:type="dxa"/>
            <w:tcBorders>
              <w:top w:val="nil"/>
              <w:left w:val="nil"/>
              <w:bottom w:val="nil"/>
              <w:right w:val="nil"/>
            </w:tcBorders>
            <w:shd w:val="clear" w:color="auto" w:fill="D9D9D9" w:themeFill="background1" w:themeFillShade="D9"/>
            <w:noWrap/>
            <w:vAlign w:val="bottom"/>
            <w:hideMark/>
          </w:tcPr>
          <w:p w14:paraId="40D974FD" w14:textId="77777777" w:rsidR="00051D7E" w:rsidRPr="00C317EF" w:rsidRDefault="00051D7E" w:rsidP="007531FB">
            <w:pPr>
              <w:jc w:val="right"/>
              <w:rPr>
                <w:rFonts w:ascii="Calibri" w:eastAsia="Times New Roman" w:hAnsi="Calibri" w:cs="Calibri"/>
                <w:color w:val="0D0D0D"/>
              </w:rPr>
            </w:pPr>
            <w:r>
              <w:rPr>
                <w:rFonts w:ascii="Calibri" w:eastAsia="Times New Roman" w:hAnsi="Calibri" w:cs="Calibri"/>
                <w:color w:val="0D0D0D"/>
              </w:rPr>
              <w:t>49,592</w:t>
            </w:r>
          </w:p>
        </w:tc>
      </w:tr>
      <w:tr w:rsidR="00051D7E" w:rsidRPr="00C317EF" w14:paraId="485452E5" w14:textId="77777777" w:rsidTr="0045079E">
        <w:trPr>
          <w:trHeight w:val="1341"/>
        </w:trPr>
        <w:tc>
          <w:tcPr>
            <w:tcW w:w="6258" w:type="dxa"/>
            <w:tcBorders>
              <w:top w:val="nil"/>
              <w:left w:val="nil"/>
              <w:bottom w:val="single" w:sz="4" w:space="0" w:color="auto"/>
              <w:right w:val="nil"/>
            </w:tcBorders>
            <w:shd w:val="clear" w:color="000000" w:fill="FFFFFF"/>
            <w:vAlign w:val="bottom"/>
            <w:hideMark/>
          </w:tcPr>
          <w:p w14:paraId="50D82200" w14:textId="2DA4B2CA" w:rsidR="00051D7E" w:rsidRPr="00C317EF" w:rsidRDefault="00F93CAA" w:rsidP="00F93CAA">
            <w:pPr>
              <w:spacing w:before="160"/>
              <w:ind w:leftChars="106" w:left="251" w:hangingChars="8" w:hanging="18"/>
              <w:rPr>
                <w:rFonts w:ascii="Calibri" w:eastAsia="Times New Roman" w:hAnsi="Calibri" w:cs="Calibri"/>
                <w:color w:val="0D0D0D"/>
              </w:rPr>
            </w:pPr>
            <w:r w:rsidRPr="00C317EF">
              <w:rPr>
                <w:rFonts w:ascii="Calibri" w:eastAsia="Times New Roman" w:hAnsi="Calibri" w:cs="Calibri"/>
                <w:color w:val="0D0D0D"/>
              </w:rPr>
              <w:t>2012 Series A Revenue Bonds (original principal of $34,975)</w:t>
            </w:r>
            <w:r>
              <w:rPr>
                <w:rFonts w:ascii="Calibri" w:eastAsia="Times New Roman" w:hAnsi="Calibri" w:cs="Calibri"/>
                <w:color w:val="0D0D0D"/>
              </w:rPr>
              <w:t xml:space="preserve"> </w:t>
            </w:r>
            <w:r w:rsidR="00051D7E" w:rsidRPr="00C317EF">
              <w:rPr>
                <w:rFonts w:ascii="Calibri" w:eastAsia="Times New Roman" w:hAnsi="Calibri" w:cs="Calibri"/>
                <w:color w:val="0D0D0D"/>
              </w:rPr>
              <w:t xml:space="preserve">Serial and Term bonds, maturing from 2013 to 2033, with annual principal payments from $1,070 to $2,620 and coupon interest rates from 2.0% to 4.0%.  Issued to refund balloon on the 2002A Series Revenue bonds and to provide funding for a capital project.  Includes premiums of </w:t>
            </w:r>
            <w:r w:rsidR="00051D7E" w:rsidRPr="0089419B">
              <w:rPr>
                <w:rFonts w:ascii="Calibri" w:eastAsia="Times New Roman" w:hAnsi="Calibri" w:cs="Calibri"/>
                <w:color w:val="0D0D0D"/>
              </w:rPr>
              <w:t>$374 and $478</w:t>
            </w:r>
            <w:r w:rsidR="00051D7E" w:rsidRPr="00C317EF">
              <w:rPr>
                <w:rFonts w:ascii="Calibri" w:eastAsia="Times New Roman" w:hAnsi="Calibri" w:cs="Calibri"/>
                <w:color w:val="0D0D0D"/>
              </w:rPr>
              <w:t>, respectively.</w:t>
            </w:r>
          </w:p>
        </w:tc>
        <w:tc>
          <w:tcPr>
            <w:tcW w:w="1502" w:type="dxa"/>
            <w:tcBorders>
              <w:top w:val="nil"/>
              <w:left w:val="nil"/>
              <w:bottom w:val="single" w:sz="4" w:space="0" w:color="auto"/>
              <w:right w:val="nil"/>
            </w:tcBorders>
            <w:shd w:val="clear" w:color="000000" w:fill="FFFFFF"/>
            <w:noWrap/>
            <w:vAlign w:val="bottom"/>
            <w:hideMark/>
          </w:tcPr>
          <w:p w14:paraId="0E9D4633" w14:textId="77777777" w:rsidR="00051D7E" w:rsidRPr="00C317EF" w:rsidRDefault="00051D7E" w:rsidP="007531FB">
            <w:pPr>
              <w:jc w:val="right"/>
              <w:rPr>
                <w:rFonts w:ascii="Calibri" w:eastAsia="Times New Roman" w:hAnsi="Calibri" w:cs="Calibri"/>
                <w:color w:val="0D0D0D"/>
              </w:rPr>
            </w:pPr>
            <w:r>
              <w:rPr>
                <w:rFonts w:ascii="Calibri" w:eastAsia="Times New Roman" w:hAnsi="Calibri" w:cs="Calibri"/>
                <w:color w:val="0D0D0D"/>
              </w:rPr>
              <w:t>15,714</w:t>
            </w:r>
          </w:p>
        </w:tc>
        <w:tc>
          <w:tcPr>
            <w:tcW w:w="1600" w:type="dxa"/>
            <w:tcBorders>
              <w:top w:val="nil"/>
              <w:left w:val="nil"/>
              <w:bottom w:val="single" w:sz="4" w:space="0" w:color="auto"/>
              <w:right w:val="nil"/>
            </w:tcBorders>
            <w:shd w:val="clear" w:color="auto" w:fill="D9D9D9" w:themeFill="background1" w:themeFillShade="D9"/>
            <w:noWrap/>
            <w:vAlign w:val="bottom"/>
            <w:hideMark/>
          </w:tcPr>
          <w:p w14:paraId="429AD118" w14:textId="77777777" w:rsidR="00051D7E" w:rsidRPr="00C317EF" w:rsidRDefault="00051D7E" w:rsidP="007531FB">
            <w:pPr>
              <w:jc w:val="right"/>
              <w:rPr>
                <w:rFonts w:ascii="Calibri" w:eastAsia="Times New Roman" w:hAnsi="Calibri" w:cs="Calibri"/>
                <w:color w:val="0D0D0D"/>
              </w:rPr>
            </w:pPr>
            <w:r>
              <w:rPr>
                <w:rFonts w:ascii="Calibri" w:eastAsia="Times New Roman" w:hAnsi="Calibri" w:cs="Calibri"/>
                <w:color w:val="0D0D0D"/>
              </w:rPr>
              <w:t>17,763</w:t>
            </w:r>
          </w:p>
        </w:tc>
      </w:tr>
      <w:tr w:rsidR="0045079E" w:rsidRPr="00C317EF" w14:paraId="6FB3D855" w14:textId="77777777" w:rsidTr="0045079E">
        <w:trPr>
          <w:trHeight w:val="368"/>
        </w:trPr>
        <w:tc>
          <w:tcPr>
            <w:tcW w:w="6258" w:type="dxa"/>
            <w:tcBorders>
              <w:top w:val="single" w:sz="4" w:space="0" w:color="auto"/>
              <w:left w:val="nil"/>
              <w:bottom w:val="single" w:sz="4" w:space="0" w:color="auto"/>
              <w:right w:val="nil"/>
            </w:tcBorders>
            <w:shd w:val="clear" w:color="000000" w:fill="FFFFFF"/>
            <w:noWrap/>
            <w:vAlign w:val="bottom"/>
          </w:tcPr>
          <w:p w14:paraId="0CCA908C" w14:textId="01984260" w:rsidR="0045079E" w:rsidRPr="002B0DA3" w:rsidRDefault="0045079E" w:rsidP="004A4109">
            <w:pPr>
              <w:ind w:left="250"/>
              <w:rPr>
                <w:rFonts w:ascii="Calibri" w:eastAsia="Times New Roman" w:hAnsi="Calibri" w:cs="Calibri"/>
              </w:rPr>
            </w:pPr>
            <w:r>
              <w:rPr>
                <w:rFonts w:ascii="Calibri" w:eastAsia="Times New Roman" w:hAnsi="Calibri" w:cs="Calibri"/>
              </w:rPr>
              <w:t>Total bonds payable, net</w:t>
            </w:r>
          </w:p>
        </w:tc>
        <w:tc>
          <w:tcPr>
            <w:tcW w:w="1502" w:type="dxa"/>
            <w:tcBorders>
              <w:top w:val="single" w:sz="4" w:space="0" w:color="auto"/>
              <w:left w:val="nil"/>
              <w:bottom w:val="single" w:sz="4" w:space="0" w:color="auto"/>
              <w:right w:val="nil"/>
            </w:tcBorders>
            <w:shd w:val="clear" w:color="000000" w:fill="FFFFFF"/>
            <w:noWrap/>
            <w:vAlign w:val="bottom"/>
          </w:tcPr>
          <w:p w14:paraId="5217FBA3" w14:textId="50FA2472" w:rsidR="0045079E" w:rsidRPr="00C317EF" w:rsidRDefault="0045079E" w:rsidP="007531FB">
            <w:pPr>
              <w:jc w:val="right"/>
              <w:rPr>
                <w:rFonts w:ascii="Calibri" w:eastAsia="Times New Roman" w:hAnsi="Calibri" w:cs="Calibri"/>
                <w:color w:val="0D0D0D"/>
              </w:rPr>
            </w:pPr>
            <w:r>
              <w:rPr>
                <w:rFonts w:ascii="Calibri" w:eastAsia="Times New Roman" w:hAnsi="Calibri" w:cs="Calibri"/>
                <w:color w:val="0D0D0D"/>
              </w:rPr>
              <w:t>117,502</w:t>
            </w:r>
          </w:p>
        </w:tc>
        <w:tc>
          <w:tcPr>
            <w:tcW w:w="1600" w:type="dxa"/>
            <w:tcBorders>
              <w:top w:val="single" w:sz="4" w:space="0" w:color="auto"/>
              <w:left w:val="nil"/>
              <w:bottom w:val="single" w:sz="4" w:space="0" w:color="auto"/>
              <w:right w:val="nil"/>
            </w:tcBorders>
            <w:shd w:val="clear" w:color="auto" w:fill="D9D9D9" w:themeFill="background1" w:themeFillShade="D9"/>
            <w:noWrap/>
            <w:vAlign w:val="bottom"/>
          </w:tcPr>
          <w:p w14:paraId="7D1D7F91" w14:textId="0EA5D84D" w:rsidR="0045079E" w:rsidRPr="00C317EF" w:rsidRDefault="0045079E" w:rsidP="007531FB">
            <w:pPr>
              <w:jc w:val="right"/>
              <w:rPr>
                <w:rFonts w:ascii="Calibri" w:eastAsia="Times New Roman" w:hAnsi="Calibri" w:cs="Calibri"/>
                <w:color w:val="0D0D0D"/>
              </w:rPr>
            </w:pPr>
            <w:r>
              <w:rPr>
                <w:rFonts w:ascii="Calibri" w:eastAsia="Times New Roman" w:hAnsi="Calibri" w:cs="Calibri"/>
                <w:color w:val="0D0D0D"/>
              </w:rPr>
              <w:t>129,582</w:t>
            </w:r>
          </w:p>
        </w:tc>
      </w:tr>
      <w:tr w:rsidR="0045079E" w:rsidRPr="00C317EF" w14:paraId="4430FABA" w14:textId="77777777" w:rsidTr="0045079E">
        <w:trPr>
          <w:trHeight w:val="420"/>
        </w:trPr>
        <w:tc>
          <w:tcPr>
            <w:tcW w:w="6258" w:type="dxa"/>
            <w:tcBorders>
              <w:top w:val="single" w:sz="4" w:space="0" w:color="auto"/>
              <w:left w:val="nil"/>
              <w:bottom w:val="nil"/>
              <w:right w:val="nil"/>
            </w:tcBorders>
            <w:shd w:val="clear" w:color="000000" w:fill="FFFFFF"/>
            <w:noWrap/>
            <w:vAlign w:val="bottom"/>
          </w:tcPr>
          <w:p w14:paraId="6E399CDE" w14:textId="7D7B648F" w:rsidR="0045079E" w:rsidRPr="0045079E" w:rsidRDefault="0045079E" w:rsidP="007531FB">
            <w:pPr>
              <w:rPr>
                <w:rFonts w:ascii="Calibri" w:eastAsia="Times New Roman" w:hAnsi="Calibri" w:cs="Calibri"/>
                <w:b/>
              </w:rPr>
            </w:pPr>
            <w:r w:rsidRPr="0045079E">
              <w:rPr>
                <w:rFonts w:ascii="Calibri" w:eastAsia="Times New Roman" w:hAnsi="Calibri" w:cs="Calibri"/>
                <w:b/>
              </w:rPr>
              <w:t>Direct Borrowings:</w:t>
            </w:r>
          </w:p>
        </w:tc>
        <w:tc>
          <w:tcPr>
            <w:tcW w:w="1502" w:type="dxa"/>
            <w:tcBorders>
              <w:top w:val="single" w:sz="4" w:space="0" w:color="auto"/>
              <w:left w:val="nil"/>
              <w:bottom w:val="nil"/>
              <w:right w:val="nil"/>
            </w:tcBorders>
            <w:shd w:val="clear" w:color="000000" w:fill="FFFFFF"/>
            <w:noWrap/>
            <w:vAlign w:val="bottom"/>
          </w:tcPr>
          <w:p w14:paraId="3343D0DC" w14:textId="77777777" w:rsidR="0045079E" w:rsidRPr="00C317EF" w:rsidRDefault="0045079E" w:rsidP="007531FB">
            <w:pPr>
              <w:jc w:val="right"/>
              <w:rPr>
                <w:rFonts w:ascii="Calibri" w:eastAsia="Times New Roman" w:hAnsi="Calibri" w:cs="Calibri"/>
                <w:color w:val="0D0D0D"/>
              </w:rPr>
            </w:pPr>
          </w:p>
        </w:tc>
        <w:tc>
          <w:tcPr>
            <w:tcW w:w="1600" w:type="dxa"/>
            <w:tcBorders>
              <w:top w:val="single" w:sz="4" w:space="0" w:color="auto"/>
              <w:left w:val="nil"/>
              <w:bottom w:val="nil"/>
              <w:right w:val="nil"/>
            </w:tcBorders>
            <w:shd w:val="clear" w:color="auto" w:fill="D9D9D9" w:themeFill="background1" w:themeFillShade="D9"/>
            <w:noWrap/>
            <w:vAlign w:val="bottom"/>
          </w:tcPr>
          <w:p w14:paraId="4BB04417" w14:textId="77777777" w:rsidR="0045079E" w:rsidRPr="00C317EF" w:rsidRDefault="0045079E" w:rsidP="007531FB">
            <w:pPr>
              <w:jc w:val="right"/>
              <w:rPr>
                <w:rFonts w:ascii="Calibri" w:eastAsia="Times New Roman" w:hAnsi="Calibri" w:cs="Calibri"/>
                <w:color w:val="0D0D0D"/>
              </w:rPr>
            </w:pPr>
          </w:p>
        </w:tc>
      </w:tr>
      <w:tr w:rsidR="00051D7E" w:rsidRPr="00C317EF" w14:paraId="16B771EF" w14:textId="77777777" w:rsidTr="007531FB">
        <w:trPr>
          <w:trHeight w:val="420"/>
        </w:trPr>
        <w:tc>
          <w:tcPr>
            <w:tcW w:w="6258" w:type="dxa"/>
            <w:tcBorders>
              <w:top w:val="nil"/>
              <w:left w:val="nil"/>
              <w:bottom w:val="nil"/>
              <w:right w:val="nil"/>
            </w:tcBorders>
            <w:shd w:val="clear" w:color="000000" w:fill="FFFFFF"/>
            <w:noWrap/>
            <w:vAlign w:val="bottom"/>
          </w:tcPr>
          <w:p w14:paraId="25FC6473" w14:textId="3F3D9B47" w:rsidR="00051D7E" w:rsidRDefault="009C41FC" w:rsidP="006F60AB">
            <w:pPr>
              <w:spacing w:before="160"/>
              <w:ind w:left="250"/>
              <w:rPr>
                <w:rFonts w:ascii="Calibri" w:eastAsia="Times New Roman" w:hAnsi="Calibri" w:cs="Calibri"/>
              </w:rPr>
            </w:pPr>
            <w:r w:rsidRPr="006F60AB">
              <w:rPr>
                <w:rFonts w:ascii="Calibri" w:eastAsia="Times New Roman" w:hAnsi="Calibri" w:cs="Calibri"/>
                <w:u w:val="single"/>
              </w:rPr>
              <w:t>TD Bank, N.A.</w:t>
            </w:r>
            <w:r w:rsidR="0097659C">
              <w:rPr>
                <w:rFonts w:ascii="Calibri" w:eastAsia="Times New Roman" w:hAnsi="Calibri" w:cs="Calibri"/>
                <w:u w:val="single"/>
              </w:rPr>
              <w:t>:</w:t>
            </w:r>
            <w:r>
              <w:rPr>
                <w:rFonts w:ascii="Calibri" w:eastAsia="Times New Roman" w:hAnsi="Calibri" w:cs="Calibri"/>
              </w:rPr>
              <w:t xml:space="preserve">  </w:t>
            </w:r>
            <w:r w:rsidR="00051D7E" w:rsidRPr="002B0DA3">
              <w:rPr>
                <w:rFonts w:ascii="Calibri" w:eastAsia="Times New Roman" w:hAnsi="Calibri" w:cs="Calibri"/>
              </w:rPr>
              <w:t xml:space="preserve">$43,000 </w:t>
            </w:r>
            <w:r w:rsidR="00051D7E">
              <w:rPr>
                <w:rFonts w:ascii="Calibri" w:eastAsia="Times New Roman" w:hAnsi="Calibri" w:cs="Calibri"/>
              </w:rPr>
              <w:t xml:space="preserve">bond </w:t>
            </w:r>
            <w:r w:rsidR="00051D7E" w:rsidRPr="002B0DA3">
              <w:rPr>
                <w:rFonts w:ascii="Calibri" w:eastAsia="Times New Roman" w:hAnsi="Calibri" w:cs="Calibri"/>
              </w:rPr>
              <w:t xml:space="preserve">anticipation </w:t>
            </w:r>
            <w:r w:rsidR="00051D7E">
              <w:rPr>
                <w:rFonts w:ascii="Calibri" w:eastAsia="Times New Roman" w:hAnsi="Calibri" w:cs="Calibri"/>
              </w:rPr>
              <w:t>note, Series 2021</w:t>
            </w:r>
            <w:r w:rsidR="00051D7E" w:rsidRPr="002B0DA3">
              <w:rPr>
                <w:rFonts w:ascii="Calibri" w:eastAsia="Times New Roman" w:hAnsi="Calibri" w:cs="Calibri"/>
              </w:rPr>
              <w:t xml:space="preserve">, </w:t>
            </w:r>
            <w:r w:rsidR="00051D7E">
              <w:rPr>
                <w:rFonts w:ascii="Calibri" w:eastAsia="Times New Roman" w:hAnsi="Calibri" w:cs="Calibri"/>
              </w:rPr>
              <w:t xml:space="preserve">monthly </w:t>
            </w:r>
            <w:r w:rsidR="00051D7E" w:rsidRPr="002B0DA3">
              <w:rPr>
                <w:rFonts w:ascii="Calibri" w:eastAsia="Times New Roman" w:hAnsi="Calibri" w:cs="Calibri"/>
              </w:rPr>
              <w:t xml:space="preserve">interest </w:t>
            </w:r>
            <w:r w:rsidR="00051D7E">
              <w:rPr>
                <w:rFonts w:ascii="Calibri" w:eastAsia="Times New Roman" w:hAnsi="Calibri" w:cs="Calibri"/>
              </w:rPr>
              <w:t xml:space="preserve">only </w:t>
            </w:r>
            <w:r w:rsidR="00051D7E" w:rsidRPr="002B0DA3">
              <w:rPr>
                <w:rFonts w:ascii="Calibri" w:eastAsia="Times New Roman" w:hAnsi="Calibri" w:cs="Calibri"/>
              </w:rPr>
              <w:t xml:space="preserve">payments at .31%, matures </w:t>
            </w:r>
            <w:r w:rsidR="00051D7E">
              <w:rPr>
                <w:rFonts w:ascii="Calibri" w:eastAsia="Times New Roman" w:hAnsi="Calibri" w:cs="Calibri"/>
              </w:rPr>
              <w:t xml:space="preserve">July </w:t>
            </w:r>
            <w:r w:rsidR="00051D7E" w:rsidRPr="002B0DA3">
              <w:rPr>
                <w:rFonts w:ascii="Calibri" w:eastAsia="Times New Roman" w:hAnsi="Calibri" w:cs="Calibri"/>
              </w:rPr>
              <w:t>202</w:t>
            </w:r>
            <w:r w:rsidR="00051D7E">
              <w:rPr>
                <w:rFonts w:ascii="Calibri" w:eastAsia="Times New Roman" w:hAnsi="Calibri" w:cs="Calibri"/>
              </w:rPr>
              <w:t>2</w:t>
            </w:r>
            <w:r w:rsidR="002E6B0F">
              <w:rPr>
                <w:rFonts w:ascii="Calibri" w:eastAsia="Times New Roman" w:hAnsi="Calibri" w:cs="Calibri"/>
              </w:rPr>
              <w:t>.</w:t>
            </w:r>
          </w:p>
          <w:p w14:paraId="4055455A" w14:textId="4B6C935A" w:rsidR="002E6B0F" w:rsidRPr="002B0DA3" w:rsidRDefault="002E6B0F" w:rsidP="00066FDB">
            <w:pPr>
              <w:ind w:left="250"/>
              <w:rPr>
                <w:rFonts w:ascii="Calibri" w:eastAsia="Times New Roman" w:hAnsi="Calibri" w:cs="Calibri"/>
              </w:rPr>
            </w:pPr>
            <w:r>
              <w:rPr>
                <w:rFonts w:ascii="Calibri" w:eastAsia="Times New Roman" w:hAnsi="Calibri" w:cs="Calibri"/>
              </w:rPr>
              <w:t xml:space="preserve">The note agreement contains </w:t>
            </w:r>
            <w:r w:rsidR="005C194C">
              <w:rPr>
                <w:rFonts w:ascii="Calibri" w:eastAsia="Times New Roman" w:hAnsi="Calibri" w:cs="Calibri"/>
              </w:rPr>
              <w:t xml:space="preserve">a </w:t>
            </w:r>
            <w:r>
              <w:rPr>
                <w:rFonts w:ascii="Calibri" w:eastAsia="Times New Roman" w:hAnsi="Calibri" w:cs="Calibri"/>
              </w:rPr>
              <w:t>provision that in an event of default,</w:t>
            </w:r>
            <w:r w:rsidR="00066FDB">
              <w:rPr>
                <w:rFonts w:ascii="Calibri" w:eastAsia="Times New Roman" w:hAnsi="Calibri" w:cs="Calibri"/>
              </w:rPr>
              <w:t xml:space="preserve"> the Purchaser may declare principal of and interest on the note to be immediately due and payable.</w:t>
            </w:r>
            <w:r>
              <w:rPr>
                <w:rFonts w:ascii="Calibri" w:eastAsia="Times New Roman" w:hAnsi="Calibri" w:cs="Calibri"/>
              </w:rPr>
              <w:t xml:space="preserve"> </w:t>
            </w:r>
            <w:r w:rsidR="00066FDB">
              <w:rPr>
                <w:rFonts w:ascii="Calibri" w:eastAsia="Times New Roman" w:hAnsi="Calibri" w:cs="Calibri"/>
              </w:rPr>
              <w:t xml:space="preserve">In the event of a default, </w:t>
            </w:r>
            <w:r>
              <w:rPr>
                <w:rFonts w:ascii="Calibri" w:eastAsia="Times New Roman" w:hAnsi="Calibri" w:cs="Calibri"/>
              </w:rPr>
              <w:t>the unpaid principal of the note shall, at the option of the Purchase</w:t>
            </w:r>
            <w:r w:rsidR="005C194C">
              <w:rPr>
                <w:rFonts w:ascii="Calibri" w:eastAsia="Times New Roman" w:hAnsi="Calibri" w:cs="Calibri"/>
              </w:rPr>
              <w:t>r</w:t>
            </w:r>
            <w:r>
              <w:rPr>
                <w:rFonts w:ascii="Calibri" w:eastAsia="Times New Roman" w:hAnsi="Calibri" w:cs="Calibri"/>
              </w:rPr>
              <w:t xml:space="preserve">, bear interest at the lesser of a rate which is four percentage points per annum greater than that which would otherwise be applicable or the </w:t>
            </w:r>
            <w:r w:rsidR="00597DDD">
              <w:rPr>
                <w:rFonts w:ascii="Calibri" w:eastAsia="Times New Roman" w:hAnsi="Calibri" w:cs="Calibri"/>
              </w:rPr>
              <w:t>m</w:t>
            </w:r>
            <w:r>
              <w:rPr>
                <w:rFonts w:ascii="Calibri" w:eastAsia="Times New Roman" w:hAnsi="Calibri" w:cs="Calibri"/>
              </w:rPr>
              <w:t xml:space="preserve">aximum </w:t>
            </w:r>
            <w:r w:rsidR="00597DDD">
              <w:rPr>
                <w:rFonts w:ascii="Calibri" w:eastAsia="Times New Roman" w:hAnsi="Calibri" w:cs="Calibri"/>
              </w:rPr>
              <w:t>i</w:t>
            </w:r>
            <w:r>
              <w:rPr>
                <w:rFonts w:ascii="Calibri" w:eastAsia="Times New Roman" w:hAnsi="Calibri" w:cs="Calibri"/>
              </w:rPr>
              <w:t xml:space="preserve">nterest </w:t>
            </w:r>
            <w:r w:rsidR="00597DDD">
              <w:rPr>
                <w:rFonts w:ascii="Calibri" w:eastAsia="Times New Roman" w:hAnsi="Calibri" w:cs="Calibri"/>
              </w:rPr>
              <w:t>r</w:t>
            </w:r>
            <w:r>
              <w:rPr>
                <w:rFonts w:ascii="Calibri" w:eastAsia="Times New Roman" w:hAnsi="Calibri" w:cs="Calibri"/>
              </w:rPr>
              <w:t>ate</w:t>
            </w:r>
            <w:r w:rsidR="005C194C">
              <w:rPr>
                <w:rFonts w:ascii="Calibri" w:eastAsia="Times New Roman" w:hAnsi="Calibri" w:cs="Calibri"/>
              </w:rPr>
              <w:t xml:space="preserve"> permitted by applicable law</w:t>
            </w:r>
            <w:r>
              <w:rPr>
                <w:rFonts w:ascii="Calibri" w:eastAsia="Times New Roman" w:hAnsi="Calibri" w:cs="Calibri"/>
              </w:rPr>
              <w:t>.</w:t>
            </w:r>
            <w:r w:rsidR="005C194C">
              <w:rPr>
                <w:rFonts w:ascii="Calibri" w:eastAsia="Times New Roman" w:hAnsi="Calibri" w:cs="Calibri"/>
              </w:rPr>
              <w:t xml:space="preserve"> Late payments will be assessed a 6% late fee.</w:t>
            </w:r>
          </w:p>
        </w:tc>
        <w:tc>
          <w:tcPr>
            <w:tcW w:w="1502" w:type="dxa"/>
            <w:tcBorders>
              <w:top w:val="nil"/>
              <w:left w:val="nil"/>
              <w:bottom w:val="nil"/>
              <w:right w:val="nil"/>
            </w:tcBorders>
            <w:shd w:val="clear" w:color="000000" w:fill="FFFFFF"/>
            <w:noWrap/>
            <w:vAlign w:val="bottom"/>
          </w:tcPr>
          <w:p w14:paraId="225272DA" w14:textId="77777777" w:rsidR="00051D7E" w:rsidRPr="00C317EF" w:rsidRDefault="00051D7E" w:rsidP="007531FB">
            <w:pPr>
              <w:jc w:val="right"/>
              <w:rPr>
                <w:rFonts w:ascii="Calibri" w:eastAsia="Times New Roman" w:hAnsi="Calibri" w:cs="Calibri"/>
                <w:color w:val="0D0D0D"/>
              </w:rPr>
            </w:pPr>
            <w:r>
              <w:rPr>
                <w:rFonts w:ascii="Calibri" w:eastAsia="Times New Roman" w:hAnsi="Calibri" w:cs="Calibri"/>
                <w:color w:val="0D0D0D"/>
              </w:rPr>
              <w:t>43,000</w:t>
            </w:r>
          </w:p>
        </w:tc>
        <w:tc>
          <w:tcPr>
            <w:tcW w:w="1600" w:type="dxa"/>
            <w:tcBorders>
              <w:top w:val="nil"/>
              <w:left w:val="nil"/>
              <w:bottom w:val="nil"/>
              <w:right w:val="nil"/>
            </w:tcBorders>
            <w:shd w:val="clear" w:color="auto" w:fill="D9D9D9" w:themeFill="background1" w:themeFillShade="D9"/>
            <w:noWrap/>
            <w:vAlign w:val="bottom"/>
          </w:tcPr>
          <w:p w14:paraId="500CD0EA" w14:textId="77777777" w:rsidR="00051D7E" w:rsidRPr="00C317EF" w:rsidRDefault="00051D7E" w:rsidP="007531FB">
            <w:pPr>
              <w:jc w:val="right"/>
              <w:rPr>
                <w:rFonts w:ascii="Calibri" w:eastAsia="Times New Roman" w:hAnsi="Calibri" w:cs="Calibri"/>
                <w:color w:val="0D0D0D"/>
              </w:rPr>
            </w:pPr>
            <w:r w:rsidRPr="00524583">
              <w:rPr>
                <w:rFonts w:ascii="Calibri" w:eastAsia="Times New Roman" w:hAnsi="Calibri" w:cs="Calibri"/>
                <w:u w:val="single"/>
              </w:rPr>
              <w:t> </w:t>
            </w:r>
          </w:p>
        </w:tc>
      </w:tr>
    </w:tbl>
    <w:p w14:paraId="0FA6083E" w14:textId="77777777" w:rsidR="00051D7E" w:rsidRPr="00F54559" w:rsidRDefault="00051D7E" w:rsidP="00051D7E">
      <w:pPr>
        <w:tabs>
          <w:tab w:val="left" w:pos="720"/>
          <w:tab w:val="left" w:pos="1260"/>
          <w:tab w:val="left" w:pos="1440"/>
        </w:tabs>
        <w:suppressAutoHyphens/>
        <w:spacing w:after="120"/>
        <w:rPr>
          <w:rFonts w:eastAsia="Times New Roman" w:cstheme="minorHAnsi"/>
          <w:spacing w:val="-3"/>
          <w:sz w:val="2"/>
          <w:szCs w:val="2"/>
        </w:rPr>
      </w:pPr>
    </w:p>
    <w:p w14:paraId="6F96EC97" w14:textId="4AA172B6" w:rsidR="00051D7E" w:rsidRPr="00F54559" w:rsidRDefault="00051D7E" w:rsidP="00B30F29">
      <w:pPr>
        <w:pStyle w:val="AFR3"/>
        <w:spacing w:after="240"/>
        <w:rPr>
          <w:rFonts w:cstheme="minorHAnsi"/>
        </w:rPr>
      </w:pPr>
      <w:r w:rsidRPr="00F54559">
        <w:rPr>
          <w:rFonts w:cstheme="minorHAnsi"/>
          <w:noProof/>
          <w:spacing w:val="-2"/>
        </w:rPr>
        <w:lastRenderedPageBreak/>
        <w:t>b</w:t>
      </w:r>
      <w:r w:rsidRPr="00B44EB6">
        <w:rPr>
          <w:rFonts w:cstheme="minorHAnsi"/>
          <w:noProof/>
          <w:spacing w:val="-2"/>
        </w:rPr>
        <w:t xml:space="preserve">. </w:t>
      </w:r>
      <w:r w:rsidRPr="00B44EB6">
        <w:rPr>
          <w:rFonts w:cstheme="minorHAnsi"/>
        </w:rPr>
        <w:t xml:space="preserve">Bonds Payable and </w:t>
      </w:r>
      <w:r w:rsidR="00813B6A">
        <w:rPr>
          <w:rFonts w:cstheme="minorHAnsi"/>
        </w:rPr>
        <w:t>Direct Borrowings</w:t>
      </w:r>
      <w:r>
        <w:rPr>
          <w:rFonts w:cstheme="minorHAnsi"/>
        </w:rPr>
        <w:t xml:space="preserve"> - continued</w:t>
      </w:r>
    </w:p>
    <w:tbl>
      <w:tblPr>
        <w:tblW w:w="9360" w:type="dxa"/>
        <w:tblLook w:val="04A0" w:firstRow="1" w:lastRow="0" w:firstColumn="1" w:lastColumn="0" w:noHBand="0" w:noVBand="1"/>
      </w:tblPr>
      <w:tblGrid>
        <w:gridCol w:w="6300"/>
        <w:gridCol w:w="1440"/>
        <w:gridCol w:w="1620"/>
      </w:tblGrid>
      <w:tr w:rsidR="00051D7E" w:rsidRPr="003323E0" w14:paraId="3AB6832D" w14:textId="77777777" w:rsidTr="007531FB">
        <w:trPr>
          <w:trHeight w:val="300"/>
          <w:tblHeader/>
        </w:trPr>
        <w:tc>
          <w:tcPr>
            <w:tcW w:w="6300" w:type="dxa"/>
            <w:tcBorders>
              <w:top w:val="nil"/>
              <w:left w:val="nil"/>
              <w:bottom w:val="single" w:sz="12" w:space="0" w:color="00688D"/>
              <w:right w:val="nil"/>
            </w:tcBorders>
            <w:shd w:val="clear" w:color="000000" w:fill="FFFFFF"/>
            <w:noWrap/>
            <w:vAlign w:val="bottom"/>
            <w:hideMark/>
          </w:tcPr>
          <w:p w14:paraId="5D518967" w14:textId="77777777" w:rsidR="00051D7E" w:rsidRPr="003323E0" w:rsidRDefault="00051D7E" w:rsidP="007531FB">
            <w:pPr>
              <w:rPr>
                <w:rFonts w:ascii="Calibri" w:eastAsia="Times New Roman" w:hAnsi="Calibri" w:cs="Calibri"/>
                <w:b/>
                <w:bCs/>
                <w:color w:val="0D0D0D"/>
              </w:rPr>
            </w:pPr>
            <w:r w:rsidRPr="003323E0">
              <w:rPr>
                <w:rFonts w:ascii="Calibri" w:eastAsia="Times New Roman" w:hAnsi="Calibri" w:cs="Calibri"/>
                <w:b/>
                <w:bCs/>
                <w:color w:val="0D0D0D"/>
              </w:rPr>
              <w:t> </w:t>
            </w:r>
          </w:p>
        </w:tc>
        <w:tc>
          <w:tcPr>
            <w:tcW w:w="1440" w:type="dxa"/>
            <w:tcBorders>
              <w:top w:val="nil"/>
              <w:left w:val="nil"/>
              <w:bottom w:val="single" w:sz="12" w:space="0" w:color="00688D"/>
              <w:right w:val="nil"/>
            </w:tcBorders>
            <w:shd w:val="clear" w:color="000000" w:fill="FFFFFF"/>
            <w:noWrap/>
            <w:vAlign w:val="bottom"/>
            <w:hideMark/>
          </w:tcPr>
          <w:p w14:paraId="1C110B30" w14:textId="77777777" w:rsidR="00051D7E" w:rsidRPr="003323E0" w:rsidRDefault="00051D7E" w:rsidP="007531FB">
            <w:pPr>
              <w:jc w:val="center"/>
              <w:rPr>
                <w:rFonts w:ascii="Calibri" w:eastAsia="Times New Roman" w:hAnsi="Calibri" w:cs="Calibri"/>
                <w:b/>
                <w:bCs/>
                <w:color w:val="0D0D0D"/>
              </w:rPr>
            </w:pPr>
            <w:r w:rsidRPr="003323E0">
              <w:rPr>
                <w:rFonts w:ascii="Calibri" w:eastAsia="Times New Roman" w:hAnsi="Calibri" w:cs="Calibri"/>
                <w:b/>
                <w:bCs/>
                <w:color w:val="0D0D0D"/>
              </w:rPr>
              <w:t>202</w:t>
            </w:r>
            <w:r>
              <w:rPr>
                <w:rFonts w:ascii="Calibri" w:eastAsia="Times New Roman" w:hAnsi="Calibri" w:cs="Calibri"/>
                <w:b/>
                <w:bCs/>
                <w:color w:val="0D0D0D"/>
              </w:rPr>
              <w:t>1</w:t>
            </w:r>
          </w:p>
        </w:tc>
        <w:tc>
          <w:tcPr>
            <w:tcW w:w="1620" w:type="dxa"/>
            <w:tcBorders>
              <w:top w:val="nil"/>
              <w:left w:val="nil"/>
              <w:bottom w:val="single" w:sz="12" w:space="0" w:color="00688D"/>
              <w:right w:val="nil"/>
            </w:tcBorders>
            <w:shd w:val="clear" w:color="auto" w:fill="D9D9D9" w:themeFill="background1" w:themeFillShade="D9"/>
            <w:noWrap/>
            <w:vAlign w:val="bottom"/>
            <w:hideMark/>
          </w:tcPr>
          <w:p w14:paraId="54E6F0F3" w14:textId="77777777" w:rsidR="00051D7E" w:rsidRPr="003323E0" w:rsidRDefault="00051D7E" w:rsidP="007531FB">
            <w:pPr>
              <w:jc w:val="center"/>
              <w:rPr>
                <w:rFonts w:ascii="Calibri" w:eastAsia="Times New Roman" w:hAnsi="Calibri" w:cs="Calibri"/>
                <w:b/>
                <w:bCs/>
                <w:color w:val="0D0D0D"/>
              </w:rPr>
            </w:pPr>
            <w:r w:rsidRPr="003323E0">
              <w:rPr>
                <w:rFonts w:ascii="Calibri" w:eastAsia="Times New Roman" w:hAnsi="Calibri" w:cs="Calibri"/>
                <w:b/>
                <w:bCs/>
                <w:color w:val="0D0D0D"/>
              </w:rPr>
              <w:t>20</w:t>
            </w:r>
            <w:r>
              <w:rPr>
                <w:rFonts w:ascii="Calibri" w:eastAsia="Times New Roman" w:hAnsi="Calibri" w:cs="Calibri"/>
                <w:b/>
                <w:bCs/>
                <w:color w:val="0D0D0D"/>
              </w:rPr>
              <w:t>20</w:t>
            </w:r>
          </w:p>
        </w:tc>
      </w:tr>
      <w:tr w:rsidR="00C30540" w:rsidRPr="003323E0" w14:paraId="17FE079F" w14:textId="77777777" w:rsidTr="003E1E4E">
        <w:trPr>
          <w:trHeight w:val="300"/>
        </w:trPr>
        <w:tc>
          <w:tcPr>
            <w:tcW w:w="6300" w:type="dxa"/>
            <w:tcBorders>
              <w:top w:val="nil"/>
              <w:left w:val="nil"/>
              <w:bottom w:val="nil"/>
              <w:right w:val="nil"/>
            </w:tcBorders>
            <w:shd w:val="clear" w:color="000000" w:fill="FFFFFF"/>
            <w:noWrap/>
            <w:vAlign w:val="bottom"/>
          </w:tcPr>
          <w:p w14:paraId="7113B180" w14:textId="0DF4037E" w:rsidR="00C30540" w:rsidRPr="00C317EF" w:rsidRDefault="007D695E" w:rsidP="00826B88">
            <w:pPr>
              <w:spacing w:before="120"/>
              <w:ind w:leftChars="106" w:left="251" w:hangingChars="8" w:hanging="18"/>
              <w:rPr>
                <w:rFonts w:ascii="Calibri" w:eastAsia="Times New Roman" w:hAnsi="Calibri" w:cs="Calibri"/>
                <w:color w:val="0D0D0D"/>
              </w:rPr>
            </w:pPr>
            <w:r w:rsidRPr="0097659C">
              <w:rPr>
                <w:rFonts w:ascii="Calibri" w:eastAsia="Times New Roman" w:hAnsi="Calibri" w:cs="Calibri"/>
                <w:color w:val="0D0D0D"/>
                <w:u w:val="single"/>
              </w:rPr>
              <w:t>University of Maine Foundation</w:t>
            </w:r>
            <w:r w:rsidR="0097659C">
              <w:rPr>
                <w:rFonts w:ascii="Calibri" w:eastAsia="Times New Roman" w:hAnsi="Calibri" w:cs="Calibri"/>
                <w:color w:val="0D0D0D"/>
                <w:u w:val="single"/>
              </w:rPr>
              <w:t>:</w:t>
            </w:r>
            <w:r>
              <w:rPr>
                <w:rFonts w:ascii="Calibri" w:eastAsia="Times New Roman" w:hAnsi="Calibri" w:cs="Calibri"/>
                <w:color w:val="0D0D0D"/>
              </w:rPr>
              <w:t xml:space="preserve"> </w:t>
            </w:r>
            <w:r w:rsidR="00C30540" w:rsidRPr="00C317EF">
              <w:rPr>
                <w:rFonts w:ascii="Calibri" w:eastAsia="Times New Roman" w:hAnsi="Calibri" w:cs="Calibri"/>
                <w:color w:val="0D0D0D"/>
              </w:rPr>
              <w:t>Note payable, secured by equipment, with annual payments of $15, including interest at 4.25%, matures 2023</w:t>
            </w:r>
            <w:r w:rsidR="00C30540">
              <w:rPr>
                <w:rFonts w:ascii="Calibri" w:eastAsia="Times New Roman" w:hAnsi="Calibri" w:cs="Calibri"/>
                <w:color w:val="0D0D0D"/>
              </w:rPr>
              <w:t>.</w:t>
            </w:r>
            <w:r>
              <w:rPr>
                <w:rFonts w:ascii="Calibri" w:eastAsia="Times New Roman" w:hAnsi="Calibri" w:cs="Calibri"/>
                <w:color w:val="0D0D0D"/>
              </w:rPr>
              <w:t xml:space="preserve"> </w:t>
            </w:r>
            <w:r w:rsidR="00C30540">
              <w:rPr>
                <w:rFonts w:ascii="Calibri" w:eastAsia="Times New Roman" w:hAnsi="Calibri" w:cs="Calibri"/>
                <w:color w:val="0D0D0D"/>
              </w:rPr>
              <w:t>The promissory note contains a provision that in the event of default of payment</w:t>
            </w:r>
            <w:r w:rsidR="00826B88">
              <w:rPr>
                <w:rFonts w:ascii="Calibri" w:eastAsia="Times New Roman" w:hAnsi="Calibri" w:cs="Calibri"/>
                <w:color w:val="0D0D0D"/>
              </w:rPr>
              <w:t>,</w:t>
            </w:r>
            <w:r w:rsidR="00C30540">
              <w:rPr>
                <w:rFonts w:ascii="Calibri" w:eastAsia="Times New Roman" w:hAnsi="Calibri" w:cs="Calibri"/>
                <w:color w:val="0D0D0D"/>
              </w:rPr>
              <w:t xml:space="preserve"> the unpaid balance of the principal shall, at the option of the holder, become immediately due and payable. Any amount due at the time of default, shall accrue interest until payment at the rate of 5% per year.</w:t>
            </w:r>
          </w:p>
        </w:tc>
        <w:tc>
          <w:tcPr>
            <w:tcW w:w="1440" w:type="dxa"/>
            <w:tcBorders>
              <w:top w:val="nil"/>
              <w:left w:val="nil"/>
              <w:bottom w:val="nil"/>
              <w:right w:val="nil"/>
            </w:tcBorders>
            <w:shd w:val="clear" w:color="000000" w:fill="FFFFFF"/>
            <w:noWrap/>
            <w:vAlign w:val="bottom"/>
          </w:tcPr>
          <w:p w14:paraId="1B8D80BA" w14:textId="6110BCB1" w:rsidR="00C30540" w:rsidRPr="003323E0" w:rsidRDefault="00C30540" w:rsidP="003E1E4E">
            <w:pPr>
              <w:jc w:val="right"/>
              <w:rPr>
                <w:rFonts w:ascii="Calibri" w:eastAsia="Times New Roman" w:hAnsi="Calibri" w:cs="Calibri"/>
                <w:color w:val="0D0D0D"/>
              </w:rPr>
            </w:pPr>
            <w:r>
              <w:rPr>
                <w:rFonts w:ascii="Calibri" w:eastAsia="Times New Roman" w:hAnsi="Calibri" w:cs="Calibri"/>
                <w:color w:val="0D0D0D"/>
              </w:rPr>
              <w:t>21</w:t>
            </w:r>
          </w:p>
        </w:tc>
        <w:tc>
          <w:tcPr>
            <w:tcW w:w="1620" w:type="dxa"/>
            <w:tcBorders>
              <w:top w:val="nil"/>
              <w:left w:val="nil"/>
              <w:bottom w:val="nil"/>
              <w:right w:val="nil"/>
            </w:tcBorders>
            <w:shd w:val="clear" w:color="auto" w:fill="D9D9D9" w:themeFill="background1" w:themeFillShade="D9"/>
            <w:noWrap/>
            <w:vAlign w:val="bottom"/>
          </w:tcPr>
          <w:p w14:paraId="1E90118D" w14:textId="5A23CA42" w:rsidR="00C30540" w:rsidRPr="003323E0" w:rsidRDefault="00C30540" w:rsidP="003E1E4E">
            <w:pPr>
              <w:jc w:val="right"/>
              <w:rPr>
                <w:rFonts w:ascii="Calibri" w:eastAsia="Times New Roman" w:hAnsi="Calibri" w:cs="Calibri"/>
                <w:color w:val="0D0D0D"/>
              </w:rPr>
            </w:pPr>
            <w:r w:rsidRPr="00C317EF">
              <w:rPr>
                <w:rFonts w:ascii="Calibri" w:eastAsia="Times New Roman" w:hAnsi="Calibri" w:cs="Calibri"/>
                <w:color w:val="0D0D0D"/>
              </w:rPr>
              <w:t>35</w:t>
            </w:r>
          </w:p>
        </w:tc>
      </w:tr>
      <w:tr w:rsidR="00C30540" w:rsidRPr="003323E0" w14:paraId="2B360ADE" w14:textId="77777777" w:rsidTr="008C4731">
        <w:trPr>
          <w:trHeight w:val="300"/>
        </w:trPr>
        <w:tc>
          <w:tcPr>
            <w:tcW w:w="6300" w:type="dxa"/>
            <w:tcBorders>
              <w:top w:val="nil"/>
              <w:left w:val="nil"/>
              <w:bottom w:val="nil"/>
              <w:right w:val="nil"/>
            </w:tcBorders>
            <w:shd w:val="clear" w:color="000000" w:fill="FFFFFF"/>
            <w:noWrap/>
            <w:vAlign w:val="bottom"/>
          </w:tcPr>
          <w:p w14:paraId="6F9D8F15" w14:textId="5E1E6454" w:rsidR="00C30540" w:rsidRPr="003323E0" w:rsidRDefault="007D695E" w:rsidP="00826B88">
            <w:pPr>
              <w:spacing w:before="160"/>
              <w:ind w:leftChars="106" w:left="251" w:hangingChars="8" w:hanging="18"/>
              <w:rPr>
                <w:rFonts w:ascii="Calibri" w:eastAsia="Times New Roman" w:hAnsi="Calibri" w:cs="Calibri"/>
                <w:color w:val="0D0D0D"/>
              </w:rPr>
            </w:pPr>
            <w:r w:rsidRPr="0097659C">
              <w:rPr>
                <w:rFonts w:ascii="Calibri" w:eastAsia="Times New Roman" w:hAnsi="Calibri" w:cs="Calibri"/>
                <w:color w:val="0D0D0D"/>
                <w:u w:val="single"/>
              </w:rPr>
              <w:t>Key Government Finance Inc. (KGF):</w:t>
            </w:r>
            <w:r>
              <w:rPr>
                <w:rFonts w:ascii="Calibri" w:eastAsia="Times New Roman" w:hAnsi="Calibri" w:cs="Calibri"/>
                <w:color w:val="0D0D0D"/>
              </w:rPr>
              <w:t xml:space="preserve"> </w:t>
            </w:r>
            <w:r w:rsidR="00C30540" w:rsidRPr="00C317EF">
              <w:rPr>
                <w:rFonts w:ascii="Calibri" w:eastAsia="Times New Roman" w:hAnsi="Calibri" w:cs="Calibri"/>
                <w:color w:val="0D0D0D"/>
              </w:rPr>
              <w:t>$832 loan secured by five-year software license agreement, annual payments of $182, including interest at 3.78%, matures July 2023</w:t>
            </w:r>
            <w:r w:rsidR="00C30540">
              <w:rPr>
                <w:rFonts w:ascii="Calibri" w:eastAsia="Times New Roman" w:hAnsi="Calibri" w:cs="Calibri"/>
                <w:color w:val="0D0D0D"/>
              </w:rPr>
              <w:t>.</w:t>
            </w:r>
            <w:r w:rsidR="0097659C">
              <w:rPr>
                <w:rFonts w:ascii="Calibri" w:eastAsia="Times New Roman" w:hAnsi="Calibri" w:cs="Calibri"/>
                <w:color w:val="0D0D0D"/>
              </w:rPr>
              <w:t xml:space="preserve"> </w:t>
            </w:r>
            <w:r w:rsidR="00C30540">
              <w:rPr>
                <w:rFonts w:ascii="Calibri" w:eastAsia="Times New Roman" w:hAnsi="Calibri" w:cs="Calibri"/>
                <w:color w:val="0D0D0D"/>
              </w:rPr>
              <w:t xml:space="preserve">The </w:t>
            </w:r>
            <w:r w:rsidR="00826B88">
              <w:rPr>
                <w:rFonts w:ascii="Calibri" w:eastAsia="Times New Roman" w:hAnsi="Calibri" w:cs="Calibri"/>
                <w:color w:val="0D0D0D"/>
              </w:rPr>
              <w:t>loan a</w:t>
            </w:r>
            <w:r w:rsidR="00C30540">
              <w:rPr>
                <w:rFonts w:ascii="Calibri" w:eastAsia="Times New Roman" w:hAnsi="Calibri" w:cs="Calibri"/>
                <w:color w:val="0D0D0D"/>
              </w:rPr>
              <w:t>greement contains a provision that</w:t>
            </w:r>
            <w:r w:rsidR="00826B88">
              <w:rPr>
                <w:rFonts w:ascii="Calibri" w:eastAsia="Times New Roman" w:hAnsi="Calibri" w:cs="Calibri"/>
                <w:color w:val="0D0D0D"/>
              </w:rPr>
              <w:t xml:space="preserve"> in the e</w:t>
            </w:r>
            <w:r w:rsidR="00C30540">
              <w:rPr>
                <w:rFonts w:ascii="Calibri" w:eastAsia="Times New Roman" w:hAnsi="Calibri" w:cs="Calibri"/>
                <w:color w:val="0D0D0D"/>
              </w:rPr>
              <w:t>vent of default, KGF may exercise one or more of the following remedies in its sole discretion: a) terminate the agreement and all of the UMS’ rights to the software license agreement, b) seek court action to enforce payment, c) cause the Licensor to terminate the license with the UMS, d) declare all unpaid installment payments to be immediately due and payable. L</w:t>
            </w:r>
            <w:r w:rsidR="00C30540">
              <w:rPr>
                <w:rFonts w:ascii="Calibri" w:eastAsia="Times New Roman" w:hAnsi="Calibri" w:cs="Calibri"/>
              </w:rPr>
              <w:t xml:space="preserve">ate charges will be assessed on any delinquent payments from the due date of the payment until paid at the rate of 5% per annum or the highest rate permitted by law, whichever is less. </w:t>
            </w:r>
          </w:p>
        </w:tc>
        <w:tc>
          <w:tcPr>
            <w:tcW w:w="1440" w:type="dxa"/>
            <w:tcBorders>
              <w:top w:val="nil"/>
              <w:left w:val="nil"/>
              <w:bottom w:val="nil"/>
              <w:right w:val="nil"/>
            </w:tcBorders>
            <w:shd w:val="clear" w:color="000000" w:fill="FFFFFF"/>
            <w:noWrap/>
            <w:vAlign w:val="bottom"/>
          </w:tcPr>
          <w:p w14:paraId="0A870055" w14:textId="79F735CA" w:rsidR="00C30540" w:rsidRPr="003323E0" w:rsidRDefault="00C30540" w:rsidP="00C30540">
            <w:pPr>
              <w:jc w:val="right"/>
              <w:rPr>
                <w:rFonts w:ascii="Calibri" w:eastAsia="Times New Roman" w:hAnsi="Calibri" w:cs="Calibri"/>
                <w:color w:val="0D0D0D"/>
              </w:rPr>
            </w:pPr>
            <w:r>
              <w:rPr>
                <w:rFonts w:ascii="Calibri" w:eastAsia="Times New Roman" w:hAnsi="Calibri" w:cs="Calibri"/>
                <w:color w:val="0D0D0D"/>
              </w:rPr>
              <w:t>510</w:t>
            </w:r>
          </w:p>
        </w:tc>
        <w:tc>
          <w:tcPr>
            <w:tcW w:w="1620" w:type="dxa"/>
            <w:tcBorders>
              <w:top w:val="nil"/>
              <w:left w:val="nil"/>
              <w:bottom w:val="nil"/>
              <w:right w:val="nil"/>
            </w:tcBorders>
            <w:shd w:val="clear" w:color="auto" w:fill="D9D9D9" w:themeFill="background1" w:themeFillShade="D9"/>
            <w:noWrap/>
            <w:vAlign w:val="bottom"/>
          </w:tcPr>
          <w:p w14:paraId="78247F56" w14:textId="1BD7914D" w:rsidR="00C30540" w:rsidRPr="003323E0" w:rsidRDefault="00C30540" w:rsidP="00C30540">
            <w:pPr>
              <w:jc w:val="right"/>
              <w:rPr>
                <w:rFonts w:ascii="Calibri" w:eastAsia="Times New Roman" w:hAnsi="Calibri" w:cs="Calibri"/>
                <w:color w:val="0D0D0D"/>
              </w:rPr>
            </w:pPr>
            <w:r>
              <w:rPr>
                <w:rFonts w:ascii="Calibri" w:eastAsia="Times New Roman" w:hAnsi="Calibri" w:cs="Calibri"/>
                <w:color w:val="0D0D0D"/>
              </w:rPr>
              <w:t>667</w:t>
            </w:r>
          </w:p>
        </w:tc>
      </w:tr>
      <w:tr w:rsidR="00C30540" w:rsidRPr="003323E0" w14:paraId="5EEA2446" w14:textId="77777777" w:rsidTr="008C4731">
        <w:trPr>
          <w:trHeight w:val="300"/>
        </w:trPr>
        <w:tc>
          <w:tcPr>
            <w:tcW w:w="6300" w:type="dxa"/>
            <w:tcBorders>
              <w:top w:val="nil"/>
              <w:left w:val="nil"/>
              <w:bottom w:val="nil"/>
              <w:right w:val="nil"/>
            </w:tcBorders>
            <w:shd w:val="clear" w:color="000000" w:fill="FFFFFF"/>
            <w:noWrap/>
            <w:vAlign w:val="bottom"/>
          </w:tcPr>
          <w:p w14:paraId="001BC5E3" w14:textId="49D07C11" w:rsidR="00C30540" w:rsidRDefault="007D695E" w:rsidP="006F60AB">
            <w:pPr>
              <w:spacing w:before="160"/>
              <w:ind w:leftChars="106" w:left="251" w:hangingChars="8" w:hanging="18"/>
              <w:rPr>
                <w:rFonts w:ascii="Calibri" w:eastAsia="Times New Roman" w:hAnsi="Calibri" w:cs="Calibri"/>
                <w:color w:val="0D0D0D"/>
              </w:rPr>
            </w:pPr>
            <w:r w:rsidRPr="0097659C">
              <w:rPr>
                <w:rFonts w:ascii="Calibri" w:eastAsia="Times New Roman" w:hAnsi="Calibri" w:cs="Calibri"/>
                <w:color w:val="0D0D0D"/>
                <w:u w:val="single"/>
              </w:rPr>
              <w:t>Efficiency Maine Trust:</w:t>
            </w:r>
            <w:r>
              <w:rPr>
                <w:rFonts w:ascii="Calibri" w:eastAsia="Times New Roman" w:hAnsi="Calibri" w:cs="Calibri"/>
                <w:color w:val="0D0D0D"/>
              </w:rPr>
              <w:t xml:space="preserve"> </w:t>
            </w:r>
            <w:r w:rsidR="00C30540" w:rsidRPr="00C317EF">
              <w:rPr>
                <w:rFonts w:ascii="Calibri" w:eastAsia="Times New Roman" w:hAnsi="Calibri" w:cs="Calibri"/>
                <w:color w:val="0D0D0D"/>
              </w:rPr>
              <w:t>$2,595 loan for biomass energy project, quarterly principal payments of $65 plus interest at 1.5% beginning in June 2016 and continuing through March 2026.</w:t>
            </w:r>
          </w:p>
          <w:p w14:paraId="64B9CA53" w14:textId="44833E4D" w:rsidR="00C30540" w:rsidRPr="003323E0" w:rsidRDefault="00C30540" w:rsidP="006F60AB">
            <w:pPr>
              <w:ind w:left="250"/>
              <w:rPr>
                <w:rFonts w:ascii="Calibri" w:eastAsia="Times New Roman" w:hAnsi="Calibri" w:cs="Calibri"/>
                <w:color w:val="0D0D0D"/>
              </w:rPr>
            </w:pPr>
            <w:r>
              <w:rPr>
                <w:rFonts w:ascii="Calibri" w:eastAsia="Times New Roman" w:hAnsi="Calibri" w:cs="Calibri"/>
                <w:color w:val="0D0D0D"/>
              </w:rPr>
              <w:t>The promissory note contains a provision that in the event of default, all outstanding principal shall be immediately due and payable, and interest on the unpaid principal balance shall thereafter accrue at an interest rate equal to 12%.</w:t>
            </w:r>
          </w:p>
        </w:tc>
        <w:tc>
          <w:tcPr>
            <w:tcW w:w="1440" w:type="dxa"/>
            <w:tcBorders>
              <w:top w:val="nil"/>
              <w:left w:val="nil"/>
              <w:bottom w:val="nil"/>
              <w:right w:val="nil"/>
            </w:tcBorders>
            <w:shd w:val="clear" w:color="000000" w:fill="FFFFFF"/>
            <w:noWrap/>
            <w:vAlign w:val="bottom"/>
          </w:tcPr>
          <w:p w14:paraId="4693AF70" w14:textId="79F9E996" w:rsidR="00C30540" w:rsidRPr="003323E0" w:rsidRDefault="00C30540" w:rsidP="00C30540">
            <w:pPr>
              <w:jc w:val="right"/>
              <w:rPr>
                <w:rFonts w:ascii="Calibri" w:eastAsia="Times New Roman" w:hAnsi="Calibri" w:cs="Calibri"/>
                <w:color w:val="0D0D0D"/>
              </w:rPr>
            </w:pPr>
            <w:r>
              <w:rPr>
                <w:rFonts w:ascii="Calibri" w:eastAsia="Times New Roman" w:hAnsi="Calibri" w:cs="Calibri"/>
                <w:color w:val="0D0D0D"/>
              </w:rPr>
              <w:t>1,233</w:t>
            </w:r>
          </w:p>
        </w:tc>
        <w:tc>
          <w:tcPr>
            <w:tcW w:w="1620" w:type="dxa"/>
            <w:tcBorders>
              <w:top w:val="nil"/>
              <w:left w:val="nil"/>
              <w:bottom w:val="nil"/>
              <w:right w:val="nil"/>
            </w:tcBorders>
            <w:shd w:val="clear" w:color="auto" w:fill="D9D9D9" w:themeFill="background1" w:themeFillShade="D9"/>
            <w:noWrap/>
            <w:vAlign w:val="bottom"/>
          </w:tcPr>
          <w:p w14:paraId="2ABE3AFF" w14:textId="03831103" w:rsidR="00C30540" w:rsidRPr="003323E0" w:rsidRDefault="00C30540" w:rsidP="00C30540">
            <w:pPr>
              <w:jc w:val="right"/>
              <w:rPr>
                <w:rFonts w:ascii="Calibri" w:eastAsia="Times New Roman" w:hAnsi="Calibri" w:cs="Calibri"/>
                <w:color w:val="0D0D0D"/>
              </w:rPr>
            </w:pPr>
            <w:r>
              <w:rPr>
                <w:rFonts w:ascii="Calibri" w:eastAsia="Times New Roman" w:hAnsi="Calibri" w:cs="Calibri"/>
                <w:color w:val="0D0D0D"/>
              </w:rPr>
              <w:t>1,492</w:t>
            </w:r>
          </w:p>
        </w:tc>
      </w:tr>
      <w:tr w:rsidR="00C30540" w:rsidRPr="003323E0" w14:paraId="74C2602C" w14:textId="77777777" w:rsidTr="00061285">
        <w:trPr>
          <w:trHeight w:val="864"/>
        </w:trPr>
        <w:tc>
          <w:tcPr>
            <w:tcW w:w="6300" w:type="dxa"/>
            <w:tcBorders>
              <w:top w:val="nil"/>
              <w:left w:val="nil"/>
              <w:bottom w:val="single" w:sz="4" w:space="0" w:color="00688D"/>
              <w:right w:val="nil"/>
            </w:tcBorders>
            <w:shd w:val="clear" w:color="000000" w:fill="FFFFFF"/>
            <w:vAlign w:val="bottom"/>
            <w:hideMark/>
          </w:tcPr>
          <w:p w14:paraId="183CE4D9" w14:textId="5D1AF2A9" w:rsidR="005014A4" w:rsidRPr="003323E0" w:rsidRDefault="007D695E" w:rsidP="0097659C">
            <w:pPr>
              <w:spacing w:before="160"/>
              <w:ind w:left="250"/>
              <w:rPr>
                <w:rFonts w:ascii="Calibri" w:eastAsia="Times New Roman" w:hAnsi="Calibri" w:cs="Calibri"/>
                <w:color w:val="0D0D0D"/>
              </w:rPr>
            </w:pPr>
            <w:r w:rsidRPr="0097659C">
              <w:rPr>
                <w:rFonts w:ascii="Calibri" w:eastAsia="Times New Roman" w:hAnsi="Calibri" w:cs="Calibri"/>
                <w:color w:val="0D0D0D"/>
                <w:u w:val="single"/>
              </w:rPr>
              <w:t>Banc of America Public Capital Corp. (BOAPCC):</w:t>
            </w:r>
            <w:r>
              <w:rPr>
                <w:rFonts w:ascii="Calibri" w:eastAsia="Times New Roman" w:hAnsi="Calibri" w:cs="Calibri"/>
                <w:color w:val="0D0D0D"/>
              </w:rPr>
              <w:t xml:space="preserve"> </w:t>
            </w:r>
            <w:r w:rsidR="00C30540" w:rsidRPr="003323E0">
              <w:rPr>
                <w:rFonts w:ascii="Calibri" w:eastAsia="Times New Roman" w:hAnsi="Calibri" w:cs="Calibri"/>
                <w:color w:val="0D0D0D"/>
              </w:rPr>
              <w:t>Master lease purchase agreement, secured by equipment and vehicles, quarterly or semi-annual payments including interest at 1.</w:t>
            </w:r>
            <w:r w:rsidR="00C30540">
              <w:rPr>
                <w:rFonts w:ascii="Calibri" w:eastAsia="Times New Roman" w:hAnsi="Calibri" w:cs="Calibri"/>
                <w:color w:val="0D0D0D"/>
              </w:rPr>
              <w:t>19</w:t>
            </w:r>
            <w:r w:rsidR="00C30540" w:rsidRPr="003323E0">
              <w:rPr>
                <w:rFonts w:ascii="Calibri" w:eastAsia="Times New Roman" w:hAnsi="Calibri" w:cs="Calibri"/>
                <w:color w:val="0D0D0D"/>
              </w:rPr>
              <w:t xml:space="preserve">% to 4.14%, maturing from October 2022 to </w:t>
            </w:r>
            <w:r w:rsidR="00C30540">
              <w:rPr>
                <w:rFonts w:ascii="Calibri" w:eastAsia="Times New Roman" w:hAnsi="Calibri" w:cs="Calibri"/>
                <w:color w:val="0D0D0D"/>
              </w:rPr>
              <w:t>May 2037</w:t>
            </w:r>
            <w:r w:rsidR="005014A4">
              <w:rPr>
                <w:rFonts w:ascii="Calibri" w:eastAsia="Times New Roman" w:hAnsi="Calibri" w:cs="Calibri"/>
                <w:color w:val="0D0D0D"/>
              </w:rPr>
              <w:t>.</w:t>
            </w:r>
            <w:r w:rsidR="0097659C">
              <w:rPr>
                <w:rFonts w:ascii="Calibri" w:eastAsia="Times New Roman" w:hAnsi="Calibri" w:cs="Calibri"/>
                <w:color w:val="0D0D0D"/>
              </w:rPr>
              <w:t xml:space="preserve"> </w:t>
            </w:r>
            <w:r w:rsidR="005014A4">
              <w:rPr>
                <w:rFonts w:ascii="Calibri" w:eastAsia="Times New Roman" w:hAnsi="Calibri" w:cs="Calibri"/>
                <w:color w:val="0D0D0D"/>
              </w:rPr>
              <w:t xml:space="preserve">The master lease purchase agreement contains </w:t>
            </w:r>
            <w:r w:rsidR="009C41FC">
              <w:rPr>
                <w:rFonts w:ascii="Calibri" w:eastAsia="Times New Roman" w:hAnsi="Calibri" w:cs="Calibri"/>
                <w:color w:val="0D0D0D"/>
              </w:rPr>
              <w:t>a provision that in the event of default, BOAPCC has the right, at its sole option, to take one or any combination of the following steps: a) declare all remaining payments due and payable, b) repossess the financed property, c) whatever action at law or in equity may appear necessary or desirable to enforce its rights under the agreement.</w:t>
            </w:r>
          </w:p>
        </w:tc>
        <w:tc>
          <w:tcPr>
            <w:tcW w:w="1440" w:type="dxa"/>
            <w:tcBorders>
              <w:top w:val="nil"/>
              <w:left w:val="nil"/>
              <w:bottom w:val="single" w:sz="4" w:space="0" w:color="00688D"/>
              <w:right w:val="nil"/>
            </w:tcBorders>
            <w:shd w:val="clear" w:color="000000" w:fill="FFFFFF"/>
            <w:noWrap/>
            <w:vAlign w:val="bottom"/>
            <w:hideMark/>
          </w:tcPr>
          <w:p w14:paraId="7324081C" w14:textId="77777777" w:rsidR="00C30540" w:rsidRPr="003323E0" w:rsidRDefault="00C30540" w:rsidP="00C30540">
            <w:pPr>
              <w:jc w:val="right"/>
              <w:rPr>
                <w:rFonts w:ascii="Calibri" w:eastAsia="Times New Roman" w:hAnsi="Calibri" w:cs="Calibri"/>
                <w:color w:val="0D0D0D"/>
              </w:rPr>
            </w:pPr>
            <w:r>
              <w:rPr>
                <w:rFonts w:ascii="Calibri" w:eastAsia="Times New Roman" w:hAnsi="Calibri" w:cs="Calibri"/>
                <w:color w:val="0D0D0D"/>
              </w:rPr>
              <w:t>3,106</w:t>
            </w:r>
          </w:p>
        </w:tc>
        <w:tc>
          <w:tcPr>
            <w:tcW w:w="1620" w:type="dxa"/>
            <w:tcBorders>
              <w:top w:val="nil"/>
              <w:left w:val="nil"/>
              <w:bottom w:val="single" w:sz="4" w:space="0" w:color="00688D"/>
              <w:right w:val="nil"/>
            </w:tcBorders>
            <w:shd w:val="clear" w:color="auto" w:fill="D9D9D9" w:themeFill="background1" w:themeFillShade="D9"/>
            <w:noWrap/>
            <w:vAlign w:val="bottom"/>
            <w:hideMark/>
          </w:tcPr>
          <w:p w14:paraId="48580B9D" w14:textId="77777777" w:rsidR="00C30540" w:rsidRPr="003323E0" w:rsidRDefault="00C30540" w:rsidP="00C30540">
            <w:pPr>
              <w:jc w:val="right"/>
              <w:rPr>
                <w:rFonts w:ascii="Calibri" w:eastAsia="Times New Roman" w:hAnsi="Calibri" w:cs="Calibri"/>
                <w:color w:val="0D0D0D"/>
              </w:rPr>
            </w:pPr>
            <w:r>
              <w:rPr>
                <w:rFonts w:ascii="Calibri" w:eastAsia="Times New Roman" w:hAnsi="Calibri" w:cs="Calibri"/>
                <w:color w:val="0D0D0D"/>
              </w:rPr>
              <w:t>3,803</w:t>
            </w:r>
          </w:p>
        </w:tc>
      </w:tr>
      <w:tr w:rsidR="00C30540" w:rsidRPr="003323E0" w14:paraId="0AA7E5D5" w14:textId="77777777" w:rsidTr="00061285">
        <w:trPr>
          <w:trHeight w:val="300"/>
        </w:trPr>
        <w:tc>
          <w:tcPr>
            <w:tcW w:w="6300" w:type="dxa"/>
            <w:tcBorders>
              <w:top w:val="single" w:sz="4" w:space="0" w:color="00688D"/>
              <w:left w:val="nil"/>
              <w:bottom w:val="single" w:sz="4" w:space="0" w:color="00688D"/>
              <w:right w:val="nil"/>
            </w:tcBorders>
            <w:shd w:val="clear" w:color="000000" w:fill="FFFFFF"/>
            <w:noWrap/>
            <w:vAlign w:val="bottom"/>
            <w:hideMark/>
          </w:tcPr>
          <w:p w14:paraId="5FF06587" w14:textId="631F72F7" w:rsidR="00C30540" w:rsidRPr="00061285" w:rsidRDefault="007D695E" w:rsidP="00061285">
            <w:pPr>
              <w:ind w:left="250"/>
              <w:rPr>
                <w:rFonts w:ascii="Calibri" w:eastAsia="Times New Roman" w:hAnsi="Calibri" w:cs="Calibri"/>
              </w:rPr>
            </w:pPr>
            <w:r w:rsidRPr="00061285">
              <w:rPr>
                <w:rFonts w:ascii="Calibri" w:eastAsia="Times New Roman" w:hAnsi="Calibri" w:cs="Calibri"/>
              </w:rPr>
              <w:t>Total direct borrowings</w:t>
            </w:r>
          </w:p>
        </w:tc>
        <w:tc>
          <w:tcPr>
            <w:tcW w:w="1440" w:type="dxa"/>
            <w:tcBorders>
              <w:top w:val="single" w:sz="4" w:space="0" w:color="00688D"/>
              <w:left w:val="nil"/>
              <w:bottom w:val="single" w:sz="4" w:space="0" w:color="00688D"/>
              <w:right w:val="nil"/>
            </w:tcBorders>
            <w:shd w:val="clear" w:color="000000" w:fill="FFFFFF"/>
            <w:noWrap/>
            <w:vAlign w:val="bottom"/>
            <w:hideMark/>
          </w:tcPr>
          <w:p w14:paraId="2473DB77" w14:textId="3CB8C543" w:rsidR="00C30540" w:rsidRPr="00061285" w:rsidRDefault="00C30540" w:rsidP="00061285">
            <w:pPr>
              <w:ind w:left="250"/>
              <w:jc w:val="right"/>
              <w:rPr>
                <w:rFonts w:ascii="Calibri" w:eastAsia="Times New Roman" w:hAnsi="Calibri" w:cs="Calibri"/>
              </w:rPr>
            </w:pPr>
            <w:r w:rsidRPr="00061285">
              <w:rPr>
                <w:rFonts w:ascii="Calibri" w:eastAsia="Times New Roman" w:hAnsi="Calibri" w:cs="Calibri"/>
              </w:rPr>
              <w:t xml:space="preserve">  </w:t>
            </w:r>
            <w:r w:rsidR="007D695E" w:rsidRPr="00061285">
              <w:rPr>
                <w:rFonts w:ascii="Calibri" w:eastAsia="Times New Roman" w:hAnsi="Calibri" w:cs="Calibri"/>
              </w:rPr>
              <w:t>47,870</w:t>
            </w:r>
          </w:p>
        </w:tc>
        <w:tc>
          <w:tcPr>
            <w:tcW w:w="1620" w:type="dxa"/>
            <w:tcBorders>
              <w:top w:val="single" w:sz="4" w:space="0" w:color="00688D"/>
              <w:left w:val="nil"/>
              <w:bottom w:val="single" w:sz="4" w:space="0" w:color="00688D"/>
              <w:right w:val="nil"/>
            </w:tcBorders>
            <w:shd w:val="clear" w:color="auto" w:fill="D9D9D9" w:themeFill="background1" w:themeFillShade="D9"/>
            <w:noWrap/>
            <w:vAlign w:val="bottom"/>
            <w:hideMark/>
          </w:tcPr>
          <w:p w14:paraId="0BB71B88" w14:textId="52309418" w:rsidR="00C30540" w:rsidRPr="00061285" w:rsidRDefault="00C30540" w:rsidP="00061285">
            <w:pPr>
              <w:ind w:left="250"/>
              <w:jc w:val="right"/>
              <w:rPr>
                <w:rFonts w:ascii="Calibri" w:eastAsia="Times New Roman" w:hAnsi="Calibri" w:cs="Calibri"/>
              </w:rPr>
            </w:pPr>
            <w:r w:rsidRPr="00061285">
              <w:rPr>
                <w:rFonts w:ascii="Calibri" w:eastAsia="Times New Roman" w:hAnsi="Calibri" w:cs="Calibri"/>
              </w:rPr>
              <w:t xml:space="preserve">  </w:t>
            </w:r>
            <w:r w:rsidR="007D695E" w:rsidRPr="00061285">
              <w:rPr>
                <w:rFonts w:ascii="Calibri" w:eastAsia="Times New Roman" w:hAnsi="Calibri" w:cs="Calibri"/>
              </w:rPr>
              <w:t>5,997</w:t>
            </w:r>
          </w:p>
        </w:tc>
      </w:tr>
      <w:tr w:rsidR="00061285" w:rsidRPr="003323E0" w14:paraId="0160B30A" w14:textId="77777777" w:rsidTr="00061285">
        <w:trPr>
          <w:trHeight w:val="300"/>
        </w:trPr>
        <w:tc>
          <w:tcPr>
            <w:tcW w:w="6300" w:type="dxa"/>
            <w:tcBorders>
              <w:top w:val="single" w:sz="4" w:space="0" w:color="00688D"/>
              <w:left w:val="nil"/>
              <w:bottom w:val="double" w:sz="4" w:space="0" w:color="00688D"/>
              <w:right w:val="nil"/>
            </w:tcBorders>
            <w:shd w:val="clear" w:color="000000" w:fill="FFFFFF"/>
            <w:noWrap/>
            <w:vAlign w:val="bottom"/>
          </w:tcPr>
          <w:p w14:paraId="230481EE" w14:textId="670B76DC" w:rsidR="00061285" w:rsidRDefault="00061285" w:rsidP="00C30540">
            <w:pPr>
              <w:rPr>
                <w:rFonts w:ascii="Calibri" w:eastAsia="Times New Roman" w:hAnsi="Calibri" w:cs="Calibri"/>
                <w:color w:val="0D0D0D"/>
              </w:rPr>
            </w:pPr>
            <w:r>
              <w:rPr>
                <w:rFonts w:ascii="Calibri" w:eastAsia="Times New Roman" w:hAnsi="Calibri" w:cs="Calibri"/>
                <w:color w:val="0D0D0D"/>
              </w:rPr>
              <w:t>Total bonds payable and direct borrowings</w:t>
            </w:r>
          </w:p>
        </w:tc>
        <w:tc>
          <w:tcPr>
            <w:tcW w:w="1440" w:type="dxa"/>
            <w:tcBorders>
              <w:top w:val="single" w:sz="4" w:space="0" w:color="00688D"/>
              <w:left w:val="nil"/>
              <w:bottom w:val="double" w:sz="4" w:space="0" w:color="00688D"/>
              <w:right w:val="nil"/>
            </w:tcBorders>
            <w:shd w:val="clear" w:color="000000" w:fill="FFFFFF"/>
            <w:noWrap/>
            <w:vAlign w:val="bottom"/>
          </w:tcPr>
          <w:p w14:paraId="7EF94CFE" w14:textId="26B313CE" w:rsidR="00061285" w:rsidRPr="003323E0" w:rsidRDefault="00061285" w:rsidP="007D695E">
            <w:pPr>
              <w:jc w:val="right"/>
              <w:rPr>
                <w:rFonts w:ascii="Calibri" w:eastAsia="Times New Roman" w:hAnsi="Calibri" w:cs="Calibri"/>
                <w:color w:val="0D0D0D"/>
              </w:rPr>
            </w:pPr>
            <w:r>
              <w:rPr>
                <w:rFonts w:ascii="Calibri" w:eastAsia="Times New Roman" w:hAnsi="Calibri" w:cs="Calibri"/>
                <w:color w:val="0D0D0D"/>
              </w:rPr>
              <w:t>$165,372</w:t>
            </w:r>
          </w:p>
        </w:tc>
        <w:tc>
          <w:tcPr>
            <w:tcW w:w="1620" w:type="dxa"/>
            <w:tcBorders>
              <w:top w:val="single" w:sz="4" w:space="0" w:color="00688D"/>
              <w:left w:val="nil"/>
              <w:bottom w:val="double" w:sz="4" w:space="0" w:color="00688D"/>
              <w:right w:val="nil"/>
            </w:tcBorders>
            <w:shd w:val="clear" w:color="auto" w:fill="D9D9D9" w:themeFill="background1" w:themeFillShade="D9"/>
            <w:noWrap/>
            <w:vAlign w:val="bottom"/>
          </w:tcPr>
          <w:p w14:paraId="3D0B9BB1" w14:textId="7F0EDBA8" w:rsidR="00061285" w:rsidRPr="003323E0" w:rsidRDefault="00061285" w:rsidP="007D695E">
            <w:pPr>
              <w:jc w:val="right"/>
              <w:rPr>
                <w:rFonts w:ascii="Calibri" w:eastAsia="Times New Roman" w:hAnsi="Calibri" w:cs="Calibri"/>
                <w:color w:val="0D0D0D"/>
              </w:rPr>
            </w:pPr>
            <w:r>
              <w:rPr>
                <w:rFonts w:ascii="Calibri" w:eastAsia="Times New Roman" w:hAnsi="Calibri" w:cs="Calibri"/>
                <w:color w:val="0D0D0D"/>
              </w:rPr>
              <w:t>$135,579</w:t>
            </w:r>
          </w:p>
        </w:tc>
      </w:tr>
    </w:tbl>
    <w:p w14:paraId="34FC1E2A" w14:textId="77777777" w:rsidR="00826B88" w:rsidRDefault="00826B88" w:rsidP="00061285">
      <w:pPr>
        <w:pStyle w:val="AFR3"/>
        <w:spacing w:after="240"/>
        <w:rPr>
          <w:rFonts w:cstheme="minorHAnsi"/>
          <w:noProof/>
          <w:spacing w:val="-2"/>
        </w:rPr>
      </w:pPr>
    </w:p>
    <w:p w14:paraId="6E32514B" w14:textId="74A6A3A8" w:rsidR="00051D7E" w:rsidRPr="00061285" w:rsidRDefault="00813B6A" w:rsidP="00061285">
      <w:pPr>
        <w:pStyle w:val="AFR3"/>
        <w:spacing w:after="240"/>
        <w:rPr>
          <w:rFonts w:cstheme="minorHAnsi"/>
          <w:noProof/>
          <w:spacing w:val="-2"/>
        </w:rPr>
      </w:pPr>
      <w:r w:rsidRPr="00F54559">
        <w:rPr>
          <w:rFonts w:cstheme="minorHAnsi"/>
          <w:noProof/>
          <w:spacing w:val="-2"/>
        </w:rPr>
        <w:lastRenderedPageBreak/>
        <w:t>b</w:t>
      </w:r>
      <w:r w:rsidRPr="00B44EB6">
        <w:rPr>
          <w:rFonts w:cstheme="minorHAnsi"/>
          <w:noProof/>
          <w:spacing w:val="-2"/>
        </w:rPr>
        <w:t xml:space="preserve">. </w:t>
      </w:r>
      <w:r w:rsidRPr="00B44EB6">
        <w:rPr>
          <w:rFonts w:cstheme="minorHAnsi"/>
        </w:rPr>
        <w:t xml:space="preserve">Bonds Payable and </w:t>
      </w:r>
      <w:r>
        <w:rPr>
          <w:rFonts w:cstheme="minorHAnsi"/>
        </w:rPr>
        <w:t>Direct Borrowings - continued</w:t>
      </w:r>
      <w:r w:rsidR="00061285" w:rsidRPr="00061285">
        <w:rPr>
          <w:rFonts w:cstheme="minorHAnsi"/>
          <w:noProof/>
          <w:spacing w:val="-2"/>
        </w:rPr>
        <w:t xml:space="preserve"> </w:t>
      </w:r>
      <w:r w:rsidR="00051D7E" w:rsidRPr="00061285">
        <w:rPr>
          <w:rFonts w:cstheme="minorHAnsi"/>
          <w:noProof/>
          <w:spacing w:val="-2"/>
        </w:rPr>
        <w:fldChar w:fldCharType="begin"/>
      </w:r>
      <w:r w:rsidR="00051D7E" w:rsidRPr="00061285">
        <w:rPr>
          <w:rFonts w:cstheme="minorHAnsi"/>
          <w:noProof/>
          <w:spacing w:val="-2"/>
        </w:rPr>
        <w:fldChar w:fldCharType="end"/>
      </w:r>
    </w:p>
    <w:p w14:paraId="1B65ADE6" w14:textId="77777777" w:rsidR="00051D7E" w:rsidRPr="00F54559" w:rsidRDefault="00051D7E" w:rsidP="00051D7E">
      <w:pPr>
        <w:tabs>
          <w:tab w:val="left" w:pos="0"/>
          <w:tab w:val="left" w:pos="1260"/>
          <w:tab w:val="left" w:pos="1440"/>
        </w:tabs>
        <w:suppressAutoHyphens/>
        <w:rPr>
          <w:rFonts w:eastAsia="Times New Roman" w:cstheme="minorHAnsi"/>
          <w:spacing w:val="-3"/>
          <w:sz w:val="24"/>
          <w:szCs w:val="20"/>
        </w:rPr>
      </w:pPr>
      <w:r w:rsidRPr="00F54559">
        <w:rPr>
          <w:rFonts w:eastAsia="Times New Roman" w:cstheme="minorHAnsi"/>
          <w:spacing w:val="-3"/>
          <w:sz w:val="24"/>
          <w:szCs w:val="20"/>
        </w:rPr>
        <w:t>Costs associated with the issuance of revenue bonds have been expensed as incurred and included in the accompanying Statements of Revenues, Expenses and Changes in Net Position.  Premiums, discounts, and deferred amounts on refunding are being amortized over the life of the respective bond issuances as part of interest expense using the effective interest method.</w:t>
      </w:r>
    </w:p>
    <w:p w14:paraId="26CD0994" w14:textId="77777777" w:rsidR="00051D7E" w:rsidRPr="00F54559" w:rsidRDefault="00051D7E" w:rsidP="00051D7E">
      <w:pPr>
        <w:rPr>
          <w:rFonts w:cstheme="minorHAnsi"/>
          <w:sz w:val="24"/>
          <w:szCs w:val="20"/>
        </w:rPr>
      </w:pPr>
    </w:p>
    <w:p w14:paraId="22F52F03" w14:textId="571AE667" w:rsidR="00051D7E" w:rsidRDefault="00051D7E" w:rsidP="00051D7E">
      <w:pPr>
        <w:tabs>
          <w:tab w:val="left" w:pos="540"/>
          <w:tab w:val="left" w:pos="630"/>
          <w:tab w:val="left" w:pos="1440"/>
          <w:tab w:val="decimal" w:pos="7020"/>
          <w:tab w:val="decimal" w:pos="9454"/>
        </w:tabs>
        <w:suppressAutoHyphens/>
        <w:spacing w:after="240"/>
        <w:rPr>
          <w:rFonts w:cstheme="minorHAnsi"/>
          <w:bCs/>
          <w:spacing w:val="-2"/>
          <w:sz w:val="24"/>
        </w:rPr>
      </w:pPr>
      <w:r w:rsidRPr="00F54559">
        <w:rPr>
          <w:rFonts w:cstheme="minorHAnsi"/>
          <w:bCs/>
          <w:spacing w:val="-2"/>
          <w:sz w:val="24"/>
        </w:rPr>
        <w:t>Principal and interest payments on bonds</w:t>
      </w:r>
      <w:r w:rsidR="00826B88">
        <w:rPr>
          <w:rFonts w:cstheme="minorHAnsi"/>
          <w:bCs/>
          <w:spacing w:val="-2"/>
          <w:sz w:val="24"/>
        </w:rPr>
        <w:t xml:space="preserve"> </w:t>
      </w:r>
      <w:r w:rsidRPr="00F54559">
        <w:rPr>
          <w:rFonts w:cstheme="minorHAnsi"/>
          <w:bCs/>
          <w:spacing w:val="-2"/>
          <w:sz w:val="24"/>
        </w:rPr>
        <w:t xml:space="preserve">payable and </w:t>
      </w:r>
      <w:r w:rsidR="00826B88">
        <w:rPr>
          <w:rFonts w:cstheme="minorHAnsi"/>
          <w:bCs/>
          <w:spacing w:val="-2"/>
          <w:sz w:val="24"/>
        </w:rPr>
        <w:t>direct borrowings</w:t>
      </w:r>
      <w:r w:rsidRPr="00F54559">
        <w:rPr>
          <w:rFonts w:cstheme="minorHAnsi"/>
          <w:bCs/>
          <w:spacing w:val="-2"/>
          <w:sz w:val="24"/>
        </w:rPr>
        <w:t xml:space="preserve"> for the next five years and in subsequent five-year periods are as follows at June 30</w:t>
      </w:r>
      <w:r>
        <w:rPr>
          <w:rFonts w:cstheme="minorHAnsi"/>
          <w:bCs/>
          <w:spacing w:val="-2"/>
          <w:sz w:val="24"/>
        </w:rPr>
        <w:t xml:space="preserve">, </w:t>
      </w:r>
      <w:r w:rsidR="00F74DDB">
        <w:rPr>
          <w:rFonts w:cstheme="minorHAnsi"/>
          <w:bCs/>
          <w:spacing w:val="-2"/>
          <w:sz w:val="24"/>
        </w:rPr>
        <w:t>2021</w:t>
      </w:r>
      <w:r w:rsidRPr="00F54559">
        <w:rPr>
          <w:rFonts w:cstheme="minorHAnsi"/>
          <w:bCs/>
          <w:spacing w:val="-2"/>
          <w:sz w:val="24"/>
        </w:rPr>
        <w:t>:</w:t>
      </w:r>
      <w:r>
        <w:rPr>
          <w:rFonts w:cstheme="minorHAnsi"/>
          <w:bCs/>
          <w:spacing w:val="-2"/>
          <w:sz w:val="24"/>
        </w:rPr>
        <w:fldChar w:fldCharType="begin"/>
      </w:r>
      <w:r>
        <w:rPr>
          <w:rFonts w:cstheme="minorHAnsi"/>
          <w:bCs/>
          <w:spacing w:val="-2"/>
          <w:sz w:val="24"/>
        </w:rPr>
        <w:fldChar w:fldCharType="end"/>
      </w:r>
    </w:p>
    <w:tbl>
      <w:tblPr>
        <w:tblW w:w="7740" w:type="dxa"/>
        <w:jc w:val="center"/>
        <w:tblLayout w:type="fixed"/>
        <w:tblLook w:val="04A0" w:firstRow="1" w:lastRow="0" w:firstColumn="1" w:lastColumn="0" w:noHBand="0" w:noVBand="1"/>
      </w:tblPr>
      <w:tblGrid>
        <w:gridCol w:w="2392"/>
        <w:gridCol w:w="1337"/>
        <w:gridCol w:w="1337"/>
        <w:gridCol w:w="1337"/>
        <w:gridCol w:w="1337"/>
      </w:tblGrid>
      <w:tr w:rsidR="00826B88" w:rsidRPr="003323E0" w14:paraId="6CC5A1A3" w14:textId="41952E65" w:rsidTr="00A07512">
        <w:trPr>
          <w:trHeight w:val="588"/>
          <w:tblHeader/>
          <w:jc w:val="center"/>
        </w:trPr>
        <w:tc>
          <w:tcPr>
            <w:tcW w:w="2592" w:type="dxa"/>
            <w:tcBorders>
              <w:top w:val="nil"/>
              <w:left w:val="nil"/>
              <w:bottom w:val="nil"/>
              <w:right w:val="nil"/>
            </w:tcBorders>
            <w:shd w:val="clear" w:color="000000" w:fill="FFFFFF"/>
            <w:vAlign w:val="bottom"/>
          </w:tcPr>
          <w:p w14:paraId="332238A4" w14:textId="77777777" w:rsidR="00826B88" w:rsidRPr="003323E0" w:rsidRDefault="00826B88" w:rsidP="007531FB">
            <w:pPr>
              <w:rPr>
                <w:rFonts w:ascii="Calibri" w:eastAsia="Times New Roman" w:hAnsi="Calibri" w:cs="Calibri"/>
                <w:b/>
                <w:bCs/>
                <w:color w:val="0D0D0D"/>
              </w:rPr>
            </w:pPr>
          </w:p>
        </w:tc>
        <w:tc>
          <w:tcPr>
            <w:tcW w:w="1440" w:type="dxa"/>
            <w:gridSpan w:val="2"/>
            <w:tcBorders>
              <w:top w:val="nil"/>
              <w:left w:val="nil"/>
              <w:bottom w:val="single" w:sz="12" w:space="0" w:color="00688D"/>
              <w:right w:val="nil"/>
            </w:tcBorders>
            <w:shd w:val="clear" w:color="000000" w:fill="FFFFFF"/>
            <w:noWrap/>
            <w:vAlign w:val="bottom"/>
          </w:tcPr>
          <w:p w14:paraId="32D51CB0" w14:textId="5972CBF4" w:rsidR="00826B88" w:rsidRPr="003323E0" w:rsidRDefault="00826B88" w:rsidP="007531FB">
            <w:pPr>
              <w:jc w:val="center"/>
              <w:rPr>
                <w:rFonts w:ascii="Calibri" w:eastAsia="Times New Roman" w:hAnsi="Calibri" w:cs="Calibri"/>
                <w:b/>
                <w:bCs/>
                <w:color w:val="0D0D0D"/>
              </w:rPr>
            </w:pPr>
            <w:r>
              <w:rPr>
                <w:rFonts w:ascii="Calibri" w:eastAsia="Times New Roman" w:hAnsi="Calibri" w:cs="Calibri"/>
                <w:b/>
                <w:bCs/>
                <w:color w:val="0D0D0D"/>
              </w:rPr>
              <w:t>Bonds</w:t>
            </w:r>
            <w:r w:rsidR="00813B6A">
              <w:rPr>
                <w:rFonts w:ascii="Calibri" w:eastAsia="Times New Roman" w:hAnsi="Calibri" w:cs="Calibri"/>
                <w:b/>
                <w:bCs/>
                <w:color w:val="0D0D0D"/>
              </w:rPr>
              <w:t xml:space="preserve"> Payable</w:t>
            </w:r>
          </w:p>
        </w:tc>
        <w:tc>
          <w:tcPr>
            <w:tcW w:w="1440" w:type="dxa"/>
            <w:gridSpan w:val="2"/>
            <w:tcBorders>
              <w:top w:val="nil"/>
              <w:left w:val="nil"/>
              <w:bottom w:val="single" w:sz="12" w:space="0" w:color="00688D"/>
              <w:right w:val="nil"/>
            </w:tcBorders>
            <w:shd w:val="clear" w:color="000000" w:fill="FFFFFF"/>
            <w:noWrap/>
            <w:vAlign w:val="bottom"/>
          </w:tcPr>
          <w:p w14:paraId="1321B395" w14:textId="4E9FCDCE" w:rsidR="00826B88" w:rsidRPr="003323E0" w:rsidRDefault="00826B88" w:rsidP="007531FB">
            <w:pPr>
              <w:jc w:val="center"/>
              <w:rPr>
                <w:rFonts w:ascii="Calibri" w:eastAsia="Times New Roman" w:hAnsi="Calibri" w:cs="Calibri"/>
                <w:b/>
                <w:bCs/>
                <w:color w:val="0D0D0D"/>
              </w:rPr>
            </w:pPr>
            <w:r>
              <w:rPr>
                <w:rFonts w:ascii="Calibri" w:eastAsia="Times New Roman" w:hAnsi="Calibri" w:cs="Calibri"/>
                <w:b/>
                <w:bCs/>
                <w:color w:val="0D0D0D"/>
              </w:rPr>
              <w:t>Direct Borrowings</w:t>
            </w:r>
          </w:p>
        </w:tc>
      </w:tr>
      <w:tr w:rsidR="00826B88" w:rsidRPr="003323E0" w14:paraId="15467876" w14:textId="0EF31B45" w:rsidTr="00A07512">
        <w:trPr>
          <w:trHeight w:val="588"/>
          <w:tblHeader/>
          <w:jc w:val="center"/>
        </w:trPr>
        <w:tc>
          <w:tcPr>
            <w:tcW w:w="2592" w:type="dxa"/>
            <w:tcBorders>
              <w:top w:val="nil"/>
              <w:left w:val="nil"/>
              <w:bottom w:val="nil"/>
              <w:right w:val="nil"/>
            </w:tcBorders>
            <w:shd w:val="clear" w:color="000000" w:fill="FFFFFF"/>
            <w:vAlign w:val="bottom"/>
            <w:hideMark/>
          </w:tcPr>
          <w:p w14:paraId="33193B11" w14:textId="45D344B5" w:rsidR="00826B88" w:rsidRPr="003323E0" w:rsidRDefault="00826B88" w:rsidP="00826B88">
            <w:pPr>
              <w:rPr>
                <w:rFonts w:ascii="Calibri" w:eastAsia="Times New Roman" w:hAnsi="Calibri" w:cs="Calibri"/>
                <w:b/>
                <w:bCs/>
                <w:color w:val="0D0D0D"/>
              </w:rPr>
            </w:pPr>
            <w:r w:rsidRPr="003323E0">
              <w:rPr>
                <w:rFonts w:ascii="Calibri" w:eastAsia="Times New Roman" w:hAnsi="Calibri" w:cs="Calibri"/>
                <w:b/>
                <w:bCs/>
                <w:color w:val="0D0D0D"/>
              </w:rPr>
              <w:t>Year Ending</w:t>
            </w:r>
            <w:r>
              <w:rPr>
                <w:rFonts w:ascii="Calibri" w:eastAsia="Times New Roman" w:hAnsi="Calibri" w:cs="Calibri"/>
                <w:b/>
                <w:bCs/>
                <w:color w:val="0D0D0D"/>
              </w:rPr>
              <w:t xml:space="preserve"> </w:t>
            </w:r>
            <w:r w:rsidRPr="003323E0">
              <w:rPr>
                <w:rFonts w:ascii="Calibri" w:eastAsia="Times New Roman" w:hAnsi="Calibri" w:cs="Calibri"/>
                <w:b/>
                <w:bCs/>
                <w:color w:val="0D0D0D"/>
              </w:rPr>
              <w:t>June 30:</w:t>
            </w:r>
          </w:p>
        </w:tc>
        <w:tc>
          <w:tcPr>
            <w:tcW w:w="1440" w:type="dxa"/>
            <w:tcBorders>
              <w:top w:val="nil"/>
              <w:left w:val="nil"/>
              <w:bottom w:val="single" w:sz="12" w:space="0" w:color="00688D"/>
              <w:right w:val="nil"/>
            </w:tcBorders>
            <w:shd w:val="clear" w:color="000000" w:fill="FFFFFF"/>
            <w:noWrap/>
            <w:vAlign w:val="bottom"/>
            <w:hideMark/>
          </w:tcPr>
          <w:p w14:paraId="69FBBEC2" w14:textId="77777777" w:rsidR="00826B88" w:rsidRPr="003323E0" w:rsidRDefault="00826B88" w:rsidP="007531FB">
            <w:pPr>
              <w:jc w:val="center"/>
              <w:rPr>
                <w:rFonts w:ascii="Calibri" w:eastAsia="Times New Roman" w:hAnsi="Calibri" w:cs="Calibri"/>
                <w:b/>
                <w:bCs/>
                <w:color w:val="0D0D0D"/>
              </w:rPr>
            </w:pPr>
            <w:r w:rsidRPr="003323E0">
              <w:rPr>
                <w:rFonts w:ascii="Calibri" w:eastAsia="Times New Roman" w:hAnsi="Calibri" w:cs="Calibri"/>
                <w:b/>
                <w:bCs/>
                <w:color w:val="0D0D0D"/>
              </w:rPr>
              <w:t>Principal</w:t>
            </w:r>
          </w:p>
        </w:tc>
        <w:tc>
          <w:tcPr>
            <w:tcW w:w="1440" w:type="dxa"/>
            <w:tcBorders>
              <w:top w:val="nil"/>
              <w:left w:val="nil"/>
              <w:bottom w:val="single" w:sz="12" w:space="0" w:color="00688D"/>
              <w:right w:val="nil"/>
            </w:tcBorders>
            <w:shd w:val="clear" w:color="auto" w:fill="auto"/>
            <w:noWrap/>
            <w:vAlign w:val="bottom"/>
            <w:hideMark/>
          </w:tcPr>
          <w:p w14:paraId="79D21288" w14:textId="77777777" w:rsidR="00826B88" w:rsidRPr="003323E0" w:rsidRDefault="00826B88" w:rsidP="007531FB">
            <w:pPr>
              <w:jc w:val="center"/>
              <w:rPr>
                <w:rFonts w:ascii="Calibri" w:eastAsia="Times New Roman" w:hAnsi="Calibri" w:cs="Calibri"/>
                <w:b/>
                <w:bCs/>
                <w:color w:val="0D0D0D"/>
              </w:rPr>
            </w:pPr>
            <w:r w:rsidRPr="003323E0">
              <w:rPr>
                <w:rFonts w:ascii="Calibri" w:eastAsia="Times New Roman" w:hAnsi="Calibri" w:cs="Calibri"/>
                <w:b/>
                <w:bCs/>
                <w:color w:val="0D0D0D"/>
              </w:rPr>
              <w:t>Interest</w:t>
            </w:r>
          </w:p>
        </w:tc>
        <w:tc>
          <w:tcPr>
            <w:tcW w:w="1440" w:type="dxa"/>
            <w:tcBorders>
              <w:top w:val="nil"/>
              <w:left w:val="nil"/>
              <w:bottom w:val="single" w:sz="12" w:space="0" w:color="00688D"/>
              <w:right w:val="nil"/>
            </w:tcBorders>
            <w:shd w:val="clear" w:color="000000" w:fill="FFFFFF"/>
            <w:noWrap/>
            <w:vAlign w:val="bottom"/>
            <w:hideMark/>
          </w:tcPr>
          <w:p w14:paraId="0B1DE77E" w14:textId="7EEBC4CA" w:rsidR="00826B88" w:rsidRPr="003323E0" w:rsidRDefault="00826B88" w:rsidP="007531FB">
            <w:pPr>
              <w:jc w:val="center"/>
              <w:rPr>
                <w:rFonts w:ascii="Calibri" w:eastAsia="Times New Roman" w:hAnsi="Calibri" w:cs="Calibri"/>
                <w:b/>
                <w:bCs/>
                <w:color w:val="0D0D0D"/>
              </w:rPr>
            </w:pPr>
            <w:r>
              <w:rPr>
                <w:rFonts w:ascii="Calibri" w:eastAsia="Times New Roman" w:hAnsi="Calibri" w:cs="Calibri"/>
                <w:b/>
                <w:bCs/>
                <w:color w:val="0D0D0D"/>
              </w:rPr>
              <w:t>Principal</w:t>
            </w:r>
          </w:p>
        </w:tc>
        <w:tc>
          <w:tcPr>
            <w:tcW w:w="1440" w:type="dxa"/>
            <w:tcBorders>
              <w:top w:val="nil"/>
              <w:left w:val="nil"/>
              <w:bottom w:val="single" w:sz="12" w:space="0" w:color="00688D"/>
              <w:right w:val="nil"/>
            </w:tcBorders>
            <w:shd w:val="clear" w:color="000000" w:fill="FFFFFF"/>
            <w:vAlign w:val="bottom"/>
          </w:tcPr>
          <w:p w14:paraId="1F69EC20" w14:textId="5EECA746" w:rsidR="00826B88" w:rsidRPr="003323E0" w:rsidRDefault="00826B88" w:rsidP="00826B88">
            <w:pPr>
              <w:jc w:val="center"/>
              <w:rPr>
                <w:rFonts w:ascii="Calibri" w:eastAsia="Times New Roman" w:hAnsi="Calibri" w:cs="Calibri"/>
                <w:b/>
                <w:bCs/>
                <w:color w:val="0D0D0D"/>
              </w:rPr>
            </w:pPr>
            <w:r>
              <w:rPr>
                <w:rFonts w:ascii="Calibri" w:eastAsia="Times New Roman" w:hAnsi="Calibri" w:cs="Calibri"/>
                <w:b/>
                <w:bCs/>
                <w:color w:val="0D0D0D"/>
              </w:rPr>
              <w:t>Interest</w:t>
            </w:r>
          </w:p>
        </w:tc>
      </w:tr>
      <w:tr w:rsidR="00826B88" w:rsidRPr="003323E0" w14:paraId="57C481FC" w14:textId="3D945B18" w:rsidTr="00A07512">
        <w:trPr>
          <w:trHeight w:val="300"/>
          <w:jc w:val="center"/>
        </w:trPr>
        <w:tc>
          <w:tcPr>
            <w:tcW w:w="2592" w:type="dxa"/>
            <w:tcBorders>
              <w:top w:val="nil"/>
              <w:left w:val="nil"/>
              <w:bottom w:val="nil"/>
              <w:right w:val="nil"/>
            </w:tcBorders>
            <w:shd w:val="clear" w:color="000000" w:fill="FFFFFF"/>
            <w:noWrap/>
            <w:vAlign w:val="bottom"/>
            <w:hideMark/>
          </w:tcPr>
          <w:p w14:paraId="4B87F65F" w14:textId="77777777" w:rsidR="00826B88" w:rsidRPr="003323E0" w:rsidRDefault="00826B88" w:rsidP="007531FB">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2</w:t>
            </w:r>
          </w:p>
        </w:tc>
        <w:tc>
          <w:tcPr>
            <w:tcW w:w="1440" w:type="dxa"/>
            <w:tcBorders>
              <w:top w:val="nil"/>
              <w:left w:val="nil"/>
              <w:bottom w:val="nil"/>
              <w:right w:val="nil"/>
            </w:tcBorders>
            <w:shd w:val="clear" w:color="000000" w:fill="FFFFFF"/>
            <w:noWrap/>
            <w:vAlign w:val="bottom"/>
            <w:hideMark/>
          </w:tcPr>
          <w:p w14:paraId="3A037A7F" w14:textId="6657EA5C" w:rsidR="00826B88" w:rsidRPr="003323E0" w:rsidRDefault="00826B88" w:rsidP="00826B88">
            <w:pPr>
              <w:jc w:val="right"/>
              <w:rPr>
                <w:rFonts w:ascii="Calibri" w:eastAsia="Times New Roman" w:hAnsi="Calibri" w:cs="Calibri"/>
                <w:color w:val="0D0D0D"/>
              </w:rPr>
            </w:pPr>
            <w:r w:rsidRPr="003323E0">
              <w:rPr>
                <w:rFonts w:ascii="Calibri" w:eastAsia="Times New Roman" w:hAnsi="Calibri" w:cs="Calibri"/>
                <w:color w:val="0D0D0D"/>
              </w:rPr>
              <w:t xml:space="preserve">$  </w:t>
            </w:r>
            <w:r>
              <w:rPr>
                <w:rFonts w:ascii="Calibri" w:eastAsia="Times New Roman" w:hAnsi="Calibri" w:cs="Calibri"/>
                <w:color w:val="0D0D0D"/>
              </w:rPr>
              <w:t>10,910</w:t>
            </w:r>
          </w:p>
        </w:tc>
        <w:tc>
          <w:tcPr>
            <w:tcW w:w="1440" w:type="dxa"/>
            <w:tcBorders>
              <w:top w:val="nil"/>
              <w:left w:val="nil"/>
              <w:bottom w:val="nil"/>
              <w:right w:val="nil"/>
            </w:tcBorders>
            <w:shd w:val="clear" w:color="auto" w:fill="auto"/>
            <w:noWrap/>
            <w:vAlign w:val="bottom"/>
            <w:hideMark/>
          </w:tcPr>
          <w:p w14:paraId="327F27C3" w14:textId="270CC8FA" w:rsidR="00826B88" w:rsidRPr="003323E0" w:rsidRDefault="00826B88" w:rsidP="00826B88">
            <w:pPr>
              <w:jc w:val="right"/>
              <w:rPr>
                <w:rFonts w:ascii="Calibri" w:eastAsia="Times New Roman" w:hAnsi="Calibri" w:cs="Calibri"/>
                <w:color w:val="0D0D0D"/>
              </w:rPr>
            </w:pPr>
            <w:r w:rsidRPr="003323E0">
              <w:rPr>
                <w:rFonts w:ascii="Calibri" w:eastAsia="Times New Roman" w:hAnsi="Calibri" w:cs="Calibri"/>
                <w:color w:val="0D0D0D"/>
              </w:rPr>
              <w:t xml:space="preserve">$  </w:t>
            </w:r>
            <w:r>
              <w:rPr>
                <w:rFonts w:ascii="Calibri" w:eastAsia="Times New Roman" w:hAnsi="Calibri" w:cs="Calibri"/>
                <w:color w:val="0D0D0D"/>
              </w:rPr>
              <w:t>4,670</w:t>
            </w:r>
          </w:p>
        </w:tc>
        <w:tc>
          <w:tcPr>
            <w:tcW w:w="1440" w:type="dxa"/>
            <w:tcBorders>
              <w:top w:val="nil"/>
              <w:left w:val="nil"/>
              <w:bottom w:val="nil"/>
              <w:right w:val="nil"/>
            </w:tcBorders>
            <w:shd w:val="clear" w:color="000000" w:fill="FFFFFF"/>
            <w:noWrap/>
            <w:vAlign w:val="bottom"/>
            <w:hideMark/>
          </w:tcPr>
          <w:p w14:paraId="53254492" w14:textId="7226D0A0" w:rsidR="00826B88" w:rsidRPr="003323E0" w:rsidRDefault="00826B88" w:rsidP="00A07512">
            <w:pPr>
              <w:jc w:val="right"/>
              <w:rPr>
                <w:rFonts w:ascii="Calibri" w:eastAsia="Times New Roman" w:hAnsi="Calibri" w:cs="Calibri"/>
                <w:color w:val="0D0D0D"/>
              </w:rPr>
            </w:pPr>
            <w:r w:rsidRPr="003323E0">
              <w:rPr>
                <w:rFonts w:ascii="Calibri" w:eastAsia="Times New Roman" w:hAnsi="Calibri" w:cs="Calibri"/>
                <w:color w:val="0D0D0D"/>
              </w:rPr>
              <w:t xml:space="preserve">$  </w:t>
            </w:r>
            <w:r w:rsidR="00A07512">
              <w:rPr>
                <w:rFonts w:ascii="Calibri" w:eastAsia="Times New Roman" w:hAnsi="Calibri" w:cs="Calibri"/>
                <w:color w:val="0D0D0D"/>
              </w:rPr>
              <w:t>1,299</w:t>
            </w:r>
          </w:p>
        </w:tc>
        <w:tc>
          <w:tcPr>
            <w:tcW w:w="1440" w:type="dxa"/>
            <w:tcBorders>
              <w:top w:val="nil"/>
              <w:left w:val="nil"/>
              <w:bottom w:val="nil"/>
              <w:right w:val="nil"/>
            </w:tcBorders>
            <w:shd w:val="clear" w:color="000000" w:fill="FFFFFF"/>
          </w:tcPr>
          <w:p w14:paraId="7F778EE4" w14:textId="61021FDA" w:rsidR="00826B88" w:rsidRPr="003323E0" w:rsidRDefault="00A07512" w:rsidP="007531FB">
            <w:pPr>
              <w:jc w:val="right"/>
              <w:rPr>
                <w:rFonts w:ascii="Calibri" w:eastAsia="Times New Roman" w:hAnsi="Calibri" w:cs="Calibri"/>
                <w:color w:val="0D0D0D"/>
              </w:rPr>
            </w:pPr>
            <w:r>
              <w:rPr>
                <w:rFonts w:ascii="Calibri" w:eastAsia="Times New Roman" w:hAnsi="Calibri" w:cs="Calibri"/>
                <w:color w:val="0D0D0D"/>
              </w:rPr>
              <w:t>$250</w:t>
            </w:r>
          </w:p>
        </w:tc>
      </w:tr>
      <w:tr w:rsidR="00826B88" w:rsidRPr="003323E0" w14:paraId="7B6E7C72" w14:textId="28B1C59A" w:rsidTr="00A07512">
        <w:trPr>
          <w:trHeight w:val="288"/>
          <w:jc w:val="center"/>
        </w:trPr>
        <w:tc>
          <w:tcPr>
            <w:tcW w:w="2592" w:type="dxa"/>
            <w:tcBorders>
              <w:top w:val="nil"/>
              <w:left w:val="nil"/>
              <w:bottom w:val="nil"/>
              <w:right w:val="nil"/>
            </w:tcBorders>
            <w:shd w:val="clear" w:color="000000" w:fill="FFFFFF"/>
            <w:noWrap/>
            <w:vAlign w:val="bottom"/>
            <w:hideMark/>
          </w:tcPr>
          <w:p w14:paraId="28BB7E6F" w14:textId="77777777" w:rsidR="00826B88" w:rsidRPr="003323E0" w:rsidRDefault="00826B88" w:rsidP="007531FB">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3</w:t>
            </w:r>
          </w:p>
        </w:tc>
        <w:tc>
          <w:tcPr>
            <w:tcW w:w="1440" w:type="dxa"/>
            <w:tcBorders>
              <w:top w:val="nil"/>
              <w:left w:val="nil"/>
              <w:bottom w:val="nil"/>
              <w:right w:val="nil"/>
            </w:tcBorders>
            <w:shd w:val="clear" w:color="000000" w:fill="FFFFFF"/>
            <w:noWrap/>
            <w:vAlign w:val="bottom"/>
            <w:hideMark/>
          </w:tcPr>
          <w:p w14:paraId="3BEE32A7" w14:textId="5C119DAA" w:rsidR="00826B88" w:rsidRPr="003323E0" w:rsidRDefault="00826B88" w:rsidP="007531FB">
            <w:pPr>
              <w:jc w:val="right"/>
              <w:rPr>
                <w:rFonts w:ascii="Calibri" w:eastAsia="Times New Roman" w:hAnsi="Calibri" w:cs="Calibri"/>
                <w:color w:val="0D0D0D"/>
              </w:rPr>
            </w:pPr>
            <w:r>
              <w:rPr>
                <w:rFonts w:ascii="Calibri" w:eastAsia="Times New Roman" w:hAnsi="Calibri" w:cs="Calibri"/>
                <w:color w:val="0D0D0D"/>
              </w:rPr>
              <w:t>10,395</w:t>
            </w:r>
          </w:p>
        </w:tc>
        <w:tc>
          <w:tcPr>
            <w:tcW w:w="1440" w:type="dxa"/>
            <w:tcBorders>
              <w:top w:val="nil"/>
              <w:left w:val="nil"/>
              <w:bottom w:val="nil"/>
              <w:right w:val="nil"/>
            </w:tcBorders>
            <w:shd w:val="clear" w:color="auto" w:fill="auto"/>
            <w:noWrap/>
            <w:vAlign w:val="bottom"/>
            <w:hideMark/>
          </w:tcPr>
          <w:p w14:paraId="3C1A11B3" w14:textId="1046B1F1" w:rsidR="00826B88" w:rsidRPr="003323E0" w:rsidRDefault="00826B88" w:rsidP="00826B88">
            <w:pPr>
              <w:jc w:val="right"/>
              <w:rPr>
                <w:rFonts w:ascii="Calibri" w:eastAsia="Times New Roman" w:hAnsi="Calibri" w:cs="Calibri"/>
                <w:color w:val="0D0D0D"/>
              </w:rPr>
            </w:pPr>
            <w:r>
              <w:rPr>
                <w:rFonts w:ascii="Calibri" w:eastAsia="Times New Roman" w:hAnsi="Calibri" w:cs="Calibri"/>
                <w:color w:val="0D0D0D"/>
              </w:rPr>
              <w:t>4,145</w:t>
            </w:r>
          </w:p>
        </w:tc>
        <w:tc>
          <w:tcPr>
            <w:tcW w:w="1440" w:type="dxa"/>
            <w:tcBorders>
              <w:top w:val="nil"/>
              <w:left w:val="nil"/>
              <w:bottom w:val="nil"/>
              <w:right w:val="nil"/>
            </w:tcBorders>
            <w:shd w:val="clear" w:color="000000" w:fill="FFFFFF"/>
            <w:noWrap/>
            <w:hideMark/>
          </w:tcPr>
          <w:p w14:paraId="4F25E27C" w14:textId="2B10DEAD" w:rsidR="00826B88" w:rsidRPr="003323E0" w:rsidRDefault="00A07512" w:rsidP="007531FB">
            <w:pPr>
              <w:jc w:val="right"/>
              <w:rPr>
                <w:rFonts w:ascii="Calibri" w:eastAsia="Times New Roman" w:hAnsi="Calibri" w:cs="Calibri"/>
                <w:color w:val="0D0D0D"/>
              </w:rPr>
            </w:pPr>
            <w:r>
              <w:t>44,269</w:t>
            </w:r>
            <w:r w:rsidR="00826B88" w:rsidRPr="00DA79A5">
              <w:t xml:space="preserve"> </w:t>
            </w:r>
          </w:p>
        </w:tc>
        <w:tc>
          <w:tcPr>
            <w:tcW w:w="1440" w:type="dxa"/>
            <w:tcBorders>
              <w:top w:val="nil"/>
              <w:left w:val="nil"/>
              <w:bottom w:val="nil"/>
              <w:right w:val="nil"/>
            </w:tcBorders>
            <w:shd w:val="clear" w:color="000000" w:fill="FFFFFF"/>
          </w:tcPr>
          <w:p w14:paraId="46F679B0" w14:textId="3FE306BF" w:rsidR="00826B88" w:rsidRPr="00DA79A5" w:rsidRDefault="00A07512" w:rsidP="007531FB">
            <w:pPr>
              <w:jc w:val="right"/>
            </w:pPr>
            <w:r>
              <w:t>91</w:t>
            </w:r>
          </w:p>
        </w:tc>
      </w:tr>
      <w:tr w:rsidR="00826B88" w:rsidRPr="003323E0" w14:paraId="0A3200C4" w14:textId="78A73F7B" w:rsidTr="00A07512">
        <w:trPr>
          <w:trHeight w:val="288"/>
          <w:jc w:val="center"/>
        </w:trPr>
        <w:tc>
          <w:tcPr>
            <w:tcW w:w="2592" w:type="dxa"/>
            <w:tcBorders>
              <w:top w:val="nil"/>
              <w:left w:val="nil"/>
              <w:bottom w:val="nil"/>
              <w:right w:val="nil"/>
            </w:tcBorders>
            <w:shd w:val="clear" w:color="000000" w:fill="FFFFFF"/>
            <w:noWrap/>
            <w:vAlign w:val="bottom"/>
            <w:hideMark/>
          </w:tcPr>
          <w:p w14:paraId="58A9139B" w14:textId="77777777" w:rsidR="00826B88" w:rsidRPr="003323E0" w:rsidRDefault="00826B88" w:rsidP="007531FB">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4</w:t>
            </w:r>
          </w:p>
        </w:tc>
        <w:tc>
          <w:tcPr>
            <w:tcW w:w="1440" w:type="dxa"/>
            <w:tcBorders>
              <w:top w:val="nil"/>
              <w:left w:val="nil"/>
              <w:bottom w:val="nil"/>
              <w:right w:val="nil"/>
            </w:tcBorders>
            <w:shd w:val="clear" w:color="000000" w:fill="FFFFFF"/>
            <w:noWrap/>
            <w:vAlign w:val="bottom"/>
            <w:hideMark/>
          </w:tcPr>
          <w:p w14:paraId="6961F441" w14:textId="2534B341" w:rsidR="00826B88" w:rsidRPr="003323E0" w:rsidRDefault="00826B88" w:rsidP="007531FB">
            <w:pPr>
              <w:jc w:val="right"/>
              <w:rPr>
                <w:rFonts w:ascii="Calibri" w:eastAsia="Times New Roman" w:hAnsi="Calibri" w:cs="Calibri"/>
                <w:color w:val="0D0D0D"/>
              </w:rPr>
            </w:pPr>
            <w:r>
              <w:rPr>
                <w:rFonts w:ascii="Calibri" w:eastAsia="Times New Roman" w:hAnsi="Calibri" w:cs="Calibri"/>
                <w:color w:val="0D0D0D"/>
              </w:rPr>
              <w:t>10,880</w:t>
            </w:r>
          </w:p>
        </w:tc>
        <w:tc>
          <w:tcPr>
            <w:tcW w:w="1440" w:type="dxa"/>
            <w:tcBorders>
              <w:top w:val="nil"/>
              <w:left w:val="nil"/>
              <w:bottom w:val="nil"/>
              <w:right w:val="nil"/>
            </w:tcBorders>
            <w:shd w:val="clear" w:color="auto" w:fill="auto"/>
            <w:noWrap/>
            <w:vAlign w:val="bottom"/>
            <w:hideMark/>
          </w:tcPr>
          <w:p w14:paraId="6DE43E5F" w14:textId="0A598023" w:rsidR="00826B88" w:rsidRPr="003323E0" w:rsidRDefault="00826B88" w:rsidP="00826B88">
            <w:pPr>
              <w:jc w:val="right"/>
              <w:rPr>
                <w:rFonts w:ascii="Calibri" w:eastAsia="Times New Roman" w:hAnsi="Calibri" w:cs="Calibri"/>
                <w:color w:val="0D0D0D"/>
              </w:rPr>
            </w:pPr>
            <w:r>
              <w:rPr>
                <w:rFonts w:ascii="Calibri" w:eastAsia="Times New Roman" w:hAnsi="Calibri" w:cs="Calibri"/>
                <w:color w:val="0D0D0D"/>
              </w:rPr>
              <w:t>3,647</w:t>
            </w:r>
          </w:p>
        </w:tc>
        <w:tc>
          <w:tcPr>
            <w:tcW w:w="1440" w:type="dxa"/>
            <w:tcBorders>
              <w:top w:val="nil"/>
              <w:left w:val="nil"/>
              <w:bottom w:val="nil"/>
              <w:right w:val="nil"/>
            </w:tcBorders>
            <w:shd w:val="clear" w:color="000000" w:fill="FFFFFF"/>
            <w:noWrap/>
            <w:hideMark/>
          </w:tcPr>
          <w:p w14:paraId="6839BDC4" w14:textId="28602DBC" w:rsidR="00826B88" w:rsidRPr="003323E0" w:rsidRDefault="00A07512" w:rsidP="007531FB">
            <w:pPr>
              <w:jc w:val="right"/>
              <w:rPr>
                <w:rFonts w:ascii="Calibri" w:eastAsia="Times New Roman" w:hAnsi="Calibri" w:cs="Calibri"/>
                <w:color w:val="0D0D0D"/>
              </w:rPr>
            </w:pPr>
            <w:r>
              <w:t>1,000</w:t>
            </w:r>
            <w:r w:rsidR="00826B88" w:rsidRPr="00DA79A5">
              <w:t xml:space="preserve"> </w:t>
            </w:r>
          </w:p>
        </w:tc>
        <w:tc>
          <w:tcPr>
            <w:tcW w:w="1440" w:type="dxa"/>
            <w:tcBorders>
              <w:top w:val="nil"/>
              <w:left w:val="nil"/>
              <w:bottom w:val="nil"/>
              <w:right w:val="nil"/>
            </w:tcBorders>
            <w:shd w:val="clear" w:color="000000" w:fill="FFFFFF"/>
          </w:tcPr>
          <w:p w14:paraId="433B5D20" w14:textId="66DC0B37" w:rsidR="00826B88" w:rsidRPr="00DA79A5" w:rsidRDefault="00A07512" w:rsidP="007531FB">
            <w:pPr>
              <w:jc w:val="right"/>
            </w:pPr>
            <w:r>
              <w:t>37</w:t>
            </w:r>
          </w:p>
        </w:tc>
      </w:tr>
      <w:tr w:rsidR="00826B88" w:rsidRPr="003323E0" w14:paraId="51CB74D4" w14:textId="57706FD0" w:rsidTr="00A07512">
        <w:trPr>
          <w:trHeight w:val="288"/>
          <w:jc w:val="center"/>
        </w:trPr>
        <w:tc>
          <w:tcPr>
            <w:tcW w:w="2592" w:type="dxa"/>
            <w:tcBorders>
              <w:top w:val="nil"/>
              <w:left w:val="nil"/>
              <w:bottom w:val="nil"/>
              <w:right w:val="nil"/>
            </w:tcBorders>
            <w:shd w:val="clear" w:color="000000" w:fill="FFFFFF"/>
            <w:noWrap/>
            <w:vAlign w:val="bottom"/>
            <w:hideMark/>
          </w:tcPr>
          <w:p w14:paraId="3B541CA5" w14:textId="77777777" w:rsidR="00826B88" w:rsidRPr="003323E0" w:rsidRDefault="00826B88" w:rsidP="007531FB">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5</w:t>
            </w:r>
          </w:p>
        </w:tc>
        <w:tc>
          <w:tcPr>
            <w:tcW w:w="1440" w:type="dxa"/>
            <w:tcBorders>
              <w:top w:val="nil"/>
              <w:left w:val="nil"/>
              <w:bottom w:val="nil"/>
              <w:right w:val="nil"/>
            </w:tcBorders>
            <w:shd w:val="clear" w:color="000000" w:fill="FFFFFF"/>
            <w:noWrap/>
            <w:vAlign w:val="bottom"/>
            <w:hideMark/>
          </w:tcPr>
          <w:p w14:paraId="24DBBDAF" w14:textId="7C8BAE5D" w:rsidR="00826B88" w:rsidRPr="003323E0" w:rsidRDefault="00826B88" w:rsidP="00826B88">
            <w:pPr>
              <w:jc w:val="right"/>
              <w:rPr>
                <w:rFonts w:ascii="Calibri" w:eastAsia="Times New Roman" w:hAnsi="Calibri" w:cs="Calibri"/>
                <w:color w:val="0D0D0D"/>
              </w:rPr>
            </w:pPr>
            <w:r>
              <w:rPr>
                <w:rFonts w:ascii="Calibri" w:eastAsia="Times New Roman" w:hAnsi="Calibri" w:cs="Calibri"/>
                <w:color w:val="0D0D0D"/>
              </w:rPr>
              <w:t>9,560</w:t>
            </w:r>
          </w:p>
        </w:tc>
        <w:tc>
          <w:tcPr>
            <w:tcW w:w="1440" w:type="dxa"/>
            <w:tcBorders>
              <w:top w:val="nil"/>
              <w:left w:val="nil"/>
              <w:bottom w:val="nil"/>
              <w:right w:val="nil"/>
            </w:tcBorders>
            <w:shd w:val="clear" w:color="auto" w:fill="auto"/>
            <w:noWrap/>
            <w:vAlign w:val="bottom"/>
            <w:hideMark/>
          </w:tcPr>
          <w:p w14:paraId="1D08B0F4" w14:textId="12A78A04" w:rsidR="00826B88" w:rsidRPr="003323E0" w:rsidRDefault="00826B88" w:rsidP="00826B88">
            <w:pPr>
              <w:jc w:val="right"/>
              <w:rPr>
                <w:rFonts w:ascii="Calibri" w:eastAsia="Times New Roman" w:hAnsi="Calibri" w:cs="Calibri"/>
                <w:color w:val="0D0D0D"/>
              </w:rPr>
            </w:pPr>
            <w:r>
              <w:rPr>
                <w:rFonts w:ascii="Calibri" w:eastAsia="Times New Roman" w:hAnsi="Calibri" w:cs="Calibri"/>
                <w:color w:val="0D0D0D"/>
              </w:rPr>
              <w:t>3,134</w:t>
            </w:r>
          </w:p>
        </w:tc>
        <w:tc>
          <w:tcPr>
            <w:tcW w:w="1440" w:type="dxa"/>
            <w:tcBorders>
              <w:top w:val="nil"/>
              <w:left w:val="nil"/>
              <w:bottom w:val="nil"/>
              <w:right w:val="nil"/>
            </w:tcBorders>
            <w:shd w:val="clear" w:color="000000" w:fill="FFFFFF"/>
            <w:noWrap/>
            <w:hideMark/>
          </w:tcPr>
          <w:p w14:paraId="717933F7" w14:textId="562ADEF2" w:rsidR="00826B88" w:rsidRPr="003323E0" w:rsidRDefault="00A07512" w:rsidP="007531FB">
            <w:pPr>
              <w:jc w:val="right"/>
              <w:rPr>
                <w:rFonts w:ascii="Calibri" w:eastAsia="Times New Roman" w:hAnsi="Calibri" w:cs="Calibri"/>
                <w:color w:val="0D0D0D"/>
              </w:rPr>
            </w:pPr>
            <w:r>
              <w:t>433</w:t>
            </w:r>
            <w:r w:rsidR="00826B88" w:rsidRPr="00DA79A5">
              <w:t xml:space="preserve"> </w:t>
            </w:r>
          </w:p>
        </w:tc>
        <w:tc>
          <w:tcPr>
            <w:tcW w:w="1440" w:type="dxa"/>
            <w:tcBorders>
              <w:top w:val="nil"/>
              <w:left w:val="nil"/>
              <w:bottom w:val="nil"/>
              <w:right w:val="nil"/>
            </w:tcBorders>
            <w:shd w:val="clear" w:color="000000" w:fill="FFFFFF"/>
          </w:tcPr>
          <w:p w14:paraId="0F7E5A94" w14:textId="7F24915B" w:rsidR="00826B88" w:rsidRPr="00DA79A5" w:rsidRDefault="00A07512" w:rsidP="007531FB">
            <w:pPr>
              <w:jc w:val="right"/>
            </w:pPr>
            <w:r>
              <w:t>18</w:t>
            </w:r>
          </w:p>
        </w:tc>
      </w:tr>
      <w:tr w:rsidR="00826B88" w:rsidRPr="003323E0" w14:paraId="406DFEDE" w14:textId="7D659556" w:rsidTr="00A07512">
        <w:trPr>
          <w:trHeight w:val="288"/>
          <w:jc w:val="center"/>
        </w:trPr>
        <w:tc>
          <w:tcPr>
            <w:tcW w:w="2592" w:type="dxa"/>
            <w:tcBorders>
              <w:top w:val="nil"/>
              <w:left w:val="nil"/>
              <w:bottom w:val="nil"/>
              <w:right w:val="nil"/>
            </w:tcBorders>
            <w:shd w:val="clear" w:color="000000" w:fill="FFFFFF"/>
            <w:noWrap/>
            <w:vAlign w:val="bottom"/>
            <w:hideMark/>
          </w:tcPr>
          <w:p w14:paraId="054DCAA7" w14:textId="77777777" w:rsidR="00826B88" w:rsidRPr="003323E0" w:rsidRDefault="00826B88" w:rsidP="007531FB">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6</w:t>
            </w:r>
          </w:p>
        </w:tc>
        <w:tc>
          <w:tcPr>
            <w:tcW w:w="1440" w:type="dxa"/>
            <w:tcBorders>
              <w:top w:val="nil"/>
              <w:left w:val="nil"/>
              <w:bottom w:val="nil"/>
              <w:right w:val="nil"/>
            </w:tcBorders>
            <w:shd w:val="clear" w:color="000000" w:fill="FFFFFF"/>
            <w:noWrap/>
            <w:vAlign w:val="bottom"/>
            <w:hideMark/>
          </w:tcPr>
          <w:p w14:paraId="14640FC9" w14:textId="7B1482D2" w:rsidR="00826B88" w:rsidRPr="003323E0" w:rsidRDefault="00826B88" w:rsidP="00826B88">
            <w:pPr>
              <w:jc w:val="right"/>
              <w:rPr>
                <w:rFonts w:ascii="Calibri" w:eastAsia="Times New Roman" w:hAnsi="Calibri" w:cs="Calibri"/>
                <w:color w:val="0D0D0D"/>
              </w:rPr>
            </w:pPr>
            <w:r>
              <w:rPr>
                <w:rFonts w:ascii="Calibri" w:eastAsia="Times New Roman" w:hAnsi="Calibri" w:cs="Calibri"/>
                <w:color w:val="0D0D0D"/>
              </w:rPr>
              <w:t>10,015</w:t>
            </w:r>
          </w:p>
        </w:tc>
        <w:tc>
          <w:tcPr>
            <w:tcW w:w="1440" w:type="dxa"/>
            <w:tcBorders>
              <w:top w:val="nil"/>
              <w:left w:val="nil"/>
              <w:bottom w:val="nil"/>
              <w:right w:val="nil"/>
            </w:tcBorders>
            <w:shd w:val="clear" w:color="auto" w:fill="auto"/>
            <w:noWrap/>
            <w:vAlign w:val="bottom"/>
            <w:hideMark/>
          </w:tcPr>
          <w:p w14:paraId="5DBE3E73" w14:textId="390E6D7D" w:rsidR="00826B88" w:rsidRPr="003323E0" w:rsidRDefault="00826B88" w:rsidP="00826B88">
            <w:pPr>
              <w:jc w:val="right"/>
              <w:rPr>
                <w:rFonts w:ascii="Calibri" w:eastAsia="Times New Roman" w:hAnsi="Calibri" w:cs="Calibri"/>
                <w:color w:val="0D0D0D"/>
              </w:rPr>
            </w:pPr>
            <w:r>
              <w:rPr>
                <w:rFonts w:ascii="Calibri" w:eastAsia="Times New Roman" w:hAnsi="Calibri" w:cs="Calibri"/>
                <w:color w:val="0D0D0D"/>
              </w:rPr>
              <w:t>2,687</w:t>
            </w:r>
          </w:p>
        </w:tc>
        <w:tc>
          <w:tcPr>
            <w:tcW w:w="1440" w:type="dxa"/>
            <w:tcBorders>
              <w:top w:val="nil"/>
              <w:left w:val="nil"/>
              <w:bottom w:val="nil"/>
              <w:right w:val="nil"/>
            </w:tcBorders>
            <w:shd w:val="clear" w:color="000000" w:fill="FFFFFF"/>
            <w:noWrap/>
            <w:hideMark/>
          </w:tcPr>
          <w:p w14:paraId="666EB6F7" w14:textId="17593C82" w:rsidR="00826B88" w:rsidRPr="003323E0" w:rsidRDefault="00A07512" w:rsidP="007531FB">
            <w:pPr>
              <w:jc w:val="right"/>
              <w:rPr>
                <w:rFonts w:ascii="Calibri" w:eastAsia="Times New Roman" w:hAnsi="Calibri" w:cs="Calibri"/>
                <w:color w:val="0D0D0D"/>
              </w:rPr>
            </w:pPr>
            <w:r>
              <w:t>254</w:t>
            </w:r>
            <w:r w:rsidR="00826B88" w:rsidRPr="00DA79A5">
              <w:t xml:space="preserve"> </w:t>
            </w:r>
          </w:p>
        </w:tc>
        <w:tc>
          <w:tcPr>
            <w:tcW w:w="1440" w:type="dxa"/>
            <w:tcBorders>
              <w:top w:val="nil"/>
              <w:left w:val="nil"/>
              <w:bottom w:val="nil"/>
              <w:right w:val="nil"/>
            </w:tcBorders>
            <w:shd w:val="clear" w:color="000000" w:fill="FFFFFF"/>
          </w:tcPr>
          <w:p w14:paraId="3D1EFF93" w14:textId="26963B86" w:rsidR="00826B88" w:rsidRPr="00DA79A5" w:rsidRDefault="00A07512" w:rsidP="007531FB">
            <w:pPr>
              <w:jc w:val="right"/>
            </w:pPr>
            <w:r>
              <w:t>18</w:t>
            </w:r>
          </w:p>
        </w:tc>
      </w:tr>
      <w:tr w:rsidR="00826B88" w:rsidRPr="003323E0" w14:paraId="48BC930D" w14:textId="693F83A4" w:rsidTr="00A07512">
        <w:trPr>
          <w:trHeight w:val="288"/>
          <w:jc w:val="center"/>
        </w:trPr>
        <w:tc>
          <w:tcPr>
            <w:tcW w:w="2592" w:type="dxa"/>
            <w:tcBorders>
              <w:top w:val="nil"/>
              <w:left w:val="nil"/>
              <w:bottom w:val="nil"/>
              <w:right w:val="nil"/>
            </w:tcBorders>
            <w:shd w:val="clear" w:color="000000" w:fill="FFFFFF"/>
            <w:noWrap/>
            <w:vAlign w:val="bottom"/>
            <w:hideMark/>
          </w:tcPr>
          <w:p w14:paraId="56D75C05" w14:textId="77777777" w:rsidR="00826B88" w:rsidRPr="003323E0" w:rsidRDefault="00826B88" w:rsidP="007531FB">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7</w:t>
            </w:r>
            <w:r w:rsidRPr="003323E0">
              <w:rPr>
                <w:rFonts w:ascii="Calibri" w:eastAsia="Times New Roman" w:hAnsi="Calibri" w:cs="Calibri"/>
                <w:color w:val="0D0D0D"/>
              </w:rPr>
              <w:t>-203</w:t>
            </w:r>
            <w:r>
              <w:rPr>
                <w:rFonts w:ascii="Calibri" w:eastAsia="Times New Roman" w:hAnsi="Calibri" w:cs="Calibri"/>
                <w:color w:val="0D0D0D"/>
              </w:rPr>
              <w:t>1</w:t>
            </w:r>
          </w:p>
        </w:tc>
        <w:tc>
          <w:tcPr>
            <w:tcW w:w="1440" w:type="dxa"/>
            <w:tcBorders>
              <w:top w:val="nil"/>
              <w:left w:val="nil"/>
              <w:bottom w:val="nil"/>
              <w:right w:val="nil"/>
            </w:tcBorders>
            <w:shd w:val="clear" w:color="000000" w:fill="FFFFFF"/>
            <w:noWrap/>
            <w:vAlign w:val="bottom"/>
            <w:hideMark/>
          </w:tcPr>
          <w:p w14:paraId="1EF20FB3" w14:textId="1F881193" w:rsidR="00826B88" w:rsidRPr="003323E0" w:rsidRDefault="00826B88" w:rsidP="00826B88">
            <w:pPr>
              <w:jc w:val="right"/>
              <w:rPr>
                <w:rFonts w:ascii="Calibri" w:eastAsia="Times New Roman" w:hAnsi="Calibri" w:cs="Calibri"/>
                <w:color w:val="0D0D0D"/>
              </w:rPr>
            </w:pPr>
            <w:r>
              <w:rPr>
                <w:rFonts w:ascii="Calibri" w:eastAsia="Times New Roman" w:hAnsi="Calibri" w:cs="Calibri"/>
                <w:color w:val="0D0D0D"/>
              </w:rPr>
              <w:t>40,300</w:t>
            </w:r>
          </w:p>
        </w:tc>
        <w:tc>
          <w:tcPr>
            <w:tcW w:w="1440" w:type="dxa"/>
            <w:tcBorders>
              <w:top w:val="nil"/>
              <w:left w:val="nil"/>
              <w:bottom w:val="nil"/>
              <w:right w:val="nil"/>
            </w:tcBorders>
            <w:shd w:val="clear" w:color="auto" w:fill="auto"/>
            <w:noWrap/>
            <w:vAlign w:val="bottom"/>
            <w:hideMark/>
          </w:tcPr>
          <w:p w14:paraId="4750FE60" w14:textId="721A1A04" w:rsidR="00826B88" w:rsidRPr="003323E0" w:rsidRDefault="00826B88" w:rsidP="00826B88">
            <w:pPr>
              <w:jc w:val="right"/>
              <w:rPr>
                <w:rFonts w:ascii="Calibri" w:eastAsia="Times New Roman" w:hAnsi="Calibri" w:cs="Calibri"/>
                <w:color w:val="0D0D0D"/>
              </w:rPr>
            </w:pPr>
            <w:r>
              <w:rPr>
                <w:rFonts w:ascii="Calibri" w:eastAsia="Times New Roman" w:hAnsi="Calibri" w:cs="Calibri"/>
                <w:color w:val="0D0D0D"/>
              </w:rPr>
              <w:t>8,095</w:t>
            </w:r>
          </w:p>
        </w:tc>
        <w:tc>
          <w:tcPr>
            <w:tcW w:w="1440" w:type="dxa"/>
            <w:tcBorders>
              <w:top w:val="nil"/>
              <w:left w:val="nil"/>
              <w:bottom w:val="nil"/>
              <w:right w:val="nil"/>
            </w:tcBorders>
            <w:shd w:val="clear" w:color="000000" w:fill="FFFFFF"/>
            <w:noWrap/>
            <w:hideMark/>
          </w:tcPr>
          <w:p w14:paraId="093B7322" w14:textId="12791DE0" w:rsidR="00826B88" w:rsidRPr="003323E0" w:rsidRDefault="00A07512" w:rsidP="007531FB">
            <w:pPr>
              <w:jc w:val="right"/>
              <w:rPr>
                <w:rFonts w:ascii="Calibri" w:eastAsia="Times New Roman" w:hAnsi="Calibri" w:cs="Calibri"/>
                <w:color w:val="0D0D0D"/>
              </w:rPr>
            </w:pPr>
            <w:r>
              <w:t>196</w:t>
            </w:r>
            <w:r w:rsidR="00826B88" w:rsidRPr="00DA79A5">
              <w:t xml:space="preserve"> </w:t>
            </w:r>
          </w:p>
        </w:tc>
        <w:tc>
          <w:tcPr>
            <w:tcW w:w="1440" w:type="dxa"/>
            <w:tcBorders>
              <w:top w:val="nil"/>
              <w:left w:val="nil"/>
              <w:bottom w:val="nil"/>
              <w:right w:val="nil"/>
            </w:tcBorders>
            <w:shd w:val="clear" w:color="000000" w:fill="FFFFFF"/>
          </w:tcPr>
          <w:p w14:paraId="44AA113B" w14:textId="113E8B63" w:rsidR="00826B88" w:rsidRPr="00DA79A5" w:rsidRDefault="00A07512" w:rsidP="007531FB">
            <w:pPr>
              <w:jc w:val="right"/>
            </w:pPr>
            <w:r>
              <w:t>43</w:t>
            </w:r>
          </w:p>
        </w:tc>
      </w:tr>
      <w:tr w:rsidR="00826B88" w:rsidRPr="003323E0" w14:paraId="290E5BFE" w14:textId="4B63D86E" w:rsidTr="00A07512">
        <w:trPr>
          <w:trHeight w:val="288"/>
          <w:jc w:val="center"/>
        </w:trPr>
        <w:tc>
          <w:tcPr>
            <w:tcW w:w="2592" w:type="dxa"/>
            <w:tcBorders>
              <w:top w:val="nil"/>
              <w:left w:val="nil"/>
              <w:bottom w:val="nil"/>
              <w:right w:val="nil"/>
            </w:tcBorders>
            <w:shd w:val="clear" w:color="000000" w:fill="FFFFFF"/>
            <w:noWrap/>
            <w:vAlign w:val="bottom"/>
            <w:hideMark/>
          </w:tcPr>
          <w:p w14:paraId="0562404E" w14:textId="77777777" w:rsidR="00826B88" w:rsidRPr="003323E0" w:rsidRDefault="00826B88" w:rsidP="007531FB">
            <w:pPr>
              <w:jc w:val="center"/>
              <w:rPr>
                <w:rFonts w:ascii="Calibri" w:eastAsia="Times New Roman" w:hAnsi="Calibri" w:cs="Calibri"/>
                <w:color w:val="0D0D0D"/>
              </w:rPr>
            </w:pPr>
            <w:r w:rsidRPr="003323E0">
              <w:rPr>
                <w:rFonts w:ascii="Calibri" w:eastAsia="Times New Roman" w:hAnsi="Calibri" w:cs="Calibri"/>
                <w:color w:val="0D0D0D"/>
              </w:rPr>
              <w:t>203</w:t>
            </w:r>
            <w:r>
              <w:rPr>
                <w:rFonts w:ascii="Calibri" w:eastAsia="Times New Roman" w:hAnsi="Calibri" w:cs="Calibri"/>
                <w:color w:val="0D0D0D"/>
              </w:rPr>
              <w:t>2</w:t>
            </w:r>
            <w:r w:rsidRPr="003323E0">
              <w:rPr>
                <w:rFonts w:ascii="Calibri" w:eastAsia="Times New Roman" w:hAnsi="Calibri" w:cs="Calibri"/>
                <w:color w:val="0D0D0D"/>
              </w:rPr>
              <w:t>-203</w:t>
            </w:r>
            <w:r>
              <w:rPr>
                <w:rFonts w:ascii="Calibri" w:eastAsia="Times New Roman" w:hAnsi="Calibri" w:cs="Calibri"/>
                <w:color w:val="0D0D0D"/>
              </w:rPr>
              <w:t>6</w:t>
            </w:r>
          </w:p>
        </w:tc>
        <w:tc>
          <w:tcPr>
            <w:tcW w:w="1440" w:type="dxa"/>
            <w:tcBorders>
              <w:top w:val="nil"/>
              <w:left w:val="nil"/>
              <w:bottom w:val="nil"/>
              <w:right w:val="nil"/>
            </w:tcBorders>
            <w:shd w:val="clear" w:color="000000" w:fill="FFFFFF"/>
            <w:noWrap/>
            <w:vAlign w:val="bottom"/>
            <w:hideMark/>
          </w:tcPr>
          <w:p w14:paraId="25499700" w14:textId="020D9683" w:rsidR="00826B88" w:rsidRPr="003323E0" w:rsidRDefault="00826B88" w:rsidP="00826B88">
            <w:pPr>
              <w:jc w:val="right"/>
              <w:rPr>
                <w:rFonts w:ascii="Calibri" w:eastAsia="Times New Roman" w:hAnsi="Calibri" w:cs="Calibri"/>
                <w:color w:val="0D0D0D"/>
              </w:rPr>
            </w:pPr>
            <w:r>
              <w:rPr>
                <w:rFonts w:ascii="Calibri" w:eastAsia="Times New Roman" w:hAnsi="Calibri" w:cs="Calibri"/>
                <w:color w:val="0D0D0D"/>
              </w:rPr>
              <w:t>20,025</w:t>
            </w:r>
          </w:p>
        </w:tc>
        <w:tc>
          <w:tcPr>
            <w:tcW w:w="1440" w:type="dxa"/>
            <w:tcBorders>
              <w:top w:val="nil"/>
              <w:left w:val="nil"/>
              <w:bottom w:val="nil"/>
              <w:right w:val="nil"/>
            </w:tcBorders>
            <w:shd w:val="clear" w:color="auto" w:fill="auto"/>
            <w:noWrap/>
            <w:vAlign w:val="bottom"/>
            <w:hideMark/>
          </w:tcPr>
          <w:p w14:paraId="1332AA5A" w14:textId="585433AE" w:rsidR="00826B88" w:rsidRPr="003323E0" w:rsidRDefault="00826B88" w:rsidP="00A07512">
            <w:pPr>
              <w:jc w:val="right"/>
              <w:rPr>
                <w:rFonts w:ascii="Calibri" w:eastAsia="Times New Roman" w:hAnsi="Calibri" w:cs="Calibri"/>
                <w:color w:val="0D0D0D"/>
              </w:rPr>
            </w:pPr>
            <w:r>
              <w:rPr>
                <w:rFonts w:ascii="Calibri" w:eastAsia="Times New Roman" w:hAnsi="Calibri" w:cs="Calibri"/>
                <w:color w:val="0D0D0D"/>
              </w:rPr>
              <w:t>1,6</w:t>
            </w:r>
            <w:r w:rsidR="00A07512">
              <w:rPr>
                <w:rFonts w:ascii="Calibri" w:eastAsia="Times New Roman" w:hAnsi="Calibri" w:cs="Calibri"/>
                <w:color w:val="0D0D0D"/>
              </w:rPr>
              <w:t>50</w:t>
            </w:r>
          </w:p>
        </w:tc>
        <w:tc>
          <w:tcPr>
            <w:tcW w:w="1440" w:type="dxa"/>
            <w:tcBorders>
              <w:top w:val="nil"/>
              <w:left w:val="nil"/>
              <w:bottom w:val="nil"/>
              <w:right w:val="nil"/>
            </w:tcBorders>
            <w:shd w:val="clear" w:color="000000" w:fill="FFFFFF"/>
            <w:noWrap/>
            <w:hideMark/>
          </w:tcPr>
          <w:p w14:paraId="19BDFFE3" w14:textId="693A14E1" w:rsidR="00826B88" w:rsidRPr="003323E0" w:rsidRDefault="00A07512" w:rsidP="007531FB">
            <w:pPr>
              <w:jc w:val="right"/>
              <w:rPr>
                <w:rFonts w:ascii="Calibri" w:eastAsia="Times New Roman" w:hAnsi="Calibri" w:cs="Calibri"/>
                <w:color w:val="0D0D0D"/>
              </w:rPr>
            </w:pPr>
            <w:r>
              <w:t>375</w:t>
            </w:r>
            <w:r w:rsidR="00826B88" w:rsidRPr="00DA79A5">
              <w:t xml:space="preserve"> </w:t>
            </w:r>
          </w:p>
        </w:tc>
        <w:tc>
          <w:tcPr>
            <w:tcW w:w="1440" w:type="dxa"/>
            <w:tcBorders>
              <w:top w:val="nil"/>
              <w:left w:val="nil"/>
              <w:bottom w:val="nil"/>
              <w:right w:val="nil"/>
            </w:tcBorders>
            <w:shd w:val="clear" w:color="000000" w:fill="FFFFFF"/>
          </w:tcPr>
          <w:p w14:paraId="5072BF30" w14:textId="2005779B" w:rsidR="00826B88" w:rsidRPr="00DA79A5" w:rsidRDefault="00A07512" w:rsidP="007531FB">
            <w:pPr>
              <w:jc w:val="right"/>
            </w:pPr>
            <w:r>
              <w:t>21</w:t>
            </w:r>
          </w:p>
        </w:tc>
      </w:tr>
      <w:tr w:rsidR="00826B88" w:rsidRPr="003323E0" w14:paraId="60D4CACE" w14:textId="5D1D7C5D" w:rsidTr="00A07512">
        <w:trPr>
          <w:trHeight w:val="288"/>
          <w:jc w:val="center"/>
        </w:trPr>
        <w:tc>
          <w:tcPr>
            <w:tcW w:w="2592" w:type="dxa"/>
            <w:tcBorders>
              <w:top w:val="nil"/>
              <w:left w:val="nil"/>
              <w:bottom w:val="nil"/>
              <w:right w:val="nil"/>
            </w:tcBorders>
            <w:shd w:val="clear" w:color="000000" w:fill="FFFFFF"/>
            <w:noWrap/>
            <w:vAlign w:val="bottom"/>
            <w:hideMark/>
          </w:tcPr>
          <w:p w14:paraId="26EBDF6A" w14:textId="6AC1DF50" w:rsidR="00826B88" w:rsidRPr="003323E0" w:rsidRDefault="00826B88" w:rsidP="007531FB">
            <w:pPr>
              <w:jc w:val="center"/>
              <w:rPr>
                <w:rFonts w:ascii="Calibri" w:eastAsia="Times New Roman" w:hAnsi="Calibri" w:cs="Calibri"/>
                <w:color w:val="0D0D0D"/>
              </w:rPr>
            </w:pPr>
            <w:r>
              <w:rPr>
                <w:rFonts w:ascii="Calibri" w:eastAsia="Times New Roman" w:hAnsi="Calibri" w:cs="Calibri"/>
                <w:color w:val="0D0D0D"/>
              </w:rPr>
              <w:t>2037-2041</w:t>
            </w:r>
          </w:p>
        </w:tc>
        <w:tc>
          <w:tcPr>
            <w:tcW w:w="1440" w:type="dxa"/>
            <w:tcBorders>
              <w:top w:val="nil"/>
              <w:left w:val="nil"/>
              <w:bottom w:val="nil"/>
              <w:right w:val="nil"/>
            </w:tcBorders>
            <w:shd w:val="clear" w:color="000000" w:fill="FFFFFF"/>
            <w:noWrap/>
            <w:vAlign w:val="bottom"/>
            <w:hideMark/>
          </w:tcPr>
          <w:p w14:paraId="41E6AB91" w14:textId="6C113ECB" w:rsidR="00826B88" w:rsidRPr="003323E0" w:rsidRDefault="00826B88" w:rsidP="00826B88">
            <w:pPr>
              <w:jc w:val="right"/>
              <w:rPr>
                <w:rFonts w:ascii="Calibri" w:eastAsia="Times New Roman" w:hAnsi="Calibri" w:cs="Calibri"/>
                <w:color w:val="0D0D0D"/>
              </w:rPr>
            </w:pPr>
            <w:r>
              <w:rPr>
                <w:rFonts w:ascii="Calibri" w:eastAsia="Times New Roman" w:hAnsi="Calibri" w:cs="Calibri"/>
                <w:color w:val="0D0D0D"/>
              </w:rPr>
              <w:t>440</w:t>
            </w:r>
          </w:p>
        </w:tc>
        <w:tc>
          <w:tcPr>
            <w:tcW w:w="1440" w:type="dxa"/>
            <w:tcBorders>
              <w:top w:val="nil"/>
              <w:left w:val="nil"/>
              <w:bottom w:val="nil"/>
              <w:right w:val="nil"/>
            </w:tcBorders>
            <w:shd w:val="clear" w:color="auto" w:fill="auto"/>
            <w:noWrap/>
            <w:vAlign w:val="bottom"/>
            <w:hideMark/>
          </w:tcPr>
          <w:p w14:paraId="4950AD25" w14:textId="09E31EA2" w:rsidR="00826B88" w:rsidRPr="003323E0" w:rsidRDefault="00826B88" w:rsidP="00A07512">
            <w:pPr>
              <w:jc w:val="right"/>
              <w:rPr>
                <w:rFonts w:ascii="Calibri" w:eastAsia="Times New Roman" w:hAnsi="Calibri" w:cs="Calibri"/>
                <w:color w:val="0D0D0D"/>
              </w:rPr>
            </w:pPr>
            <w:r>
              <w:rPr>
                <w:rFonts w:ascii="Calibri" w:eastAsia="Times New Roman" w:hAnsi="Calibri" w:cs="Calibri"/>
                <w:color w:val="0D0D0D"/>
              </w:rPr>
              <w:t>1</w:t>
            </w:r>
            <w:r w:rsidR="00A07512">
              <w:rPr>
                <w:rFonts w:ascii="Calibri" w:eastAsia="Times New Roman" w:hAnsi="Calibri" w:cs="Calibri"/>
                <w:color w:val="0D0D0D"/>
              </w:rPr>
              <w:t>5</w:t>
            </w:r>
          </w:p>
        </w:tc>
        <w:tc>
          <w:tcPr>
            <w:tcW w:w="1440" w:type="dxa"/>
            <w:tcBorders>
              <w:top w:val="nil"/>
              <w:left w:val="nil"/>
              <w:bottom w:val="nil"/>
              <w:right w:val="nil"/>
            </w:tcBorders>
            <w:shd w:val="clear" w:color="000000" w:fill="FFFFFF"/>
            <w:noWrap/>
            <w:hideMark/>
          </w:tcPr>
          <w:p w14:paraId="370F4B9E" w14:textId="14AA3CFB" w:rsidR="00826B88" w:rsidRPr="003323E0" w:rsidRDefault="00A07512" w:rsidP="007531FB">
            <w:pPr>
              <w:jc w:val="right"/>
              <w:rPr>
                <w:rFonts w:ascii="Calibri" w:eastAsia="Times New Roman" w:hAnsi="Calibri" w:cs="Calibri"/>
                <w:color w:val="0D0D0D"/>
              </w:rPr>
            </w:pPr>
            <w:r>
              <w:t>44</w:t>
            </w:r>
            <w:r w:rsidR="00826B88" w:rsidRPr="00DA79A5">
              <w:t xml:space="preserve"> </w:t>
            </w:r>
          </w:p>
        </w:tc>
        <w:tc>
          <w:tcPr>
            <w:tcW w:w="1440" w:type="dxa"/>
            <w:tcBorders>
              <w:top w:val="nil"/>
              <w:left w:val="nil"/>
              <w:bottom w:val="nil"/>
              <w:right w:val="nil"/>
            </w:tcBorders>
            <w:shd w:val="clear" w:color="000000" w:fill="FFFFFF"/>
          </w:tcPr>
          <w:p w14:paraId="4F38D327" w14:textId="14C7012E" w:rsidR="00826B88" w:rsidRPr="00DA79A5" w:rsidRDefault="00A07512" w:rsidP="007531FB">
            <w:pPr>
              <w:jc w:val="right"/>
            </w:pPr>
            <w:r>
              <w:t>1</w:t>
            </w:r>
          </w:p>
        </w:tc>
      </w:tr>
      <w:tr w:rsidR="00826B88" w:rsidRPr="003323E0" w14:paraId="3EC038C5" w14:textId="52095110" w:rsidTr="00A07512">
        <w:trPr>
          <w:trHeight w:val="300"/>
          <w:jc w:val="center"/>
        </w:trPr>
        <w:tc>
          <w:tcPr>
            <w:tcW w:w="2592" w:type="dxa"/>
            <w:tcBorders>
              <w:top w:val="single" w:sz="4" w:space="0" w:color="00688D"/>
              <w:left w:val="nil"/>
              <w:bottom w:val="double" w:sz="6" w:space="0" w:color="00688D"/>
              <w:right w:val="nil"/>
            </w:tcBorders>
            <w:shd w:val="clear" w:color="000000" w:fill="FFFFFF"/>
            <w:noWrap/>
            <w:vAlign w:val="bottom"/>
            <w:hideMark/>
          </w:tcPr>
          <w:p w14:paraId="5E753BF1" w14:textId="20EC1690" w:rsidR="00826B88" w:rsidRPr="003323E0" w:rsidRDefault="00826B88" w:rsidP="00A07512">
            <w:pPr>
              <w:rPr>
                <w:rFonts w:ascii="Calibri" w:eastAsia="Times New Roman" w:hAnsi="Calibri" w:cs="Calibri"/>
                <w:b/>
                <w:bCs/>
                <w:color w:val="0D0D0D"/>
              </w:rPr>
            </w:pPr>
            <w:r w:rsidRPr="003323E0">
              <w:rPr>
                <w:rFonts w:ascii="Calibri" w:eastAsia="Times New Roman" w:hAnsi="Calibri" w:cs="Calibri"/>
                <w:b/>
                <w:bCs/>
                <w:color w:val="0D0D0D"/>
              </w:rPr>
              <w:t xml:space="preserve">Total </w:t>
            </w:r>
            <w:r w:rsidR="00A07512">
              <w:rPr>
                <w:rFonts w:ascii="Calibri" w:eastAsia="Times New Roman" w:hAnsi="Calibri" w:cs="Calibri"/>
                <w:b/>
                <w:bCs/>
                <w:color w:val="0D0D0D"/>
              </w:rPr>
              <w:t>P</w:t>
            </w:r>
            <w:r w:rsidRPr="003323E0">
              <w:rPr>
                <w:rFonts w:ascii="Calibri" w:eastAsia="Times New Roman" w:hAnsi="Calibri" w:cs="Calibri"/>
                <w:b/>
                <w:bCs/>
                <w:color w:val="0D0D0D"/>
              </w:rPr>
              <w:t>ayments</w:t>
            </w:r>
          </w:p>
        </w:tc>
        <w:tc>
          <w:tcPr>
            <w:tcW w:w="1440" w:type="dxa"/>
            <w:tcBorders>
              <w:top w:val="single" w:sz="4" w:space="0" w:color="00688D"/>
              <w:left w:val="nil"/>
              <w:bottom w:val="double" w:sz="6" w:space="0" w:color="00688D"/>
              <w:right w:val="nil"/>
            </w:tcBorders>
            <w:shd w:val="clear" w:color="000000" w:fill="FFFFFF"/>
            <w:noWrap/>
            <w:vAlign w:val="bottom"/>
            <w:hideMark/>
          </w:tcPr>
          <w:p w14:paraId="52897719" w14:textId="46688C10" w:rsidR="00826B88" w:rsidRPr="003323E0" w:rsidRDefault="00826B88" w:rsidP="00826B88">
            <w:pPr>
              <w:jc w:val="right"/>
              <w:rPr>
                <w:rFonts w:ascii="Calibri" w:eastAsia="Times New Roman" w:hAnsi="Calibri" w:cs="Calibri"/>
                <w:color w:val="0D0D0D"/>
              </w:rPr>
            </w:pPr>
            <w:r w:rsidRPr="003323E0">
              <w:rPr>
                <w:rFonts w:ascii="Calibri" w:eastAsia="Times New Roman" w:hAnsi="Calibri" w:cs="Calibri"/>
                <w:color w:val="0D0D0D"/>
              </w:rPr>
              <w:t>$</w:t>
            </w:r>
            <w:r>
              <w:rPr>
                <w:rFonts w:ascii="Calibri" w:eastAsia="Times New Roman" w:hAnsi="Calibri" w:cs="Calibri"/>
                <w:color w:val="0D0D0D"/>
              </w:rPr>
              <w:t>112,525</w:t>
            </w:r>
          </w:p>
        </w:tc>
        <w:tc>
          <w:tcPr>
            <w:tcW w:w="1440" w:type="dxa"/>
            <w:tcBorders>
              <w:top w:val="single" w:sz="4" w:space="0" w:color="00688D"/>
              <w:left w:val="nil"/>
              <w:bottom w:val="double" w:sz="6" w:space="0" w:color="00688D"/>
              <w:right w:val="nil"/>
            </w:tcBorders>
            <w:shd w:val="clear" w:color="auto" w:fill="auto"/>
            <w:noWrap/>
            <w:vAlign w:val="bottom"/>
            <w:hideMark/>
          </w:tcPr>
          <w:p w14:paraId="7EAADF28" w14:textId="26C6FD97" w:rsidR="00826B88" w:rsidRPr="003323E0" w:rsidRDefault="00826B88" w:rsidP="00A07512">
            <w:pPr>
              <w:jc w:val="right"/>
              <w:rPr>
                <w:rFonts w:ascii="Calibri" w:eastAsia="Times New Roman" w:hAnsi="Calibri" w:cs="Calibri"/>
                <w:color w:val="0D0D0D"/>
              </w:rPr>
            </w:pPr>
            <w:r w:rsidRPr="003323E0">
              <w:rPr>
                <w:rFonts w:ascii="Calibri" w:eastAsia="Times New Roman" w:hAnsi="Calibri" w:cs="Calibri"/>
                <w:color w:val="0D0D0D"/>
              </w:rPr>
              <w:t>$</w:t>
            </w:r>
            <w:r>
              <w:rPr>
                <w:rFonts w:ascii="Calibri" w:eastAsia="Times New Roman" w:hAnsi="Calibri" w:cs="Calibri"/>
                <w:color w:val="0D0D0D"/>
              </w:rPr>
              <w:t>28,</w:t>
            </w:r>
            <w:r w:rsidR="00A07512">
              <w:rPr>
                <w:rFonts w:ascii="Calibri" w:eastAsia="Times New Roman" w:hAnsi="Calibri" w:cs="Calibri"/>
                <w:color w:val="0D0D0D"/>
              </w:rPr>
              <w:t>043</w:t>
            </w:r>
          </w:p>
        </w:tc>
        <w:tc>
          <w:tcPr>
            <w:tcW w:w="1440" w:type="dxa"/>
            <w:tcBorders>
              <w:top w:val="single" w:sz="4" w:space="0" w:color="00688D"/>
              <w:left w:val="nil"/>
              <w:bottom w:val="double" w:sz="6" w:space="0" w:color="00688D"/>
              <w:right w:val="nil"/>
            </w:tcBorders>
            <w:shd w:val="clear" w:color="000000" w:fill="FFFFFF"/>
            <w:noWrap/>
            <w:vAlign w:val="bottom"/>
            <w:hideMark/>
          </w:tcPr>
          <w:p w14:paraId="7C400301" w14:textId="62BC9C05" w:rsidR="00826B88" w:rsidRPr="003323E0" w:rsidRDefault="00826B88" w:rsidP="00A07512">
            <w:pPr>
              <w:jc w:val="right"/>
              <w:rPr>
                <w:rFonts w:ascii="Calibri" w:eastAsia="Times New Roman" w:hAnsi="Calibri" w:cs="Calibri"/>
                <w:color w:val="0D0D0D"/>
              </w:rPr>
            </w:pPr>
            <w:r w:rsidRPr="003323E0">
              <w:rPr>
                <w:rFonts w:ascii="Calibri" w:eastAsia="Times New Roman" w:hAnsi="Calibri" w:cs="Calibri"/>
                <w:color w:val="0D0D0D"/>
              </w:rPr>
              <w:t>$</w:t>
            </w:r>
            <w:r w:rsidR="00A07512">
              <w:rPr>
                <w:rFonts w:ascii="Calibri" w:eastAsia="Times New Roman" w:hAnsi="Calibri" w:cs="Calibri"/>
                <w:color w:val="0D0D0D"/>
              </w:rPr>
              <w:t>47,870</w:t>
            </w:r>
          </w:p>
        </w:tc>
        <w:tc>
          <w:tcPr>
            <w:tcW w:w="1440" w:type="dxa"/>
            <w:tcBorders>
              <w:top w:val="single" w:sz="4" w:space="0" w:color="00688D"/>
              <w:left w:val="nil"/>
              <w:bottom w:val="double" w:sz="6" w:space="0" w:color="00688D"/>
              <w:right w:val="nil"/>
            </w:tcBorders>
            <w:shd w:val="clear" w:color="000000" w:fill="FFFFFF"/>
            <w:vAlign w:val="bottom"/>
          </w:tcPr>
          <w:p w14:paraId="4A77C11B" w14:textId="77D93CFB" w:rsidR="00826B88" w:rsidRPr="003323E0" w:rsidRDefault="00A07512" w:rsidP="00A07512">
            <w:pPr>
              <w:jc w:val="right"/>
              <w:rPr>
                <w:rFonts w:ascii="Calibri" w:eastAsia="Times New Roman" w:hAnsi="Calibri" w:cs="Calibri"/>
                <w:color w:val="0D0D0D"/>
              </w:rPr>
            </w:pPr>
            <w:r>
              <w:rPr>
                <w:rFonts w:ascii="Calibri" w:eastAsia="Times New Roman" w:hAnsi="Calibri" w:cs="Calibri"/>
                <w:color w:val="0D0D0D"/>
              </w:rPr>
              <w:t>$473</w:t>
            </w:r>
          </w:p>
        </w:tc>
      </w:tr>
    </w:tbl>
    <w:p w14:paraId="6F4EBDB2" w14:textId="77777777" w:rsidR="00051D7E" w:rsidRPr="00F54559" w:rsidRDefault="00051D7E" w:rsidP="00051D7E">
      <w:pPr>
        <w:tabs>
          <w:tab w:val="left" w:pos="540"/>
          <w:tab w:val="left" w:pos="630"/>
          <w:tab w:val="left" w:pos="1440"/>
          <w:tab w:val="decimal" w:pos="7020"/>
          <w:tab w:val="decimal" w:pos="9454"/>
        </w:tabs>
        <w:suppressAutoHyphens/>
        <w:spacing w:before="240"/>
        <w:rPr>
          <w:rFonts w:eastAsiaTheme="majorEastAsia" w:cstheme="minorHAnsi"/>
          <w:iCs/>
          <w:smallCaps/>
          <w:noProof/>
          <w:color w:val="000000" w:themeColor="text1"/>
          <w:sz w:val="24"/>
          <w:szCs w:val="28"/>
          <w:u w:color="5B9BD5"/>
        </w:rPr>
      </w:pPr>
      <w:r w:rsidRPr="00F54559">
        <w:rPr>
          <w:rFonts w:cstheme="minorHAnsi"/>
          <w:spacing w:val="-3"/>
          <w:sz w:val="24"/>
        </w:rPr>
        <w:t>Interest costs related to the revenue bonds for FY</w:t>
      </w:r>
      <w:r>
        <w:rPr>
          <w:rFonts w:cstheme="minorHAnsi"/>
          <w:spacing w:val="-3"/>
          <w:sz w:val="24"/>
        </w:rPr>
        <w:t>21</w:t>
      </w:r>
      <w:r w:rsidRPr="00F54559">
        <w:rPr>
          <w:rFonts w:cstheme="minorHAnsi"/>
          <w:spacing w:val="-3"/>
          <w:sz w:val="24"/>
        </w:rPr>
        <w:t xml:space="preserve"> and FY</w:t>
      </w:r>
      <w:r>
        <w:rPr>
          <w:rFonts w:cstheme="minorHAnsi"/>
          <w:spacing w:val="-3"/>
          <w:sz w:val="24"/>
        </w:rPr>
        <w:t>20</w:t>
      </w:r>
      <w:r w:rsidRPr="00F54559">
        <w:rPr>
          <w:rFonts w:cstheme="minorHAnsi"/>
          <w:spacing w:val="-3"/>
          <w:sz w:val="24"/>
        </w:rPr>
        <w:t xml:space="preserve"> were </w:t>
      </w:r>
      <w:r w:rsidRPr="00142620">
        <w:rPr>
          <w:rFonts w:cstheme="minorHAnsi"/>
          <w:spacing w:val="-3"/>
          <w:sz w:val="24"/>
        </w:rPr>
        <w:t xml:space="preserve">$3,620 </w:t>
      </w:r>
      <w:r>
        <w:rPr>
          <w:rFonts w:cstheme="minorHAnsi"/>
          <w:spacing w:val="-3"/>
          <w:sz w:val="24"/>
        </w:rPr>
        <w:t>and $3,842</w:t>
      </w:r>
      <w:r w:rsidRPr="00F54559">
        <w:rPr>
          <w:rFonts w:cstheme="minorHAnsi"/>
          <w:spacing w:val="-3"/>
          <w:sz w:val="24"/>
        </w:rPr>
        <w:t>, respectively.</w:t>
      </w:r>
      <w:r w:rsidRPr="00F54559">
        <w:rPr>
          <w:rFonts w:cstheme="minorHAnsi"/>
        </w:rPr>
        <w:br w:type="page"/>
      </w:r>
    </w:p>
    <w:p w14:paraId="3AD05797" w14:textId="77777777" w:rsidR="00051D7E" w:rsidRPr="00F54559" w:rsidRDefault="00051D7E" w:rsidP="00051D7E">
      <w:pPr>
        <w:pStyle w:val="AFR2"/>
        <w:rPr>
          <w:rFonts w:cstheme="minorHAnsi"/>
          <w:sz w:val="26"/>
          <w:szCs w:val="26"/>
        </w:rPr>
      </w:pPr>
      <w:r w:rsidRPr="00F54559">
        <w:rPr>
          <w:rFonts w:cstheme="minorHAnsi"/>
          <w:sz w:val="26"/>
          <w:szCs w:val="26"/>
        </w:rPr>
        <w:lastRenderedPageBreak/>
        <w:t>8. UNEARNED REVENUE AND DEPOSITS</w:t>
      </w:r>
    </w:p>
    <w:p w14:paraId="65BD147E" w14:textId="77777777" w:rsidR="00051D7E" w:rsidRPr="00F54559" w:rsidRDefault="00051D7E" w:rsidP="00051D7E">
      <w:pPr>
        <w:tabs>
          <w:tab w:val="left" w:pos="1440"/>
          <w:tab w:val="decimal" w:pos="6786"/>
          <w:tab w:val="decimal" w:pos="9187"/>
        </w:tabs>
        <w:suppressAutoHyphens/>
        <w:spacing w:before="120" w:after="240"/>
        <w:rPr>
          <w:rFonts w:cstheme="minorHAnsi"/>
        </w:rPr>
      </w:pPr>
      <w:r w:rsidRPr="00F54559">
        <w:rPr>
          <w:rFonts w:cstheme="minorHAnsi"/>
          <w:bCs/>
          <w:spacing w:val="-3"/>
          <w:sz w:val="24"/>
        </w:rPr>
        <w:t>Unearned revenue and deposits as of June 30 consist of the following:</w:t>
      </w:r>
      <w:r>
        <w:rPr>
          <w:rFonts w:cstheme="minorHAnsi"/>
        </w:rPr>
        <w:fldChar w:fldCharType="begin"/>
      </w:r>
      <w:r>
        <w:rPr>
          <w:rFonts w:cstheme="minorHAnsi"/>
        </w:rPr>
        <w:fldChar w:fldCharType="end"/>
      </w:r>
    </w:p>
    <w:tbl>
      <w:tblPr>
        <w:tblW w:w="6192" w:type="dxa"/>
        <w:jc w:val="center"/>
        <w:tblLook w:val="04A0" w:firstRow="1" w:lastRow="0" w:firstColumn="1" w:lastColumn="0" w:noHBand="0" w:noVBand="1"/>
      </w:tblPr>
      <w:tblGrid>
        <w:gridCol w:w="3704"/>
        <w:gridCol w:w="1244"/>
        <w:gridCol w:w="1244"/>
      </w:tblGrid>
      <w:tr w:rsidR="00051D7E" w:rsidRPr="005F7BC7" w14:paraId="53EF944A" w14:textId="77777777" w:rsidTr="007531FB">
        <w:trPr>
          <w:trHeight w:val="300"/>
          <w:tblHeader/>
          <w:jc w:val="center"/>
        </w:trPr>
        <w:tc>
          <w:tcPr>
            <w:tcW w:w="3704" w:type="dxa"/>
            <w:tcBorders>
              <w:top w:val="nil"/>
              <w:left w:val="nil"/>
              <w:bottom w:val="single" w:sz="12" w:space="0" w:color="00688D"/>
              <w:right w:val="nil"/>
            </w:tcBorders>
            <w:shd w:val="clear" w:color="000000" w:fill="FFFFFF"/>
            <w:noWrap/>
            <w:vAlign w:val="bottom"/>
            <w:hideMark/>
          </w:tcPr>
          <w:p w14:paraId="21C82168" w14:textId="77777777" w:rsidR="00051D7E" w:rsidRPr="005F7BC7" w:rsidRDefault="00051D7E" w:rsidP="007531FB">
            <w:pPr>
              <w:jc w:val="center"/>
              <w:rPr>
                <w:rFonts w:ascii="Calibri" w:eastAsia="Times New Roman" w:hAnsi="Calibri" w:cs="Calibri"/>
                <w:b/>
                <w:bCs/>
                <w:color w:val="0D0D0D"/>
              </w:rPr>
            </w:pPr>
            <w:r w:rsidRPr="005F7BC7">
              <w:rPr>
                <w:rFonts w:ascii="Calibri" w:eastAsia="Times New Roman" w:hAnsi="Calibri" w:cs="Calibri"/>
                <w:b/>
                <w:bCs/>
                <w:color w:val="0D0D0D"/>
              </w:rPr>
              <w:t> </w:t>
            </w:r>
          </w:p>
        </w:tc>
        <w:tc>
          <w:tcPr>
            <w:tcW w:w="1244" w:type="dxa"/>
            <w:tcBorders>
              <w:top w:val="nil"/>
              <w:left w:val="nil"/>
              <w:bottom w:val="single" w:sz="12" w:space="0" w:color="00688D"/>
              <w:right w:val="nil"/>
            </w:tcBorders>
            <w:shd w:val="clear" w:color="000000" w:fill="FFFFFF"/>
            <w:noWrap/>
            <w:vAlign w:val="bottom"/>
            <w:hideMark/>
          </w:tcPr>
          <w:p w14:paraId="15B66162" w14:textId="77777777" w:rsidR="00051D7E" w:rsidRPr="005F7BC7" w:rsidRDefault="00051D7E" w:rsidP="007531FB">
            <w:pPr>
              <w:jc w:val="center"/>
              <w:rPr>
                <w:rFonts w:ascii="Calibri" w:eastAsia="Times New Roman" w:hAnsi="Calibri" w:cs="Calibri"/>
                <w:b/>
                <w:bCs/>
                <w:color w:val="0D0D0D"/>
              </w:rPr>
            </w:pPr>
            <w:r w:rsidRPr="005F7BC7">
              <w:rPr>
                <w:rFonts w:ascii="Calibri" w:eastAsia="Times New Roman" w:hAnsi="Calibri" w:cs="Calibri"/>
                <w:b/>
                <w:bCs/>
                <w:color w:val="0D0D0D"/>
              </w:rPr>
              <w:t>202</w:t>
            </w:r>
            <w:r>
              <w:rPr>
                <w:rFonts w:ascii="Calibri" w:eastAsia="Times New Roman" w:hAnsi="Calibri" w:cs="Calibri"/>
                <w:b/>
                <w:bCs/>
                <w:color w:val="0D0D0D"/>
              </w:rPr>
              <w:t>1</w:t>
            </w:r>
          </w:p>
        </w:tc>
        <w:tc>
          <w:tcPr>
            <w:tcW w:w="1244" w:type="dxa"/>
            <w:tcBorders>
              <w:top w:val="nil"/>
              <w:left w:val="nil"/>
              <w:bottom w:val="single" w:sz="12" w:space="0" w:color="00688D"/>
              <w:right w:val="nil"/>
            </w:tcBorders>
            <w:shd w:val="clear" w:color="auto" w:fill="D9D9D9" w:themeFill="background1" w:themeFillShade="D9"/>
            <w:noWrap/>
            <w:hideMark/>
          </w:tcPr>
          <w:p w14:paraId="10C2B4D6" w14:textId="77777777" w:rsidR="00051D7E" w:rsidRDefault="00051D7E" w:rsidP="007531FB">
            <w:pPr>
              <w:jc w:val="center"/>
              <w:rPr>
                <w:b/>
              </w:rPr>
            </w:pPr>
            <w:r w:rsidRPr="008E645B">
              <w:rPr>
                <w:b/>
              </w:rPr>
              <w:t>2020</w:t>
            </w:r>
          </w:p>
          <w:p w14:paraId="18A02D1E" w14:textId="77777777" w:rsidR="00051D7E" w:rsidRPr="008E645B" w:rsidRDefault="00051D7E" w:rsidP="007531FB">
            <w:pPr>
              <w:jc w:val="center"/>
              <w:rPr>
                <w:rFonts w:ascii="Calibri" w:eastAsia="Times New Roman" w:hAnsi="Calibri" w:cs="Calibri"/>
                <w:b/>
                <w:bCs/>
                <w:color w:val="0D0D0D"/>
              </w:rPr>
            </w:pPr>
            <w:r>
              <w:rPr>
                <w:b/>
              </w:rPr>
              <w:t>Restated</w:t>
            </w:r>
          </w:p>
        </w:tc>
      </w:tr>
      <w:tr w:rsidR="00051D7E" w:rsidRPr="005F7BC7" w14:paraId="38BCD4FC" w14:textId="77777777" w:rsidTr="007531FB">
        <w:trPr>
          <w:trHeight w:val="300"/>
          <w:jc w:val="center"/>
        </w:trPr>
        <w:tc>
          <w:tcPr>
            <w:tcW w:w="3704" w:type="dxa"/>
            <w:tcBorders>
              <w:top w:val="nil"/>
              <w:left w:val="nil"/>
              <w:bottom w:val="nil"/>
              <w:right w:val="nil"/>
            </w:tcBorders>
            <w:shd w:val="clear" w:color="000000" w:fill="FFFFFF"/>
            <w:noWrap/>
            <w:vAlign w:val="bottom"/>
            <w:hideMark/>
          </w:tcPr>
          <w:p w14:paraId="2918C429" w14:textId="77777777" w:rsidR="00051D7E" w:rsidRPr="005F7BC7" w:rsidRDefault="00051D7E" w:rsidP="007531FB">
            <w:pPr>
              <w:rPr>
                <w:rFonts w:ascii="Calibri" w:eastAsia="Times New Roman" w:hAnsi="Calibri" w:cs="Calibri"/>
                <w:color w:val="0D0D0D"/>
              </w:rPr>
            </w:pPr>
            <w:r w:rsidRPr="005F7BC7">
              <w:rPr>
                <w:rFonts w:ascii="Calibri" w:eastAsia="Times New Roman" w:hAnsi="Calibri" w:cs="Calibri"/>
                <w:color w:val="0D0D0D"/>
              </w:rPr>
              <w:t>Unearned grant advances</w:t>
            </w:r>
          </w:p>
        </w:tc>
        <w:tc>
          <w:tcPr>
            <w:tcW w:w="1244" w:type="dxa"/>
            <w:tcBorders>
              <w:top w:val="nil"/>
              <w:left w:val="nil"/>
              <w:bottom w:val="nil"/>
              <w:right w:val="nil"/>
            </w:tcBorders>
            <w:shd w:val="clear" w:color="000000" w:fill="FFFFFF"/>
            <w:noWrap/>
            <w:vAlign w:val="bottom"/>
            <w:hideMark/>
          </w:tcPr>
          <w:p w14:paraId="362A143D" w14:textId="77777777" w:rsidR="00051D7E" w:rsidRPr="00757763" w:rsidRDefault="00051D7E" w:rsidP="007531FB">
            <w:pPr>
              <w:jc w:val="right"/>
              <w:rPr>
                <w:rFonts w:ascii="Calibri" w:eastAsia="Times New Roman" w:hAnsi="Calibri" w:cs="Calibri"/>
              </w:rPr>
            </w:pPr>
            <w:r w:rsidRPr="00757763">
              <w:rPr>
                <w:rFonts w:ascii="Calibri" w:eastAsia="Times New Roman" w:hAnsi="Calibri" w:cs="Calibri"/>
              </w:rPr>
              <w:t>$        6,447</w:t>
            </w:r>
          </w:p>
        </w:tc>
        <w:tc>
          <w:tcPr>
            <w:tcW w:w="1244" w:type="dxa"/>
            <w:tcBorders>
              <w:top w:val="nil"/>
              <w:left w:val="nil"/>
              <w:bottom w:val="nil"/>
              <w:right w:val="nil"/>
            </w:tcBorders>
            <w:shd w:val="clear" w:color="auto" w:fill="D9D9D9" w:themeFill="background1" w:themeFillShade="D9"/>
            <w:noWrap/>
            <w:hideMark/>
          </w:tcPr>
          <w:p w14:paraId="07573C9C" w14:textId="77777777" w:rsidR="00051D7E" w:rsidRPr="005F7BC7" w:rsidRDefault="00051D7E" w:rsidP="007531FB">
            <w:pPr>
              <w:jc w:val="right"/>
              <w:rPr>
                <w:rFonts w:ascii="Calibri" w:eastAsia="Times New Roman" w:hAnsi="Calibri" w:cs="Calibri"/>
                <w:color w:val="0D0D0D"/>
              </w:rPr>
            </w:pPr>
            <w:r w:rsidRPr="001028ED">
              <w:t>$        6,774</w:t>
            </w:r>
          </w:p>
        </w:tc>
      </w:tr>
      <w:tr w:rsidR="00051D7E" w:rsidRPr="005F7BC7" w14:paraId="3CD93DBE" w14:textId="77777777" w:rsidTr="007531FB">
        <w:trPr>
          <w:trHeight w:val="288"/>
          <w:jc w:val="center"/>
        </w:trPr>
        <w:tc>
          <w:tcPr>
            <w:tcW w:w="3704" w:type="dxa"/>
            <w:tcBorders>
              <w:top w:val="nil"/>
              <w:left w:val="nil"/>
              <w:bottom w:val="nil"/>
              <w:right w:val="nil"/>
            </w:tcBorders>
            <w:shd w:val="clear" w:color="000000" w:fill="FFFFFF"/>
            <w:noWrap/>
            <w:vAlign w:val="bottom"/>
            <w:hideMark/>
          </w:tcPr>
          <w:p w14:paraId="3F4396BF" w14:textId="77777777" w:rsidR="00051D7E" w:rsidRPr="005F7BC7" w:rsidRDefault="00051D7E" w:rsidP="007531FB">
            <w:pPr>
              <w:rPr>
                <w:rFonts w:ascii="Calibri" w:eastAsia="Times New Roman" w:hAnsi="Calibri" w:cs="Calibri"/>
                <w:color w:val="0D0D0D"/>
              </w:rPr>
            </w:pPr>
            <w:r w:rsidRPr="005F7BC7">
              <w:rPr>
                <w:rFonts w:ascii="Calibri" w:eastAsia="Times New Roman" w:hAnsi="Calibri" w:cs="Calibri"/>
                <w:color w:val="0D0D0D"/>
              </w:rPr>
              <w:t>Unearned summer session revenue</w:t>
            </w:r>
          </w:p>
        </w:tc>
        <w:tc>
          <w:tcPr>
            <w:tcW w:w="1244" w:type="dxa"/>
            <w:tcBorders>
              <w:top w:val="nil"/>
              <w:left w:val="nil"/>
              <w:bottom w:val="nil"/>
              <w:right w:val="nil"/>
            </w:tcBorders>
            <w:shd w:val="clear" w:color="000000" w:fill="FFFFFF"/>
            <w:noWrap/>
            <w:vAlign w:val="bottom"/>
            <w:hideMark/>
          </w:tcPr>
          <w:p w14:paraId="1EFAF701" w14:textId="77777777" w:rsidR="00051D7E" w:rsidRPr="00757763" w:rsidRDefault="00051D7E" w:rsidP="007531FB">
            <w:pPr>
              <w:jc w:val="right"/>
              <w:rPr>
                <w:rFonts w:ascii="Calibri" w:eastAsia="Times New Roman" w:hAnsi="Calibri" w:cs="Calibri"/>
              </w:rPr>
            </w:pPr>
            <w:r w:rsidRPr="00757763">
              <w:rPr>
                <w:rFonts w:ascii="Calibri" w:eastAsia="Times New Roman" w:hAnsi="Calibri" w:cs="Calibri"/>
              </w:rPr>
              <w:t>8,014</w:t>
            </w:r>
          </w:p>
        </w:tc>
        <w:tc>
          <w:tcPr>
            <w:tcW w:w="1244" w:type="dxa"/>
            <w:tcBorders>
              <w:top w:val="nil"/>
              <w:left w:val="nil"/>
              <w:bottom w:val="nil"/>
              <w:right w:val="nil"/>
            </w:tcBorders>
            <w:shd w:val="clear" w:color="auto" w:fill="D9D9D9" w:themeFill="background1" w:themeFillShade="D9"/>
            <w:noWrap/>
            <w:hideMark/>
          </w:tcPr>
          <w:p w14:paraId="1CE29E22" w14:textId="77777777" w:rsidR="00051D7E" w:rsidRPr="005F7BC7" w:rsidRDefault="00051D7E" w:rsidP="007531FB">
            <w:pPr>
              <w:jc w:val="right"/>
              <w:rPr>
                <w:rFonts w:ascii="Calibri" w:eastAsia="Times New Roman" w:hAnsi="Calibri" w:cs="Calibri"/>
                <w:color w:val="0D0D0D"/>
              </w:rPr>
            </w:pPr>
            <w:r w:rsidRPr="001028ED">
              <w:t>7,899</w:t>
            </w:r>
          </w:p>
        </w:tc>
      </w:tr>
      <w:tr w:rsidR="00051D7E" w:rsidRPr="005F7BC7" w14:paraId="53180C72" w14:textId="77777777" w:rsidTr="007531FB">
        <w:trPr>
          <w:trHeight w:val="288"/>
          <w:jc w:val="center"/>
        </w:trPr>
        <w:tc>
          <w:tcPr>
            <w:tcW w:w="3704" w:type="dxa"/>
            <w:tcBorders>
              <w:top w:val="nil"/>
              <w:left w:val="nil"/>
              <w:bottom w:val="nil"/>
              <w:right w:val="nil"/>
            </w:tcBorders>
            <w:shd w:val="clear" w:color="000000" w:fill="FFFFFF"/>
            <w:noWrap/>
            <w:vAlign w:val="bottom"/>
            <w:hideMark/>
          </w:tcPr>
          <w:p w14:paraId="75226F1F" w14:textId="77777777" w:rsidR="00051D7E" w:rsidRPr="005F7BC7" w:rsidRDefault="00051D7E" w:rsidP="007531FB">
            <w:pPr>
              <w:rPr>
                <w:rFonts w:ascii="Calibri" w:eastAsia="Times New Roman" w:hAnsi="Calibri" w:cs="Calibri"/>
                <w:color w:val="0D0D0D"/>
              </w:rPr>
            </w:pPr>
            <w:r w:rsidRPr="005F7BC7">
              <w:rPr>
                <w:rFonts w:ascii="Calibri" w:eastAsia="Times New Roman" w:hAnsi="Calibri" w:cs="Calibri"/>
                <w:color w:val="0D0D0D"/>
              </w:rPr>
              <w:t>Other unearned revenue and deposits</w:t>
            </w:r>
          </w:p>
        </w:tc>
        <w:tc>
          <w:tcPr>
            <w:tcW w:w="1244" w:type="dxa"/>
            <w:tcBorders>
              <w:top w:val="nil"/>
              <w:left w:val="nil"/>
              <w:bottom w:val="nil"/>
              <w:right w:val="nil"/>
            </w:tcBorders>
            <w:shd w:val="clear" w:color="000000" w:fill="FFFFFF"/>
            <w:noWrap/>
            <w:vAlign w:val="bottom"/>
            <w:hideMark/>
          </w:tcPr>
          <w:p w14:paraId="450DF4F1" w14:textId="77777777" w:rsidR="00051D7E" w:rsidRPr="00757763" w:rsidRDefault="00051D7E" w:rsidP="007531FB">
            <w:pPr>
              <w:jc w:val="right"/>
              <w:rPr>
                <w:rFonts w:ascii="Calibri" w:eastAsia="Times New Roman" w:hAnsi="Calibri" w:cs="Calibri"/>
              </w:rPr>
            </w:pPr>
            <w:r w:rsidRPr="00757763">
              <w:rPr>
                <w:rFonts w:ascii="Calibri" w:eastAsia="Times New Roman" w:hAnsi="Calibri" w:cs="Calibri"/>
              </w:rPr>
              <w:t>4,628</w:t>
            </w:r>
          </w:p>
        </w:tc>
        <w:tc>
          <w:tcPr>
            <w:tcW w:w="1244" w:type="dxa"/>
            <w:tcBorders>
              <w:top w:val="nil"/>
              <w:left w:val="nil"/>
              <w:bottom w:val="nil"/>
              <w:right w:val="nil"/>
            </w:tcBorders>
            <w:shd w:val="clear" w:color="auto" w:fill="D9D9D9" w:themeFill="background1" w:themeFillShade="D9"/>
            <w:noWrap/>
            <w:hideMark/>
          </w:tcPr>
          <w:p w14:paraId="437AA4FB" w14:textId="77777777" w:rsidR="00051D7E" w:rsidRPr="005F7BC7" w:rsidRDefault="00051D7E" w:rsidP="007531FB">
            <w:pPr>
              <w:jc w:val="right"/>
              <w:rPr>
                <w:rFonts w:ascii="Calibri" w:eastAsia="Times New Roman" w:hAnsi="Calibri" w:cs="Calibri"/>
                <w:color w:val="0D0D0D"/>
              </w:rPr>
            </w:pPr>
            <w:r>
              <w:t>791</w:t>
            </w:r>
          </w:p>
        </w:tc>
      </w:tr>
      <w:tr w:rsidR="00051D7E" w:rsidRPr="005F7BC7" w14:paraId="1514B49C" w14:textId="77777777" w:rsidTr="007531FB">
        <w:trPr>
          <w:trHeight w:val="300"/>
          <w:jc w:val="center"/>
        </w:trPr>
        <w:tc>
          <w:tcPr>
            <w:tcW w:w="3704" w:type="dxa"/>
            <w:tcBorders>
              <w:top w:val="single" w:sz="4" w:space="0" w:color="00688D"/>
              <w:left w:val="nil"/>
              <w:bottom w:val="double" w:sz="6" w:space="0" w:color="00688D"/>
              <w:right w:val="nil"/>
            </w:tcBorders>
            <w:shd w:val="clear" w:color="000000" w:fill="FFFFFF"/>
            <w:noWrap/>
            <w:vAlign w:val="bottom"/>
            <w:hideMark/>
          </w:tcPr>
          <w:p w14:paraId="5CA25465" w14:textId="77777777" w:rsidR="00051D7E" w:rsidRPr="005F7BC7" w:rsidRDefault="00051D7E" w:rsidP="007531FB">
            <w:pPr>
              <w:rPr>
                <w:rFonts w:ascii="Calibri" w:eastAsia="Times New Roman" w:hAnsi="Calibri" w:cs="Calibri"/>
                <w:color w:val="0D0D0D"/>
              </w:rPr>
            </w:pPr>
            <w:r w:rsidRPr="005F7BC7">
              <w:rPr>
                <w:rFonts w:ascii="Calibri" w:eastAsia="Times New Roman" w:hAnsi="Calibri" w:cs="Calibri"/>
                <w:color w:val="0D0D0D"/>
              </w:rPr>
              <w:t>Total unearned revenue and deposits</w:t>
            </w:r>
          </w:p>
        </w:tc>
        <w:tc>
          <w:tcPr>
            <w:tcW w:w="1244" w:type="dxa"/>
            <w:tcBorders>
              <w:top w:val="single" w:sz="4" w:space="0" w:color="00688D"/>
              <w:left w:val="nil"/>
              <w:bottom w:val="double" w:sz="6" w:space="0" w:color="00688D"/>
              <w:right w:val="nil"/>
            </w:tcBorders>
            <w:shd w:val="clear" w:color="000000" w:fill="FFFFFF"/>
            <w:noWrap/>
            <w:vAlign w:val="bottom"/>
            <w:hideMark/>
          </w:tcPr>
          <w:p w14:paraId="5A8C7E82" w14:textId="77777777" w:rsidR="00051D7E" w:rsidRPr="00757763" w:rsidRDefault="00051D7E" w:rsidP="007531FB">
            <w:pPr>
              <w:jc w:val="right"/>
              <w:rPr>
                <w:rFonts w:ascii="Calibri" w:eastAsia="Times New Roman" w:hAnsi="Calibri" w:cs="Calibri"/>
              </w:rPr>
            </w:pPr>
            <w:r w:rsidRPr="00757763">
              <w:rPr>
                <w:rFonts w:ascii="Calibri" w:eastAsia="Times New Roman" w:hAnsi="Calibri" w:cs="Calibri"/>
              </w:rPr>
              <w:t>$      19,089</w:t>
            </w:r>
          </w:p>
        </w:tc>
        <w:tc>
          <w:tcPr>
            <w:tcW w:w="1244" w:type="dxa"/>
            <w:tcBorders>
              <w:top w:val="single" w:sz="4" w:space="0" w:color="00688D"/>
              <w:left w:val="nil"/>
              <w:bottom w:val="double" w:sz="6" w:space="0" w:color="00688D"/>
              <w:right w:val="nil"/>
            </w:tcBorders>
            <w:shd w:val="clear" w:color="auto" w:fill="D9D9D9" w:themeFill="background1" w:themeFillShade="D9"/>
            <w:noWrap/>
            <w:hideMark/>
          </w:tcPr>
          <w:p w14:paraId="5ADE1692" w14:textId="549A05E1" w:rsidR="00051D7E" w:rsidRPr="005F7BC7" w:rsidRDefault="00051D7E" w:rsidP="00F74DDB">
            <w:pPr>
              <w:jc w:val="right"/>
              <w:rPr>
                <w:rFonts w:ascii="Calibri" w:eastAsia="Times New Roman" w:hAnsi="Calibri" w:cs="Calibri"/>
                <w:color w:val="0D0D0D"/>
              </w:rPr>
            </w:pPr>
            <w:r w:rsidRPr="001028ED">
              <w:t>$      15,</w:t>
            </w:r>
            <w:r w:rsidR="00F74DDB" w:rsidRPr="001028ED">
              <w:t>4</w:t>
            </w:r>
            <w:r w:rsidR="00F74DDB">
              <w:t>64</w:t>
            </w:r>
          </w:p>
        </w:tc>
      </w:tr>
    </w:tbl>
    <w:p w14:paraId="566188C8" w14:textId="77777777" w:rsidR="00051D7E" w:rsidRPr="00F54559" w:rsidRDefault="00051D7E" w:rsidP="00051D7E">
      <w:pPr>
        <w:spacing w:before="240"/>
        <w:rPr>
          <w:rFonts w:cstheme="minorHAnsi"/>
          <w:sz w:val="24"/>
          <w:szCs w:val="24"/>
        </w:rPr>
      </w:pPr>
      <w:r w:rsidRPr="00F54559">
        <w:rPr>
          <w:rFonts w:cstheme="minorHAnsi"/>
          <w:sz w:val="24"/>
          <w:szCs w:val="24"/>
        </w:rPr>
        <w:t>The System recognizes grant and contract revenue to the extent that it has fulfilled the eligibility requirements (e.g., incurred allowable costs) of the grant or contract award.  Some awards pay the System in advance of the System fulfilling its obligations.  In such situations, the System reports the cash as an asset and the offset as unearned revenue and deposits, a current liability, in the Statements of Net Position (see unearned grant advances in the above table).</w:t>
      </w:r>
    </w:p>
    <w:p w14:paraId="76C93EC3" w14:textId="77777777" w:rsidR="00051D7E" w:rsidRPr="00F54559" w:rsidRDefault="00051D7E" w:rsidP="00051D7E">
      <w:pPr>
        <w:rPr>
          <w:rFonts w:cstheme="minorHAnsi"/>
          <w:sz w:val="24"/>
          <w:szCs w:val="24"/>
        </w:rPr>
      </w:pPr>
    </w:p>
    <w:p w14:paraId="2179C470" w14:textId="77777777" w:rsidR="00051D7E" w:rsidRPr="00F54559" w:rsidRDefault="00051D7E" w:rsidP="00051D7E">
      <w:pPr>
        <w:rPr>
          <w:rFonts w:cstheme="minorHAnsi"/>
          <w:sz w:val="24"/>
          <w:szCs w:val="24"/>
        </w:rPr>
      </w:pPr>
      <w:r w:rsidRPr="00F54559">
        <w:rPr>
          <w:rFonts w:cstheme="minorHAnsi"/>
          <w:sz w:val="24"/>
          <w:szCs w:val="24"/>
        </w:rPr>
        <w:t>The vast majority of grant and contract awards made to the System pay the funds to the System on a reimbursement basis.  To the extent that the System has eligible, unreimbursed expenses, it recognizes a grant receivable in the Statements of Net Position.  The System excludes from its financial statements the portion of an award not currently reimbursable because the System has not yet met the eligibility requirements.  As of June 30, 20</w:t>
      </w:r>
      <w:r>
        <w:rPr>
          <w:rFonts w:cstheme="minorHAnsi"/>
          <w:sz w:val="24"/>
          <w:szCs w:val="24"/>
        </w:rPr>
        <w:t>21</w:t>
      </w:r>
      <w:r w:rsidRPr="00F54559">
        <w:rPr>
          <w:rFonts w:cstheme="minorHAnsi"/>
          <w:sz w:val="24"/>
          <w:szCs w:val="24"/>
        </w:rPr>
        <w:t xml:space="preserve"> and 20</w:t>
      </w:r>
      <w:r>
        <w:rPr>
          <w:rFonts w:cstheme="minorHAnsi"/>
          <w:sz w:val="24"/>
          <w:szCs w:val="24"/>
        </w:rPr>
        <w:t>20</w:t>
      </w:r>
      <w:r w:rsidRPr="00F54559">
        <w:rPr>
          <w:rFonts w:cstheme="minorHAnsi"/>
          <w:sz w:val="24"/>
          <w:szCs w:val="24"/>
        </w:rPr>
        <w:t>, the portion of outstanding awards excluded from the financial statements totaled $</w:t>
      </w:r>
      <w:r>
        <w:rPr>
          <w:rFonts w:cstheme="minorHAnsi"/>
          <w:sz w:val="24"/>
          <w:szCs w:val="24"/>
        </w:rPr>
        <w:t>127,831</w:t>
      </w:r>
      <w:r w:rsidRPr="003B4566">
        <w:rPr>
          <w:rFonts w:cstheme="minorHAnsi"/>
          <w:sz w:val="24"/>
          <w:szCs w:val="24"/>
        </w:rPr>
        <w:t xml:space="preserve"> </w:t>
      </w:r>
      <w:r w:rsidRPr="00F54559">
        <w:rPr>
          <w:rFonts w:cstheme="minorHAnsi"/>
          <w:sz w:val="24"/>
          <w:szCs w:val="24"/>
        </w:rPr>
        <w:t>and $</w:t>
      </w:r>
      <w:r>
        <w:rPr>
          <w:rFonts w:cstheme="minorHAnsi"/>
          <w:sz w:val="24"/>
          <w:szCs w:val="24"/>
        </w:rPr>
        <w:t>66,118</w:t>
      </w:r>
      <w:r w:rsidRPr="00F54559">
        <w:rPr>
          <w:rFonts w:cstheme="minorHAnsi"/>
          <w:sz w:val="24"/>
          <w:szCs w:val="24"/>
        </w:rPr>
        <w:t>, respectively.</w:t>
      </w:r>
    </w:p>
    <w:p w14:paraId="5771D16E" w14:textId="77777777" w:rsidR="00051D7E" w:rsidRPr="00F54559" w:rsidRDefault="00051D7E" w:rsidP="00051D7E">
      <w:pPr>
        <w:pStyle w:val="AFR2"/>
        <w:rPr>
          <w:rFonts w:cstheme="minorHAnsi"/>
          <w:sz w:val="26"/>
          <w:szCs w:val="26"/>
        </w:rPr>
      </w:pPr>
      <w:r w:rsidRPr="00F54559">
        <w:rPr>
          <w:rFonts w:cstheme="minorHAnsi"/>
          <w:sz w:val="26"/>
          <w:szCs w:val="26"/>
        </w:rPr>
        <w:t>9. GOVERNMENT ADVANCES REFUNDABLE</w:t>
      </w:r>
    </w:p>
    <w:p w14:paraId="447C5382" w14:textId="1B52EB33" w:rsidR="00051D7E" w:rsidRPr="00F54559" w:rsidRDefault="00051D7E" w:rsidP="00051D7E">
      <w:pPr>
        <w:tabs>
          <w:tab w:val="left" w:pos="720"/>
          <w:tab w:val="left" w:pos="1022"/>
          <w:tab w:val="left" w:pos="1440"/>
          <w:tab w:val="center" w:pos="3960"/>
          <w:tab w:val="right" w:pos="5220"/>
          <w:tab w:val="right" w:pos="6691"/>
          <w:tab w:val="right" w:pos="7621"/>
          <w:tab w:val="right" w:pos="9187"/>
        </w:tabs>
        <w:suppressAutoHyphens/>
        <w:rPr>
          <w:rFonts w:eastAsiaTheme="majorEastAsia" w:cstheme="minorHAnsi"/>
          <w:b/>
          <w:i/>
          <w:iCs/>
          <w:smallCaps/>
          <w:noProof/>
          <w:color w:val="000000" w:themeColor="text1"/>
          <w:sz w:val="28"/>
          <w:szCs w:val="28"/>
          <w:u w:color="5B9BD5"/>
        </w:rPr>
      </w:pPr>
      <w:r w:rsidRPr="00F54559">
        <w:rPr>
          <w:rFonts w:cstheme="minorHAnsi"/>
          <w:bCs/>
          <w:spacing w:val="-3"/>
          <w:sz w:val="24"/>
        </w:rPr>
        <w:t xml:space="preserve">The System participates in the Federal Perkins Loan and Nursing Loan Programs.  These programs are funded through a combination of </w:t>
      </w:r>
      <w:r w:rsidR="00F74DDB">
        <w:rPr>
          <w:rFonts w:cstheme="minorHAnsi"/>
          <w:bCs/>
          <w:spacing w:val="-3"/>
          <w:sz w:val="24"/>
        </w:rPr>
        <w:t>f</w:t>
      </w:r>
      <w:r w:rsidR="00F74DDB" w:rsidRPr="00F54559">
        <w:rPr>
          <w:rFonts w:cstheme="minorHAnsi"/>
          <w:bCs/>
          <w:spacing w:val="-3"/>
          <w:sz w:val="24"/>
        </w:rPr>
        <w:t xml:space="preserve">ederal </w:t>
      </w:r>
      <w:r w:rsidRPr="00F54559">
        <w:rPr>
          <w:rFonts w:cstheme="minorHAnsi"/>
          <w:bCs/>
          <w:spacing w:val="-3"/>
          <w:sz w:val="24"/>
        </w:rPr>
        <w:t xml:space="preserve">and </w:t>
      </w:r>
      <w:r w:rsidR="00F74DDB">
        <w:rPr>
          <w:rFonts w:cstheme="minorHAnsi"/>
          <w:bCs/>
          <w:spacing w:val="-3"/>
          <w:sz w:val="24"/>
        </w:rPr>
        <w:t>i</w:t>
      </w:r>
      <w:r w:rsidR="00F74DDB" w:rsidRPr="00F54559">
        <w:rPr>
          <w:rFonts w:cstheme="minorHAnsi"/>
          <w:bCs/>
          <w:spacing w:val="-3"/>
          <w:sz w:val="24"/>
        </w:rPr>
        <w:t xml:space="preserve">nstitutional </w:t>
      </w:r>
      <w:r w:rsidRPr="00F54559">
        <w:rPr>
          <w:rFonts w:cstheme="minorHAnsi"/>
          <w:bCs/>
          <w:spacing w:val="-3"/>
          <w:sz w:val="24"/>
        </w:rPr>
        <w:t xml:space="preserve">resources.  The portion of these programs that has been funded with </w:t>
      </w:r>
      <w:r w:rsidR="00F74DDB">
        <w:rPr>
          <w:rFonts w:cstheme="minorHAnsi"/>
          <w:bCs/>
          <w:spacing w:val="-3"/>
          <w:sz w:val="24"/>
        </w:rPr>
        <w:t>f</w:t>
      </w:r>
      <w:r w:rsidR="00F74DDB" w:rsidRPr="00F54559">
        <w:rPr>
          <w:rFonts w:cstheme="minorHAnsi"/>
          <w:bCs/>
          <w:spacing w:val="-3"/>
          <w:sz w:val="24"/>
        </w:rPr>
        <w:t xml:space="preserve">ederal </w:t>
      </w:r>
      <w:r w:rsidRPr="00F54559">
        <w:rPr>
          <w:rFonts w:cstheme="minorHAnsi"/>
          <w:bCs/>
          <w:spacing w:val="-3"/>
          <w:sz w:val="24"/>
        </w:rPr>
        <w:t>funds is ultimately refundable to the U.S. Government upon the termination of the System’s participation in the programs.  The portion that would be refundable if the programs were terminated as of June 30, 20</w:t>
      </w:r>
      <w:r>
        <w:rPr>
          <w:rFonts w:cstheme="minorHAnsi"/>
          <w:bCs/>
          <w:spacing w:val="-3"/>
          <w:sz w:val="24"/>
        </w:rPr>
        <w:t>21</w:t>
      </w:r>
      <w:r w:rsidRPr="00F54559">
        <w:rPr>
          <w:rFonts w:cstheme="minorHAnsi"/>
          <w:bCs/>
          <w:spacing w:val="-3"/>
          <w:sz w:val="24"/>
        </w:rPr>
        <w:t xml:space="preserve"> and 20</w:t>
      </w:r>
      <w:r>
        <w:rPr>
          <w:rFonts w:cstheme="minorHAnsi"/>
          <w:bCs/>
          <w:spacing w:val="-3"/>
          <w:sz w:val="24"/>
        </w:rPr>
        <w:t>20</w:t>
      </w:r>
      <w:r w:rsidRPr="00F54559">
        <w:rPr>
          <w:rFonts w:cstheme="minorHAnsi"/>
          <w:bCs/>
          <w:spacing w:val="-3"/>
          <w:sz w:val="24"/>
        </w:rPr>
        <w:t xml:space="preserve"> has been included in the accompanying Statements of Net Position as a noncurrent liability.</w:t>
      </w:r>
      <w:r w:rsidRPr="00F54559">
        <w:rPr>
          <w:rFonts w:cstheme="minorHAnsi"/>
        </w:rPr>
        <w:br w:type="page"/>
      </w:r>
    </w:p>
    <w:p w14:paraId="709C874D" w14:textId="77777777" w:rsidR="00051D7E" w:rsidRPr="00994168" w:rsidRDefault="00051D7E" w:rsidP="00051D7E">
      <w:pPr>
        <w:pStyle w:val="AFR2"/>
        <w:rPr>
          <w:rFonts w:cstheme="minorHAnsi"/>
          <w:color w:val="auto"/>
          <w:sz w:val="26"/>
          <w:szCs w:val="26"/>
        </w:rPr>
      </w:pPr>
      <w:r w:rsidRPr="00994168">
        <w:rPr>
          <w:rFonts w:cstheme="minorHAnsi"/>
          <w:color w:val="auto"/>
          <w:sz w:val="26"/>
          <w:szCs w:val="26"/>
        </w:rPr>
        <w:lastRenderedPageBreak/>
        <w:t>10. NET POSITION</w:t>
      </w:r>
    </w:p>
    <w:p w14:paraId="3FFF9673" w14:textId="77777777" w:rsidR="00051D7E" w:rsidRPr="00F54559" w:rsidRDefault="00051D7E" w:rsidP="00F74DDB">
      <w:pPr>
        <w:tabs>
          <w:tab w:val="left" w:pos="720"/>
          <w:tab w:val="left" w:pos="1022"/>
          <w:tab w:val="left" w:pos="1440"/>
          <w:tab w:val="center" w:pos="3960"/>
          <w:tab w:val="right" w:pos="5220"/>
          <w:tab w:val="right" w:pos="6691"/>
          <w:tab w:val="right" w:pos="7621"/>
          <w:tab w:val="right" w:pos="9187"/>
        </w:tabs>
        <w:suppressAutoHyphens/>
        <w:spacing w:after="240"/>
        <w:rPr>
          <w:rFonts w:eastAsia="Times New Roman" w:cstheme="minorHAnsi"/>
          <w:b/>
          <w:bCs/>
          <w:i/>
          <w:iCs/>
          <w:smallCaps/>
          <w:spacing w:val="-3"/>
          <w:sz w:val="24"/>
          <w:szCs w:val="24"/>
        </w:rPr>
      </w:pPr>
      <w:r w:rsidRPr="00F54559">
        <w:rPr>
          <w:rFonts w:eastAsia="Times New Roman" w:cstheme="minorHAnsi"/>
          <w:bCs/>
          <w:spacing w:val="-3"/>
          <w:sz w:val="24"/>
          <w:szCs w:val="24"/>
        </w:rPr>
        <w:t>The System’s net position is composed of the following as of June 30:</w:t>
      </w:r>
      <w:r>
        <w:rPr>
          <w:rFonts w:eastAsia="Times New Roman" w:cstheme="minorHAnsi"/>
          <w:bCs/>
          <w:spacing w:val="-3"/>
          <w:sz w:val="24"/>
          <w:szCs w:val="24"/>
        </w:rPr>
        <w:t xml:space="preserve"> </w:t>
      </w:r>
      <w:r>
        <w:rPr>
          <w:rFonts w:eastAsia="Times New Roman" w:cstheme="minorHAnsi"/>
          <w:b/>
          <w:bCs/>
          <w:i/>
          <w:iCs/>
          <w:smallCaps/>
          <w:spacing w:val="-3"/>
          <w:sz w:val="24"/>
          <w:szCs w:val="24"/>
        </w:rPr>
        <w:fldChar w:fldCharType="begin"/>
      </w:r>
      <w:r>
        <w:rPr>
          <w:rFonts w:eastAsia="Times New Roman" w:cstheme="minorHAnsi"/>
          <w:b/>
          <w:bCs/>
          <w:i/>
          <w:iCs/>
          <w:smallCaps/>
          <w:spacing w:val="-3"/>
          <w:sz w:val="24"/>
          <w:szCs w:val="24"/>
        </w:rPr>
        <w:fldChar w:fldCharType="end"/>
      </w:r>
    </w:p>
    <w:tbl>
      <w:tblPr>
        <w:tblW w:w="8820" w:type="dxa"/>
        <w:jc w:val="center"/>
        <w:tblLook w:val="04A0" w:firstRow="1" w:lastRow="0" w:firstColumn="1" w:lastColumn="0" w:noHBand="0" w:noVBand="1"/>
      </w:tblPr>
      <w:tblGrid>
        <w:gridCol w:w="6047"/>
        <w:gridCol w:w="1423"/>
        <w:gridCol w:w="1350"/>
      </w:tblGrid>
      <w:tr w:rsidR="00051D7E" w:rsidRPr="005F7BC7" w14:paraId="19D080B6" w14:textId="77777777" w:rsidTr="000544FC">
        <w:trPr>
          <w:trHeight w:val="300"/>
          <w:tblHeader/>
          <w:jc w:val="center"/>
        </w:trPr>
        <w:tc>
          <w:tcPr>
            <w:tcW w:w="6047" w:type="dxa"/>
            <w:tcBorders>
              <w:top w:val="nil"/>
              <w:left w:val="nil"/>
              <w:bottom w:val="single" w:sz="12" w:space="0" w:color="00688D"/>
              <w:right w:val="nil"/>
            </w:tcBorders>
            <w:shd w:val="clear" w:color="000000" w:fill="FFFFFF"/>
            <w:noWrap/>
            <w:vAlign w:val="bottom"/>
            <w:hideMark/>
          </w:tcPr>
          <w:p w14:paraId="4B3B8ED2" w14:textId="77777777" w:rsidR="00051D7E" w:rsidRPr="001A18A6" w:rsidRDefault="00051D7E" w:rsidP="007531FB">
            <w:pPr>
              <w:rPr>
                <w:rFonts w:eastAsia="Times New Roman" w:cstheme="minorHAnsi"/>
                <w:b/>
                <w:bCs/>
                <w:color w:val="0D0D0D"/>
                <w:szCs w:val="24"/>
              </w:rPr>
            </w:pPr>
            <w:r w:rsidRPr="001A18A6">
              <w:rPr>
                <w:rFonts w:eastAsia="Times New Roman" w:cstheme="minorHAnsi"/>
                <w:b/>
                <w:bCs/>
                <w:color w:val="0D0D0D"/>
                <w:szCs w:val="24"/>
              </w:rPr>
              <w:t> </w:t>
            </w:r>
          </w:p>
        </w:tc>
        <w:tc>
          <w:tcPr>
            <w:tcW w:w="1423" w:type="dxa"/>
            <w:tcBorders>
              <w:top w:val="nil"/>
              <w:left w:val="nil"/>
              <w:bottom w:val="single" w:sz="12" w:space="0" w:color="00688D"/>
              <w:right w:val="nil"/>
            </w:tcBorders>
            <w:shd w:val="clear" w:color="000000" w:fill="FFFFFF"/>
            <w:noWrap/>
            <w:vAlign w:val="bottom"/>
            <w:hideMark/>
          </w:tcPr>
          <w:p w14:paraId="46E2EE59" w14:textId="77777777" w:rsidR="00051D7E" w:rsidRPr="001A18A6" w:rsidRDefault="00051D7E" w:rsidP="007531FB">
            <w:pPr>
              <w:jc w:val="center"/>
              <w:rPr>
                <w:rFonts w:eastAsia="Times New Roman" w:cstheme="minorHAnsi"/>
                <w:b/>
                <w:bCs/>
                <w:color w:val="0D0D0D"/>
                <w:szCs w:val="24"/>
              </w:rPr>
            </w:pPr>
            <w:r w:rsidRPr="001A18A6">
              <w:rPr>
                <w:rFonts w:eastAsia="Times New Roman" w:cstheme="minorHAnsi"/>
                <w:b/>
                <w:bCs/>
                <w:color w:val="0D0D0D"/>
                <w:szCs w:val="24"/>
              </w:rPr>
              <w:t>202</w:t>
            </w:r>
            <w:r>
              <w:rPr>
                <w:rFonts w:eastAsia="Times New Roman" w:cstheme="minorHAnsi"/>
                <w:b/>
                <w:bCs/>
                <w:color w:val="0D0D0D"/>
                <w:szCs w:val="24"/>
              </w:rPr>
              <w:t>1</w:t>
            </w:r>
          </w:p>
        </w:tc>
        <w:tc>
          <w:tcPr>
            <w:tcW w:w="1350" w:type="dxa"/>
            <w:tcBorders>
              <w:top w:val="nil"/>
              <w:left w:val="nil"/>
              <w:bottom w:val="single" w:sz="12" w:space="0" w:color="00688D"/>
              <w:right w:val="nil"/>
            </w:tcBorders>
            <w:shd w:val="clear" w:color="auto" w:fill="D9D9D9" w:themeFill="background1" w:themeFillShade="D9"/>
            <w:noWrap/>
            <w:vAlign w:val="bottom"/>
            <w:hideMark/>
          </w:tcPr>
          <w:p w14:paraId="0ADEA0EE" w14:textId="77777777" w:rsidR="00051D7E" w:rsidRPr="001A18A6" w:rsidRDefault="00051D7E" w:rsidP="007531FB">
            <w:pPr>
              <w:jc w:val="center"/>
              <w:rPr>
                <w:rFonts w:eastAsia="Times New Roman" w:cstheme="minorHAnsi"/>
                <w:b/>
                <w:bCs/>
                <w:color w:val="0D0D0D"/>
                <w:szCs w:val="24"/>
              </w:rPr>
            </w:pPr>
            <w:r>
              <w:rPr>
                <w:rFonts w:eastAsia="Times New Roman" w:cstheme="minorHAnsi"/>
                <w:b/>
                <w:bCs/>
                <w:color w:val="0D0D0D"/>
                <w:szCs w:val="24"/>
              </w:rPr>
              <w:t>2020</w:t>
            </w:r>
          </w:p>
        </w:tc>
      </w:tr>
      <w:tr w:rsidR="00051D7E" w:rsidRPr="005F7BC7" w14:paraId="417B9008" w14:textId="77777777" w:rsidTr="000544FC">
        <w:trPr>
          <w:trHeight w:val="390"/>
          <w:jc w:val="center"/>
        </w:trPr>
        <w:tc>
          <w:tcPr>
            <w:tcW w:w="6047" w:type="dxa"/>
            <w:tcBorders>
              <w:top w:val="nil"/>
              <w:left w:val="nil"/>
              <w:bottom w:val="single" w:sz="4" w:space="0" w:color="00688D"/>
              <w:right w:val="nil"/>
            </w:tcBorders>
            <w:shd w:val="clear" w:color="000000" w:fill="FFFFFF"/>
            <w:noWrap/>
            <w:vAlign w:val="bottom"/>
            <w:hideMark/>
          </w:tcPr>
          <w:p w14:paraId="6EE68D12" w14:textId="77777777" w:rsidR="00051D7E" w:rsidRPr="001A18A6" w:rsidRDefault="00051D7E" w:rsidP="007531FB">
            <w:pPr>
              <w:rPr>
                <w:rFonts w:eastAsia="Times New Roman" w:cstheme="minorHAnsi"/>
                <w:color w:val="0D0D0D"/>
                <w:szCs w:val="24"/>
              </w:rPr>
            </w:pPr>
            <w:r w:rsidRPr="001A18A6">
              <w:rPr>
                <w:rFonts w:eastAsia="Times New Roman" w:cstheme="minorHAnsi"/>
                <w:color w:val="0D0D0D"/>
                <w:szCs w:val="24"/>
              </w:rPr>
              <w:t>Net investment in capital assets</w:t>
            </w:r>
          </w:p>
        </w:tc>
        <w:tc>
          <w:tcPr>
            <w:tcW w:w="1423" w:type="dxa"/>
            <w:tcBorders>
              <w:top w:val="nil"/>
              <w:left w:val="nil"/>
              <w:bottom w:val="single" w:sz="4" w:space="0" w:color="00688D"/>
              <w:right w:val="nil"/>
            </w:tcBorders>
            <w:shd w:val="clear" w:color="000000" w:fill="FFFFFF"/>
            <w:noWrap/>
            <w:vAlign w:val="bottom"/>
            <w:hideMark/>
          </w:tcPr>
          <w:p w14:paraId="1DBEEC45" w14:textId="76746CEB"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 xml:space="preserve">$   </w:t>
            </w:r>
            <w:r>
              <w:rPr>
                <w:rFonts w:eastAsia="Times New Roman" w:cstheme="minorHAnsi"/>
                <w:color w:val="0D0D0D"/>
                <w:szCs w:val="24"/>
              </w:rPr>
              <w:t>549,870</w:t>
            </w:r>
          </w:p>
        </w:tc>
        <w:tc>
          <w:tcPr>
            <w:tcW w:w="1350" w:type="dxa"/>
            <w:tcBorders>
              <w:top w:val="nil"/>
              <w:left w:val="nil"/>
              <w:bottom w:val="single" w:sz="4" w:space="0" w:color="00688D"/>
              <w:right w:val="nil"/>
            </w:tcBorders>
            <w:shd w:val="clear" w:color="auto" w:fill="D9D9D9" w:themeFill="background1" w:themeFillShade="D9"/>
            <w:noWrap/>
            <w:vAlign w:val="bottom"/>
            <w:hideMark/>
          </w:tcPr>
          <w:p w14:paraId="407AC8F1" w14:textId="0DAEDDC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   547,323</w:t>
            </w:r>
          </w:p>
        </w:tc>
      </w:tr>
      <w:tr w:rsidR="00051D7E" w:rsidRPr="005F7BC7" w14:paraId="031634B3"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3C514B83" w14:textId="77777777" w:rsidR="00051D7E" w:rsidRPr="001A18A6" w:rsidRDefault="00051D7E" w:rsidP="007531FB">
            <w:pPr>
              <w:rPr>
                <w:rFonts w:eastAsia="Times New Roman" w:cstheme="minorHAnsi"/>
                <w:color w:val="0D0D0D"/>
                <w:szCs w:val="24"/>
              </w:rPr>
            </w:pPr>
            <w:r w:rsidRPr="001A18A6">
              <w:rPr>
                <w:rFonts w:eastAsia="Times New Roman" w:cstheme="minorHAnsi"/>
                <w:color w:val="0D0D0D"/>
                <w:szCs w:val="24"/>
              </w:rPr>
              <w:t>Restricted - Nonexpendable:</w:t>
            </w:r>
          </w:p>
        </w:tc>
        <w:tc>
          <w:tcPr>
            <w:tcW w:w="1423" w:type="dxa"/>
            <w:tcBorders>
              <w:top w:val="nil"/>
              <w:left w:val="nil"/>
              <w:bottom w:val="nil"/>
              <w:right w:val="nil"/>
            </w:tcBorders>
            <w:shd w:val="clear" w:color="000000" w:fill="FFFFFF"/>
            <w:noWrap/>
            <w:vAlign w:val="bottom"/>
            <w:hideMark/>
          </w:tcPr>
          <w:p w14:paraId="15CABACE"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 </w:t>
            </w:r>
          </w:p>
        </w:tc>
        <w:tc>
          <w:tcPr>
            <w:tcW w:w="1350" w:type="dxa"/>
            <w:tcBorders>
              <w:top w:val="nil"/>
              <w:left w:val="nil"/>
              <w:bottom w:val="nil"/>
              <w:right w:val="nil"/>
            </w:tcBorders>
            <w:shd w:val="clear" w:color="auto" w:fill="D9D9D9" w:themeFill="background1" w:themeFillShade="D9"/>
            <w:noWrap/>
            <w:vAlign w:val="bottom"/>
            <w:hideMark/>
          </w:tcPr>
          <w:p w14:paraId="1D6D3EFD"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 </w:t>
            </w:r>
          </w:p>
        </w:tc>
      </w:tr>
      <w:tr w:rsidR="00051D7E" w:rsidRPr="005F7BC7" w14:paraId="72187A31" w14:textId="77777777" w:rsidTr="000544FC">
        <w:trPr>
          <w:trHeight w:val="288"/>
          <w:jc w:val="center"/>
        </w:trPr>
        <w:tc>
          <w:tcPr>
            <w:tcW w:w="6047" w:type="dxa"/>
            <w:tcBorders>
              <w:top w:val="nil"/>
              <w:left w:val="nil"/>
              <w:bottom w:val="single" w:sz="4" w:space="0" w:color="00688D"/>
              <w:right w:val="nil"/>
            </w:tcBorders>
            <w:shd w:val="clear" w:color="000000" w:fill="FFFFFF"/>
            <w:noWrap/>
            <w:vAlign w:val="bottom"/>
            <w:hideMark/>
          </w:tcPr>
          <w:p w14:paraId="05F060C4"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Endowment funds</w:t>
            </w:r>
          </w:p>
        </w:tc>
        <w:tc>
          <w:tcPr>
            <w:tcW w:w="1423" w:type="dxa"/>
            <w:tcBorders>
              <w:top w:val="nil"/>
              <w:left w:val="nil"/>
              <w:bottom w:val="single" w:sz="4" w:space="0" w:color="00688D"/>
              <w:right w:val="nil"/>
            </w:tcBorders>
            <w:shd w:val="clear" w:color="000000" w:fill="FFFFFF"/>
            <w:noWrap/>
            <w:vAlign w:val="bottom"/>
            <w:hideMark/>
          </w:tcPr>
          <w:p w14:paraId="71BCF959" w14:textId="77777777" w:rsidR="00051D7E" w:rsidRPr="001A18A6" w:rsidRDefault="00051D7E" w:rsidP="007531FB">
            <w:pPr>
              <w:jc w:val="right"/>
              <w:rPr>
                <w:rFonts w:eastAsia="Times New Roman" w:cstheme="minorHAnsi"/>
                <w:color w:val="0D0D0D"/>
                <w:szCs w:val="24"/>
              </w:rPr>
            </w:pPr>
            <w:r>
              <w:rPr>
                <w:rFonts w:eastAsia="Times New Roman" w:cstheme="minorHAnsi"/>
                <w:color w:val="0D0D0D"/>
                <w:szCs w:val="24"/>
              </w:rPr>
              <w:t>69,149</w:t>
            </w:r>
          </w:p>
        </w:tc>
        <w:tc>
          <w:tcPr>
            <w:tcW w:w="1350" w:type="dxa"/>
            <w:tcBorders>
              <w:top w:val="nil"/>
              <w:left w:val="nil"/>
              <w:bottom w:val="single" w:sz="4" w:space="0" w:color="00688D"/>
              <w:right w:val="nil"/>
            </w:tcBorders>
            <w:shd w:val="clear" w:color="auto" w:fill="D9D9D9" w:themeFill="background1" w:themeFillShade="D9"/>
            <w:noWrap/>
            <w:vAlign w:val="bottom"/>
            <w:hideMark/>
          </w:tcPr>
          <w:p w14:paraId="79B6BA5D" w14:textId="77777777" w:rsidR="00051D7E" w:rsidRPr="001A18A6" w:rsidRDefault="00051D7E" w:rsidP="007531FB">
            <w:pPr>
              <w:jc w:val="right"/>
              <w:rPr>
                <w:rFonts w:eastAsia="Times New Roman" w:cstheme="minorHAnsi"/>
                <w:color w:val="0D0D0D"/>
                <w:szCs w:val="24"/>
              </w:rPr>
            </w:pPr>
            <w:r>
              <w:rPr>
                <w:rFonts w:eastAsia="Times New Roman" w:cstheme="minorHAnsi"/>
                <w:color w:val="0D0D0D"/>
                <w:szCs w:val="24"/>
              </w:rPr>
              <w:t>66,656</w:t>
            </w:r>
          </w:p>
        </w:tc>
      </w:tr>
      <w:tr w:rsidR="00051D7E" w:rsidRPr="005F7BC7" w14:paraId="58FE74F7"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3014A61C" w14:textId="77777777" w:rsidR="00051D7E" w:rsidRPr="001A18A6" w:rsidRDefault="00051D7E" w:rsidP="007531FB">
            <w:pPr>
              <w:rPr>
                <w:rFonts w:eastAsia="Times New Roman" w:cstheme="minorHAnsi"/>
                <w:color w:val="0D0D0D"/>
                <w:szCs w:val="24"/>
              </w:rPr>
            </w:pPr>
            <w:r w:rsidRPr="001A18A6">
              <w:rPr>
                <w:rFonts w:eastAsia="Times New Roman" w:cstheme="minorHAnsi"/>
                <w:color w:val="0D0D0D"/>
                <w:szCs w:val="24"/>
              </w:rPr>
              <w:t>Restricted - Expendable:</w:t>
            </w:r>
          </w:p>
        </w:tc>
        <w:tc>
          <w:tcPr>
            <w:tcW w:w="1423" w:type="dxa"/>
            <w:tcBorders>
              <w:top w:val="nil"/>
              <w:left w:val="nil"/>
              <w:bottom w:val="nil"/>
              <w:right w:val="nil"/>
            </w:tcBorders>
            <w:shd w:val="clear" w:color="000000" w:fill="FFFFFF"/>
            <w:noWrap/>
            <w:vAlign w:val="bottom"/>
            <w:hideMark/>
          </w:tcPr>
          <w:p w14:paraId="233540D6"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 </w:t>
            </w:r>
          </w:p>
        </w:tc>
        <w:tc>
          <w:tcPr>
            <w:tcW w:w="1350" w:type="dxa"/>
            <w:tcBorders>
              <w:top w:val="nil"/>
              <w:left w:val="nil"/>
              <w:bottom w:val="nil"/>
              <w:right w:val="nil"/>
            </w:tcBorders>
            <w:shd w:val="clear" w:color="auto" w:fill="D9D9D9" w:themeFill="background1" w:themeFillShade="D9"/>
            <w:noWrap/>
            <w:vAlign w:val="bottom"/>
            <w:hideMark/>
          </w:tcPr>
          <w:p w14:paraId="4D052237"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 </w:t>
            </w:r>
          </w:p>
        </w:tc>
      </w:tr>
      <w:tr w:rsidR="00051D7E" w:rsidRPr="005F7BC7" w14:paraId="117E0EA5"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34DA1188"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Student financial aid</w:t>
            </w:r>
          </w:p>
        </w:tc>
        <w:tc>
          <w:tcPr>
            <w:tcW w:w="1423" w:type="dxa"/>
            <w:tcBorders>
              <w:top w:val="nil"/>
              <w:left w:val="nil"/>
              <w:bottom w:val="nil"/>
              <w:right w:val="nil"/>
            </w:tcBorders>
            <w:shd w:val="clear" w:color="000000" w:fill="FFFFFF"/>
            <w:noWrap/>
            <w:vAlign w:val="bottom"/>
            <w:hideMark/>
          </w:tcPr>
          <w:p w14:paraId="2CDF542A" w14:textId="62EC2845" w:rsidR="00051D7E" w:rsidRPr="001A18A6" w:rsidRDefault="00051D7E" w:rsidP="007531FB">
            <w:pPr>
              <w:jc w:val="right"/>
              <w:rPr>
                <w:rFonts w:eastAsia="Times New Roman" w:cstheme="minorHAnsi"/>
                <w:color w:val="0D0D0D"/>
                <w:szCs w:val="24"/>
              </w:rPr>
            </w:pPr>
            <w:r>
              <w:rPr>
                <w:rFonts w:ascii="Calibri" w:hAnsi="Calibri" w:cs="Calibri"/>
              </w:rPr>
              <w:t xml:space="preserve">63,081 </w:t>
            </w:r>
          </w:p>
        </w:tc>
        <w:tc>
          <w:tcPr>
            <w:tcW w:w="1350" w:type="dxa"/>
            <w:tcBorders>
              <w:top w:val="nil"/>
              <w:left w:val="nil"/>
              <w:bottom w:val="nil"/>
              <w:right w:val="nil"/>
            </w:tcBorders>
            <w:shd w:val="clear" w:color="auto" w:fill="D9D9D9" w:themeFill="background1" w:themeFillShade="D9"/>
            <w:noWrap/>
            <w:vAlign w:val="bottom"/>
            <w:hideMark/>
          </w:tcPr>
          <w:p w14:paraId="0EACAD39"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47,441</w:t>
            </w:r>
          </w:p>
        </w:tc>
      </w:tr>
      <w:tr w:rsidR="00051D7E" w:rsidRPr="005F7BC7" w14:paraId="15593D02"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2C04867E"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Capital assets and retirement of debt</w:t>
            </w:r>
          </w:p>
        </w:tc>
        <w:tc>
          <w:tcPr>
            <w:tcW w:w="1423" w:type="dxa"/>
            <w:tcBorders>
              <w:top w:val="nil"/>
              <w:left w:val="nil"/>
              <w:bottom w:val="nil"/>
              <w:right w:val="nil"/>
            </w:tcBorders>
            <w:shd w:val="clear" w:color="000000" w:fill="FFFFFF"/>
            <w:noWrap/>
            <w:vAlign w:val="bottom"/>
            <w:hideMark/>
          </w:tcPr>
          <w:p w14:paraId="44A84C3E" w14:textId="18D1D0F6" w:rsidR="00051D7E" w:rsidRPr="001A18A6" w:rsidRDefault="00051D7E" w:rsidP="007531FB">
            <w:pPr>
              <w:jc w:val="right"/>
              <w:rPr>
                <w:rFonts w:eastAsia="Times New Roman" w:cstheme="minorHAnsi"/>
                <w:color w:val="0D0D0D"/>
                <w:szCs w:val="24"/>
              </w:rPr>
            </w:pPr>
            <w:r>
              <w:rPr>
                <w:rFonts w:ascii="Calibri" w:hAnsi="Calibri" w:cs="Calibri"/>
              </w:rPr>
              <w:t xml:space="preserve">1,340 </w:t>
            </w:r>
          </w:p>
        </w:tc>
        <w:tc>
          <w:tcPr>
            <w:tcW w:w="1350" w:type="dxa"/>
            <w:tcBorders>
              <w:top w:val="nil"/>
              <w:left w:val="nil"/>
              <w:bottom w:val="nil"/>
              <w:right w:val="nil"/>
            </w:tcBorders>
            <w:shd w:val="clear" w:color="auto" w:fill="D9D9D9" w:themeFill="background1" w:themeFillShade="D9"/>
            <w:noWrap/>
            <w:vAlign w:val="bottom"/>
            <w:hideMark/>
          </w:tcPr>
          <w:p w14:paraId="0781B068"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1,873</w:t>
            </w:r>
          </w:p>
        </w:tc>
      </w:tr>
      <w:tr w:rsidR="00051D7E" w:rsidRPr="005F7BC7" w14:paraId="38DFAC08"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1B86242F"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Loans</w:t>
            </w:r>
          </w:p>
        </w:tc>
        <w:tc>
          <w:tcPr>
            <w:tcW w:w="1423" w:type="dxa"/>
            <w:tcBorders>
              <w:top w:val="nil"/>
              <w:left w:val="nil"/>
              <w:bottom w:val="nil"/>
              <w:right w:val="nil"/>
            </w:tcBorders>
            <w:shd w:val="clear" w:color="000000" w:fill="FFFFFF"/>
            <w:noWrap/>
            <w:vAlign w:val="bottom"/>
            <w:hideMark/>
          </w:tcPr>
          <w:p w14:paraId="0426EA3B" w14:textId="59490578" w:rsidR="00051D7E" w:rsidRPr="001A18A6" w:rsidRDefault="00051D7E" w:rsidP="007531FB">
            <w:pPr>
              <w:jc w:val="right"/>
              <w:rPr>
                <w:rFonts w:eastAsia="Times New Roman" w:cstheme="minorHAnsi"/>
                <w:color w:val="0D0D0D"/>
                <w:szCs w:val="24"/>
              </w:rPr>
            </w:pPr>
            <w:r>
              <w:rPr>
                <w:rFonts w:ascii="Calibri" w:hAnsi="Calibri" w:cs="Calibri"/>
              </w:rPr>
              <w:t xml:space="preserve">17,391 </w:t>
            </w:r>
          </w:p>
        </w:tc>
        <w:tc>
          <w:tcPr>
            <w:tcW w:w="1350" w:type="dxa"/>
            <w:tcBorders>
              <w:top w:val="nil"/>
              <w:left w:val="nil"/>
              <w:bottom w:val="nil"/>
              <w:right w:val="nil"/>
            </w:tcBorders>
            <w:shd w:val="clear" w:color="auto" w:fill="D9D9D9" w:themeFill="background1" w:themeFillShade="D9"/>
            <w:noWrap/>
            <w:vAlign w:val="bottom"/>
            <w:hideMark/>
          </w:tcPr>
          <w:p w14:paraId="63F49407"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17,059</w:t>
            </w:r>
          </w:p>
        </w:tc>
      </w:tr>
      <w:tr w:rsidR="00051D7E" w:rsidRPr="005F7BC7" w14:paraId="4B9138B2"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77D7806D"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Academic support</w:t>
            </w:r>
          </w:p>
        </w:tc>
        <w:tc>
          <w:tcPr>
            <w:tcW w:w="1423" w:type="dxa"/>
            <w:tcBorders>
              <w:top w:val="nil"/>
              <w:left w:val="nil"/>
              <w:bottom w:val="nil"/>
              <w:right w:val="nil"/>
            </w:tcBorders>
            <w:shd w:val="clear" w:color="000000" w:fill="FFFFFF"/>
            <w:noWrap/>
            <w:vAlign w:val="bottom"/>
            <w:hideMark/>
          </w:tcPr>
          <w:p w14:paraId="2166C76A" w14:textId="6163B51E" w:rsidR="00051D7E" w:rsidRPr="001A18A6" w:rsidRDefault="00051D7E" w:rsidP="007531FB">
            <w:pPr>
              <w:jc w:val="right"/>
              <w:rPr>
                <w:rFonts w:eastAsia="Times New Roman" w:cstheme="minorHAnsi"/>
                <w:color w:val="0D0D0D"/>
                <w:szCs w:val="24"/>
              </w:rPr>
            </w:pPr>
            <w:r>
              <w:rPr>
                <w:rFonts w:ascii="Calibri" w:hAnsi="Calibri" w:cs="Calibri"/>
              </w:rPr>
              <w:t xml:space="preserve">17,946 </w:t>
            </w:r>
          </w:p>
        </w:tc>
        <w:tc>
          <w:tcPr>
            <w:tcW w:w="1350" w:type="dxa"/>
            <w:tcBorders>
              <w:top w:val="nil"/>
              <w:left w:val="nil"/>
              <w:bottom w:val="nil"/>
              <w:right w:val="nil"/>
            </w:tcBorders>
            <w:shd w:val="clear" w:color="auto" w:fill="D9D9D9" w:themeFill="background1" w:themeFillShade="D9"/>
            <w:noWrap/>
            <w:vAlign w:val="bottom"/>
            <w:hideMark/>
          </w:tcPr>
          <w:p w14:paraId="7EFD040C"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14,246</w:t>
            </w:r>
          </w:p>
        </w:tc>
      </w:tr>
      <w:tr w:rsidR="00051D7E" w:rsidRPr="005F7BC7" w14:paraId="6B843EEB"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1D38D3B7"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Research and public service</w:t>
            </w:r>
          </w:p>
        </w:tc>
        <w:tc>
          <w:tcPr>
            <w:tcW w:w="1423" w:type="dxa"/>
            <w:tcBorders>
              <w:top w:val="nil"/>
              <w:left w:val="nil"/>
              <w:bottom w:val="nil"/>
              <w:right w:val="nil"/>
            </w:tcBorders>
            <w:shd w:val="clear" w:color="000000" w:fill="FFFFFF"/>
            <w:noWrap/>
            <w:vAlign w:val="bottom"/>
            <w:hideMark/>
          </w:tcPr>
          <w:p w14:paraId="281EDF29" w14:textId="492828A6" w:rsidR="00051D7E" w:rsidRPr="001A18A6" w:rsidRDefault="00051D7E" w:rsidP="007531FB">
            <w:pPr>
              <w:jc w:val="right"/>
              <w:rPr>
                <w:rFonts w:eastAsia="Times New Roman" w:cstheme="minorHAnsi"/>
                <w:color w:val="0D0D0D"/>
                <w:szCs w:val="24"/>
              </w:rPr>
            </w:pPr>
            <w:r>
              <w:rPr>
                <w:rFonts w:ascii="Calibri" w:hAnsi="Calibri" w:cs="Calibri"/>
              </w:rPr>
              <w:t xml:space="preserve">11,011 </w:t>
            </w:r>
          </w:p>
        </w:tc>
        <w:tc>
          <w:tcPr>
            <w:tcW w:w="1350" w:type="dxa"/>
            <w:tcBorders>
              <w:top w:val="nil"/>
              <w:left w:val="nil"/>
              <w:bottom w:val="nil"/>
              <w:right w:val="nil"/>
            </w:tcBorders>
            <w:shd w:val="clear" w:color="auto" w:fill="D9D9D9" w:themeFill="background1" w:themeFillShade="D9"/>
            <w:noWrap/>
            <w:vAlign w:val="bottom"/>
            <w:hideMark/>
          </w:tcPr>
          <w:p w14:paraId="4363ECE7"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6,863</w:t>
            </w:r>
          </w:p>
        </w:tc>
      </w:tr>
      <w:tr w:rsidR="00051D7E" w:rsidRPr="005F7BC7" w14:paraId="6B396219"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4B6EB7E1"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Library</w:t>
            </w:r>
          </w:p>
        </w:tc>
        <w:tc>
          <w:tcPr>
            <w:tcW w:w="1423" w:type="dxa"/>
            <w:tcBorders>
              <w:top w:val="nil"/>
              <w:left w:val="nil"/>
              <w:bottom w:val="nil"/>
              <w:right w:val="nil"/>
            </w:tcBorders>
            <w:shd w:val="clear" w:color="000000" w:fill="FFFFFF"/>
            <w:noWrap/>
            <w:vAlign w:val="bottom"/>
            <w:hideMark/>
          </w:tcPr>
          <w:p w14:paraId="71910BFA" w14:textId="24AC3F99" w:rsidR="00051D7E" w:rsidRPr="001A18A6" w:rsidRDefault="00051D7E" w:rsidP="007531FB">
            <w:pPr>
              <w:jc w:val="right"/>
              <w:rPr>
                <w:rFonts w:eastAsia="Times New Roman" w:cstheme="minorHAnsi"/>
                <w:color w:val="0D0D0D"/>
                <w:szCs w:val="24"/>
              </w:rPr>
            </w:pPr>
            <w:r>
              <w:rPr>
                <w:rFonts w:ascii="Calibri" w:hAnsi="Calibri" w:cs="Calibri"/>
              </w:rPr>
              <w:t xml:space="preserve">4,519 </w:t>
            </w:r>
          </w:p>
        </w:tc>
        <w:tc>
          <w:tcPr>
            <w:tcW w:w="1350" w:type="dxa"/>
            <w:tcBorders>
              <w:top w:val="nil"/>
              <w:left w:val="nil"/>
              <w:bottom w:val="nil"/>
              <w:right w:val="nil"/>
            </w:tcBorders>
            <w:shd w:val="clear" w:color="auto" w:fill="D9D9D9" w:themeFill="background1" w:themeFillShade="D9"/>
            <w:noWrap/>
            <w:vAlign w:val="bottom"/>
            <w:hideMark/>
          </w:tcPr>
          <w:p w14:paraId="64855C78"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3,775</w:t>
            </w:r>
          </w:p>
        </w:tc>
      </w:tr>
      <w:tr w:rsidR="00051D7E" w:rsidRPr="005F7BC7" w14:paraId="274203FC" w14:textId="77777777" w:rsidTr="000544FC">
        <w:trPr>
          <w:trHeight w:val="288"/>
          <w:jc w:val="center"/>
        </w:trPr>
        <w:tc>
          <w:tcPr>
            <w:tcW w:w="6047" w:type="dxa"/>
            <w:tcBorders>
              <w:top w:val="nil"/>
              <w:left w:val="nil"/>
              <w:bottom w:val="single" w:sz="4" w:space="0" w:color="00688D"/>
              <w:right w:val="nil"/>
            </w:tcBorders>
            <w:shd w:val="clear" w:color="000000" w:fill="FFFFFF"/>
            <w:noWrap/>
            <w:vAlign w:val="bottom"/>
            <w:hideMark/>
          </w:tcPr>
          <w:p w14:paraId="1375589D"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Other</w:t>
            </w:r>
          </w:p>
        </w:tc>
        <w:tc>
          <w:tcPr>
            <w:tcW w:w="1423" w:type="dxa"/>
            <w:tcBorders>
              <w:top w:val="nil"/>
              <w:left w:val="nil"/>
              <w:bottom w:val="single" w:sz="4" w:space="0" w:color="00688D"/>
              <w:right w:val="nil"/>
            </w:tcBorders>
            <w:shd w:val="clear" w:color="000000" w:fill="FFFFFF"/>
            <w:noWrap/>
            <w:vAlign w:val="bottom"/>
            <w:hideMark/>
          </w:tcPr>
          <w:p w14:paraId="17D53882" w14:textId="7F109B82" w:rsidR="00051D7E" w:rsidRPr="001A18A6" w:rsidRDefault="00051D7E" w:rsidP="007531FB">
            <w:pPr>
              <w:jc w:val="right"/>
              <w:rPr>
                <w:rFonts w:eastAsia="Times New Roman" w:cstheme="minorHAnsi"/>
                <w:color w:val="0D0D0D"/>
                <w:szCs w:val="24"/>
              </w:rPr>
            </w:pPr>
            <w:r>
              <w:rPr>
                <w:rFonts w:ascii="Calibri" w:hAnsi="Calibri" w:cs="Calibri"/>
              </w:rPr>
              <w:t xml:space="preserve">28,316 </w:t>
            </w:r>
          </w:p>
        </w:tc>
        <w:tc>
          <w:tcPr>
            <w:tcW w:w="1350" w:type="dxa"/>
            <w:tcBorders>
              <w:top w:val="nil"/>
              <w:left w:val="nil"/>
              <w:bottom w:val="single" w:sz="4" w:space="0" w:color="00688D"/>
              <w:right w:val="nil"/>
            </w:tcBorders>
            <w:shd w:val="clear" w:color="auto" w:fill="D9D9D9" w:themeFill="background1" w:themeFillShade="D9"/>
            <w:noWrap/>
            <w:vAlign w:val="bottom"/>
            <w:hideMark/>
          </w:tcPr>
          <w:p w14:paraId="69E592EA"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24,121</w:t>
            </w:r>
          </w:p>
        </w:tc>
      </w:tr>
      <w:tr w:rsidR="00051D7E" w:rsidRPr="005F7BC7" w14:paraId="513A7365" w14:textId="77777777" w:rsidTr="000544FC">
        <w:trPr>
          <w:trHeight w:val="288"/>
          <w:jc w:val="center"/>
        </w:trPr>
        <w:tc>
          <w:tcPr>
            <w:tcW w:w="6047" w:type="dxa"/>
            <w:tcBorders>
              <w:top w:val="nil"/>
              <w:left w:val="nil"/>
              <w:bottom w:val="single" w:sz="4" w:space="0" w:color="00688D"/>
              <w:right w:val="nil"/>
            </w:tcBorders>
            <w:shd w:val="clear" w:color="000000" w:fill="FFFFFF"/>
            <w:noWrap/>
            <w:vAlign w:val="bottom"/>
            <w:hideMark/>
          </w:tcPr>
          <w:p w14:paraId="2A9FA062"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Total restricted - expendable</w:t>
            </w:r>
          </w:p>
        </w:tc>
        <w:tc>
          <w:tcPr>
            <w:tcW w:w="1423" w:type="dxa"/>
            <w:tcBorders>
              <w:top w:val="nil"/>
              <w:left w:val="nil"/>
              <w:bottom w:val="single" w:sz="4" w:space="0" w:color="00688D"/>
              <w:right w:val="nil"/>
            </w:tcBorders>
            <w:shd w:val="clear" w:color="000000" w:fill="FFFFFF"/>
            <w:noWrap/>
            <w:vAlign w:val="bottom"/>
            <w:hideMark/>
          </w:tcPr>
          <w:p w14:paraId="48D88E2B" w14:textId="77777777" w:rsidR="00051D7E" w:rsidRPr="001A18A6" w:rsidRDefault="00051D7E" w:rsidP="007531FB">
            <w:pPr>
              <w:jc w:val="right"/>
              <w:rPr>
                <w:rFonts w:eastAsia="Times New Roman" w:cstheme="minorHAnsi"/>
                <w:color w:val="0D0D0D"/>
                <w:szCs w:val="24"/>
              </w:rPr>
            </w:pPr>
            <w:r>
              <w:rPr>
                <w:rFonts w:eastAsia="Times New Roman" w:cstheme="minorHAnsi"/>
                <w:color w:val="0D0D0D"/>
                <w:szCs w:val="24"/>
              </w:rPr>
              <w:t>143,604</w:t>
            </w:r>
          </w:p>
        </w:tc>
        <w:tc>
          <w:tcPr>
            <w:tcW w:w="1350" w:type="dxa"/>
            <w:tcBorders>
              <w:top w:val="nil"/>
              <w:left w:val="nil"/>
              <w:bottom w:val="single" w:sz="4" w:space="0" w:color="00688D"/>
              <w:right w:val="nil"/>
            </w:tcBorders>
            <w:shd w:val="clear" w:color="auto" w:fill="D9D9D9" w:themeFill="background1" w:themeFillShade="D9"/>
            <w:noWrap/>
            <w:vAlign w:val="bottom"/>
            <w:hideMark/>
          </w:tcPr>
          <w:p w14:paraId="36D2D4CC"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115,378</w:t>
            </w:r>
          </w:p>
        </w:tc>
      </w:tr>
      <w:tr w:rsidR="00051D7E" w:rsidRPr="005F7BC7" w14:paraId="64DB2C0E"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4A69C900" w14:textId="77777777" w:rsidR="00051D7E" w:rsidRPr="001A18A6" w:rsidRDefault="00051D7E" w:rsidP="007531FB">
            <w:pPr>
              <w:rPr>
                <w:rFonts w:eastAsia="Times New Roman" w:cstheme="minorHAnsi"/>
                <w:color w:val="0D0D0D"/>
                <w:szCs w:val="24"/>
              </w:rPr>
            </w:pPr>
            <w:r w:rsidRPr="001A18A6">
              <w:rPr>
                <w:rFonts w:eastAsia="Times New Roman" w:cstheme="minorHAnsi"/>
                <w:color w:val="0D0D0D"/>
                <w:szCs w:val="24"/>
              </w:rPr>
              <w:t>Unrestricted:</w:t>
            </w:r>
          </w:p>
        </w:tc>
        <w:tc>
          <w:tcPr>
            <w:tcW w:w="1423" w:type="dxa"/>
            <w:tcBorders>
              <w:top w:val="nil"/>
              <w:left w:val="nil"/>
              <w:bottom w:val="nil"/>
              <w:right w:val="nil"/>
            </w:tcBorders>
            <w:shd w:val="clear" w:color="000000" w:fill="FFFFFF"/>
            <w:noWrap/>
            <w:vAlign w:val="bottom"/>
            <w:hideMark/>
          </w:tcPr>
          <w:p w14:paraId="5750E0A3"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 </w:t>
            </w:r>
          </w:p>
        </w:tc>
        <w:tc>
          <w:tcPr>
            <w:tcW w:w="1350" w:type="dxa"/>
            <w:tcBorders>
              <w:top w:val="nil"/>
              <w:left w:val="nil"/>
              <w:bottom w:val="nil"/>
              <w:right w:val="nil"/>
            </w:tcBorders>
            <w:shd w:val="clear" w:color="auto" w:fill="D9D9D9" w:themeFill="background1" w:themeFillShade="D9"/>
            <w:noWrap/>
            <w:vAlign w:val="bottom"/>
            <w:hideMark/>
          </w:tcPr>
          <w:p w14:paraId="54C6ACAC"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 </w:t>
            </w:r>
          </w:p>
        </w:tc>
      </w:tr>
      <w:tr w:rsidR="00051D7E" w:rsidRPr="005F7BC7" w14:paraId="0B6C7EF4"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473612AA"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Educational and general reserves</w:t>
            </w:r>
          </w:p>
        </w:tc>
        <w:tc>
          <w:tcPr>
            <w:tcW w:w="1423" w:type="dxa"/>
            <w:tcBorders>
              <w:top w:val="nil"/>
              <w:left w:val="nil"/>
              <w:bottom w:val="nil"/>
              <w:right w:val="nil"/>
            </w:tcBorders>
            <w:shd w:val="clear" w:color="000000" w:fill="FFFFFF"/>
            <w:noWrap/>
            <w:vAlign w:val="bottom"/>
            <w:hideMark/>
          </w:tcPr>
          <w:p w14:paraId="0076EE16" w14:textId="3B2ABCA5" w:rsidR="00051D7E" w:rsidRPr="001A18A6" w:rsidRDefault="00051D7E" w:rsidP="007531FB">
            <w:pPr>
              <w:jc w:val="right"/>
              <w:rPr>
                <w:rFonts w:eastAsia="Times New Roman" w:cstheme="minorHAnsi"/>
                <w:color w:val="0D0D0D"/>
                <w:szCs w:val="24"/>
              </w:rPr>
            </w:pPr>
            <w:r>
              <w:rPr>
                <w:rFonts w:ascii="Calibri" w:hAnsi="Calibri" w:cs="Calibri"/>
              </w:rPr>
              <w:t xml:space="preserve">88,619 </w:t>
            </w:r>
          </w:p>
        </w:tc>
        <w:tc>
          <w:tcPr>
            <w:tcW w:w="1350" w:type="dxa"/>
            <w:tcBorders>
              <w:top w:val="nil"/>
              <w:left w:val="nil"/>
              <w:bottom w:val="nil"/>
              <w:right w:val="nil"/>
            </w:tcBorders>
            <w:shd w:val="clear" w:color="auto" w:fill="D9D9D9" w:themeFill="background1" w:themeFillShade="D9"/>
            <w:noWrap/>
            <w:vAlign w:val="bottom"/>
            <w:hideMark/>
          </w:tcPr>
          <w:p w14:paraId="6D986BCD"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81,098</w:t>
            </w:r>
          </w:p>
        </w:tc>
      </w:tr>
      <w:tr w:rsidR="00051D7E" w:rsidRPr="005F7BC7" w14:paraId="1D01AD99"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5C4F0FCF"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Risk management</w:t>
            </w:r>
          </w:p>
        </w:tc>
        <w:tc>
          <w:tcPr>
            <w:tcW w:w="1423" w:type="dxa"/>
            <w:tcBorders>
              <w:top w:val="nil"/>
              <w:left w:val="nil"/>
              <w:bottom w:val="nil"/>
              <w:right w:val="nil"/>
            </w:tcBorders>
            <w:shd w:val="clear" w:color="000000" w:fill="FFFFFF"/>
            <w:noWrap/>
            <w:vAlign w:val="bottom"/>
            <w:hideMark/>
          </w:tcPr>
          <w:p w14:paraId="601E68BD" w14:textId="7193C780" w:rsidR="00051D7E" w:rsidRPr="001A18A6" w:rsidRDefault="00051D7E" w:rsidP="007531FB">
            <w:pPr>
              <w:jc w:val="right"/>
              <w:rPr>
                <w:rFonts w:eastAsia="Times New Roman" w:cstheme="minorHAnsi"/>
                <w:color w:val="0D0D0D"/>
                <w:szCs w:val="24"/>
              </w:rPr>
            </w:pPr>
            <w:r>
              <w:rPr>
                <w:rFonts w:ascii="Calibri" w:hAnsi="Calibri" w:cs="Calibri"/>
              </w:rPr>
              <w:t xml:space="preserve">3,888 </w:t>
            </w:r>
          </w:p>
        </w:tc>
        <w:tc>
          <w:tcPr>
            <w:tcW w:w="1350" w:type="dxa"/>
            <w:tcBorders>
              <w:top w:val="nil"/>
              <w:left w:val="nil"/>
              <w:bottom w:val="nil"/>
              <w:right w:val="nil"/>
            </w:tcBorders>
            <w:shd w:val="clear" w:color="auto" w:fill="D9D9D9" w:themeFill="background1" w:themeFillShade="D9"/>
            <w:noWrap/>
            <w:vAlign w:val="bottom"/>
            <w:hideMark/>
          </w:tcPr>
          <w:p w14:paraId="09A5141F"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2,450</w:t>
            </w:r>
          </w:p>
        </w:tc>
      </w:tr>
      <w:tr w:rsidR="00051D7E" w:rsidRPr="005F7BC7" w14:paraId="76329A05"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646D933B"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Budget stabilization</w:t>
            </w:r>
          </w:p>
        </w:tc>
        <w:tc>
          <w:tcPr>
            <w:tcW w:w="1423" w:type="dxa"/>
            <w:tcBorders>
              <w:top w:val="nil"/>
              <w:left w:val="nil"/>
              <w:bottom w:val="nil"/>
              <w:right w:val="nil"/>
            </w:tcBorders>
            <w:shd w:val="clear" w:color="000000" w:fill="FFFFFF"/>
            <w:noWrap/>
            <w:vAlign w:val="bottom"/>
            <w:hideMark/>
          </w:tcPr>
          <w:p w14:paraId="5AB637AB" w14:textId="4D59773B" w:rsidR="00051D7E" w:rsidRPr="001A18A6" w:rsidRDefault="00051D7E" w:rsidP="007531FB">
            <w:pPr>
              <w:jc w:val="right"/>
              <w:rPr>
                <w:rFonts w:eastAsia="Times New Roman" w:cstheme="minorHAnsi"/>
                <w:color w:val="0D0D0D"/>
                <w:szCs w:val="24"/>
              </w:rPr>
            </w:pPr>
            <w:r>
              <w:rPr>
                <w:rFonts w:ascii="Calibri" w:hAnsi="Calibri" w:cs="Calibri"/>
              </w:rPr>
              <w:t xml:space="preserve">21,500 </w:t>
            </w:r>
          </w:p>
        </w:tc>
        <w:tc>
          <w:tcPr>
            <w:tcW w:w="1350" w:type="dxa"/>
            <w:tcBorders>
              <w:top w:val="nil"/>
              <w:left w:val="nil"/>
              <w:bottom w:val="nil"/>
              <w:right w:val="nil"/>
            </w:tcBorders>
            <w:shd w:val="clear" w:color="auto" w:fill="D9D9D9" w:themeFill="background1" w:themeFillShade="D9"/>
            <w:noWrap/>
            <w:vAlign w:val="bottom"/>
            <w:hideMark/>
          </w:tcPr>
          <w:p w14:paraId="1B8270EB"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12,114</w:t>
            </w:r>
          </w:p>
        </w:tc>
      </w:tr>
      <w:tr w:rsidR="00051D7E" w:rsidRPr="005F7BC7" w14:paraId="40EF31B1"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0E4BA9EE"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Auxiliary enterprises</w:t>
            </w:r>
          </w:p>
        </w:tc>
        <w:tc>
          <w:tcPr>
            <w:tcW w:w="1423" w:type="dxa"/>
            <w:tcBorders>
              <w:top w:val="nil"/>
              <w:left w:val="nil"/>
              <w:bottom w:val="nil"/>
              <w:right w:val="nil"/>
            </w:tcBorders>
            <w:shd w:val="clear" w:color="000000" w:fill="FFFFFF"/>
            <w:noWrap/>
            <w:vAlign w:val="bottom"/>
            <w:hideMark/>
          </w:tcPr>
          <w:p w14:paraId="07C2C989" w14:textId="7C3FE47A" w:rsidR="00051D7E" w:rsidRPr="001A18A6" w:rsidRDefault="00051D7E" w:rsidP="007531FB">
            <w:pPr>
              <w:jc w:val="right"/>
              <w:rPr>
                <w:rFonts w:eastAsia="Times New Roman" w:cstheme="minorHAnsi"/>
                <w:color w:val="0D0D0D"/>
                <w:szCs w:val="24"/>
              </w:rPr>
            </w:pPr>
            <w:r>
              <w:rPr>
                <w:rFonts w:ascii="Calibri" w:hAnsi="Calibri" w:cs="Calibri"/>
              </w:rPr>
              <w:t xml:space="preserve">1,253 </w:t>
            </w:r>
          </w:p>
        </w:tc>
        <w:tc>
          <w:tcPr>
            <w:tcW w:w="1350" w:type="dxa"/>
            <w:tcBorders>
              <w:top w:val="nil"/>
              <w:left w:val="nil"/>
              <w:bottom w:val="nil"/>
              <w:right w:val="nil"/>
            </w:tcBorders>
            <w:shd w:val="clear" w:color="auto" w:fill="D9D9D9" w:themeFill="background1" w:themeFillShade="D9"/>
            <w:noWrap/>
            <w:vAlign w:val="bottom"/>
            <w:hideMark/>
          </w:tcPr>
          <w:p w14:paraId="56BA377A"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7,865</w:t>
            </w:r>
          </w:p>
        </w:tc>
      </w:tr>
      <w:tr w:rsidR="00051D7E" w:rsidRPr="005F7BC7" w14:paraId="020D1F6E"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33521C22"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Benefit pool carryover</w:t>
            </w:r>
          </w:p>
        </w:tc>
        <w:tc>
          <w:tcPr>
            <w:tcW w:w="1423" w:type="dxa"/>
            <w:tcBorders>
              <w:top w:val="nil"/>
              <w:left w:val="nil"/>
              <w:bottom w:val="nil"/>
              <w:right w:val="nil"/>
            </w:tcBorders>
            <w:shd w:val="clear" w:color="000000" w:fill="FFFFFF"/>
            <w:noWrap/>
            <w:vAlign w:val="bottom"/>
            <w:hideMark/>
          </w:tcPr>
          <w:p w14:paraId="700E0D1B" w14:textId="3A2D188D" w:rsidR="00051D7E" w:rsidRPr="001A18A6" w:rsidRDefault="00051D7E" w:rsidP="007531FB">
            <w:pPr>
              <w:jc w:val="right"/>
              <w:rPr>
                <w:rFonts w:eastAsia="Times New Roman" w:cstheme="minorHAnsi"/>
                <w:color w:val="0D0D0D"/>
                <w:szCs w:val="24"/>
              </w:rPr>
            </w:pPr>
            <w:r>
              <w:rPr>
                <w:rFonts w:ascii="Calibri" w:hAnsi="Calibri" w:cs="Calibri"/>
              </w:rPr>
              <w:t xml:space="preserve">28,286 </w:t>
            </w:r>
          </w:p>
        </w:tc>
        <w:tc>
          <w:tcPr>
            <w:tcW w:w="1350" w:type="dxa"/>
            <w:tcBorders>
              <w:top w:val="nil"/>
              <w:left w:val="nil"/>
              <w:bottom w:val="nil"/>
              <w:right w:val="nil"/>
            </w:tcBorders>
            <w:shd w:val="clear" w:color="auto" w:fill="D9D9D9" w:themeFill="background1" w:themeFillShade="D9"/>
            <w:noWrap/>
            <w:vAlign w:val="bottom"/>
            <w:hideMark/>
          </w:tcPr>
          <w:p w14:paraId="6619ACF5"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19,563</w:t>
            </w:r>
          </w:p>
        </w:tc>
      </w:tr>
      <w:tr w:rsidR="00051D7E" w:rsidRPr="005F7BC7" w14:paraId="4369CED9"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4C7B6C11"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Implementation of GASB 75 for OPEB</w:t>
            </w:r>
          </w:p>
        </w:tc>
        <w:tc>
          <w:tcPr>
            <w:tcW w:w="1423" w:type="dxa"/>
            <w:tcBorders>
              <w:top w:val="nil"/>
              <w:left w:val="nil"/>
              <w:bottom w:val="nil"/>
              <w:right w:val="nil"/>
            </w:tcBorders>
            <w:shd w:val="clear" w:color="000000" w:fill="FFFFFF"/>
            <w:noWrap/>
            <w:vAlign w:val="bottom"/>
            <w:hideMark/>
          </w:tcPr>
          <w:p w14:paraId="35EDAF5B" w14:textId="3A2C06F7" w:rsidR="00051D7E" w:rsidRPr="001A18A6" w:rsidRDefault="00051D7E" w:rsidP="007531FB">
            <w:pPr>
              <w:jc w:val="right"/>
              <w:rPr>
                <w:rFonts w:eastAsia="Times New Roman" w:cstheme="minorHAnsi"/>
                <w:color w:val="0D0D0D"/>
                <w:szCs w:val="24"/>
              </w:rPr>
            </w:pPr>
            <w:r>
              <w:rPr>
                <w:rFonts w:ascii="Calibri" w:hAnsi="Calibri" w:cs="Calibri"/>
              </w:rPr>
              <w:t>(33,795)</w:t>
            </w:r>
          </w:p>
        </w:tc>
        <w:tc>
          <w:tcPr>
            <w:tcW w:w="1350" w:type="dxa"/>
            <w:tcBorders>
              <w:top w:val="nil"/>
              <w:left w:val="nil"/>
              <w:bottom w:val="nil"/>
              <w:right w:val="nil"/>
            </w:tcBorders>
            <w:shd w:val="clear" w:color="auto" w:fill="D9D9D9" w:themeFill="background1" w:themeFillShade="D9"/>
            <w:noWrap/>
            <w:vAlign w:val="bottom"/>
            <w:hideMark/>
          </w:tcPr>
          <w:p w14:paraId="7A6D051B"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(83,264)</w:t>
            </w:r>
          </w:p>
        </w:tc>
      </w:tr>
      <w:tr w:rsidR="00051D7E" w:rsidRPr="005F7BC7" w14:paraId="4D6792E3"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4D31465B"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Information technology initiatives</w:t>
            </w:r>
          </w:p>
        </w:tc>
        <w:tc>
          <w:tcPr>
            <w:tcW w:w="1423" w:type="dxa"/>
            <w:tcBorders>
              <w:top w:val="nil"/>
              <w:left w:val="nil"/>
              <w:bottom w:val="nil"/>
              <w:right w:val="nil"/>
            </w:tcBorders>
            <w:shd w:val="clear" w:color="000000" w:fill="FFFFFF"/>
            <w:noWrap/>
            <w:vAlign w:val="bottom"/>
            <w:hideMark/>
          </w:tcPr>
          <w:p w14:paraId="7664DDA2" w14:textId="62BAB39F" w:rsidR="00051D7E" w:rsidRPr="001A18A6" w:rsidRDefault="00051D7E" w:rsidP="007531FB">
            <w:pPr>
              <w:jc w:val="right"/>
              <w:rPr>
                <w:rFonts w:eastAsia="Times New Roman" w:cstheme="minorHAnsi"/>
                <w:color w:val="0D0D0D"/>
                <w:szCs w:val="24"/>
              </w:rPr>
            </w:pPr>
            <w:r>
              <w:rPr>
                <w:rFonts w:ascii="Calibri" w:hAnsi="Calibri" w:cs="Calibri"/>
              </w:rPr>
              <w:t xml:space="preserve">1,120 </w:t>
            </w:r>
          </w:p>
        </w:tc>
        <w:tc>
          <w:tcPr>
            <w:tcW w:w="1350" w:type="dxa"/>
            <w:tcBorders>
              <w:top w:val="nil"/>
              <w:left w:val="nil"/>
              <w:bottom w:val="nil"/>
              <w:right w:val="nil"/>
            </w:tcBorders>
            <w:shd w:val="clear" w:color="auto" w:fill="D9D9D9" w:themeFill="background1" w:themeFillShade="D9"/>
            <w:noWrap/>
            <w:vAlign w:val="bottom"/>
            <w:hideMark/>
          </w:tcPr>
          <w:p w14:paraId="1697821F"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1,199</w:t>
            </w:r>
          </w:p>
        </w:tc>
      </w:tr>
      <w:tr w:rsidR="00051D7E" w:rsidRPr="005F7BC7" w14:paraId="794ED4BC"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197AEE13"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Internally designated projects</w:t>
            </w:r>
          </w:p>
        </w:tc>
        <w:tc>
          <w:tcPr>
            <w:tcW w:w="1423" w:type="dxa"/>
            <w:tcBorders>
              <w:top w:val="nil"/>
              <w:left w:val="nil"/>
              <w:bottom w:val="nil"/>
              <w:right w:val="nil"/>
            </w:tcBorders>
            <w:shd w:val="clear" w:color="000000" w:fill="FFFFFF"/>
            <w:noWrap/>
            <w:vAlign w:val="bottom"/>
            <w:hideMark/>
          </w:tcPr>
          <w:p w14:paraId="1C0C200D" w14:textId="50B44BB0" w:rsidR="00051D7E" w:rsidRPr="001A18A6" w:rsidRDefault="00051D7E" w:rsidP="007531FB">
            <w:pPr>
              <w:jc w:val="right"/>
              <w:rPr>
                <w:rFonts w:eastAsia="Times New Roman" w:cstheme="minorHAnsi"/>
                <w:color w:val="0D0D0D"/>
                <w:szCs w:val="24"/>
              </w:rPr>
            </w:pPr>
            <w:r>
              <w:rPr>
                <w:rFonts w:ascii="Calibri" w:hAnsi="Calibri" w:cs="Calibri"/>
              </w:rPr>
              <w:t xml:space="preserve">8,632 </w:t>
            </w:r>
          </w:p>
        </w:tc>
        <w:tc>
          <w:tcPr>
            <w:tcW w:w="1350" w:type="dxa"/>
            <w:tcBorders>
              <w:top w:val="nil"/>
              <w:left w:val="nil"/>
              <w:bottom w:val="nil"/>
              <w:right w:val="nil"/>
            </w:tcBorders>
            <w:shd w:val="clear" w:color="auto" w:fill="D9D9D9" w:themeFill="background1" w:themeFillShade="D9"/>
            <w:noWrap/>
            <w:vAlign w:val="bottom"/>
            <w:hideMark/>
          </w:tcPr>
          <w:p w14:paraId="183661B3"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13,535</w:t>
            </w:r>
          </w:p>
        </w:tc>
      </w:tr>
      <w:tr w:rsidR="00051D7E" w:rsidRPr="005F7BC7" w14:paraId="176C50E3"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60441FCA"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Facility projects</w:t>
            </w:r>
          </w:p>
        </w:tc>
        <w:tc>
          <w:tcPr>
            <w:tcW w:w="1423" w:type="dxa"/>
            <w:tcBorders>
              <w:top w:val="nil"/>
              <w:left w:val="nil"/>
              <w:bottom w:val="nil"/>
              <w:right w:val="nil"/>
            </w:tcBorders>
            <w:shd w:val="clear" w:color="000000" w:fill="FFFFFF"/>
            <w:noWrap/>
            <w:vAlign w:val="bottom"/>
            <w:hideMark/>
          </w:tcPr>
          <w:p w14:paraId="30846D03" w14:textId="2FC86D8A" w:rsidR="00051D7E" w:rsidRPr="001A18A6" w:rsidRDefault="00051D7E" w:rsidP="007531FB">
            <w:pPr>
              <w:jc w:val="right"/>
              <w:rPr>
                <w:rFonts w:eastAsia="Times New Roman" w:cstheme="minorHAnsi"/>
                <w:color w:val="0D0D0D"/>
                <w:szCs w:val="24"/>
              </w:rPr>
            </w:pPr>
            <w:r>
              <w:rPr>
                <w:rFonts w:ascii="Calibri" w:hAnsi="Calibri" w:cs="Calibri"/>
              </w:rPr>
              <w:t xml:space="preserve">36,772 </w:t>
            </w:r>
          </w:p>
        </w:tc>
        <w:tc>
          <w:tcPr>
            <w:tcW w:w="1350" w:type="dxa"/>
            <w:tcBorders>
              <w:top w:val="nil"/>
              <w:left w:val="nil"/>
              <w:bottom w:val="nil"/>
              <w:right w:val="nil"/>
            </w:tcBorders>
            <w:shd w:val="clear" w:color="auto" w:fill="D9D9D9" w:themeFill="background1" w:themeFillShade="D9"/>
            <w:noWrap/>
            <w:vAlign w:val="bottom"/>
            <w:hideMark/>
          </w:tcPr>
          <w:p w14:paraId="6356E3C1"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26,193</w:t>
            </w:r>
          </w:p>
        </w:tc>
      </w:tr>
      <w:tr w:rsidR="00051D7E" w:rsidRPr="005F7BC7" w14:paraId="27D80635"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3167CBEA"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Quasi endowment corpus</w:t>
            </w:r>
          </w:p>
        </w:tc>
        <w:tc>
          <w:tcPr>
            <w:tcW w:w="1423" w:type="dxa"/>
            <w:tcBorders>
              <w:top w:val="nil"/>
              <w:left w:val="nil"/>
              <w:bottom w:val="nil"/>
              <w:right w:val="nil"/>
            </w:tcBorders>
            <w:shd w:val="clear" w:color="000000" w:fill="FFFFFF"/>
            <w:noWrap/>
            <w:vAlign w:val="bottom"/>
            <w:hideMark/>
          </w:tcPr>
          <w:p w14:paraId="7606935E" w14:textId="371F0F5D" w:rsidR="00051D7E" w:rsidRPr="001A18A6" w:rsidRDefault="00051D7E" w:rsidP="007531FB">
            <w:pPr>
              <w:jc w:val="right"/>
              <w:rPr>
                <w:rFonts w:eastAsia="Times New Roman" w:cstheme="minorHAnsi"/>
                <w:color w:val="0D0D0D"/>
                <w:szCs w:val="24"/>
              </w:rPr>
            </w:pPr>
            <w:r>
              <w:rPr>
                <w:rFonts w:ascii="Calibri" w:hAnsi="Calibri" w:cs="Calibri"/>
              </w:rPr>
              <w:t xml:space="preserve">13,398 </w:t>
            </w:r>
          </w:p>
        </w:tc>
        <w:tc>
          <w:tcPr>
            <w:tcW w:w="1350" w:type="dxa"/>
            <w:tcBorders>
              <w:top w:val="nil"/>
              <w:left w:val="nil"/>
              <w:bottom w:val="nil"/>
              <w:right w:val="nil"/>
            </w:tcBorders>
            <w:shd w:val="clear" w:color="auto" w:fill="D9D9D9" w:themeFill="background1" w:themeFillShade="D9"/>
            <w:noWrap/>
            <w:vAlign w:val="bottom"/>
            <w:hideMark/>
          </w:tcPr>
          <w:p w14:paraId="7550624C"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11,093</w:t>
            </w:r>
          </w:p>
        </w:tc>
      </w:tr>
      <w:tr w:rsidR="00051D7E" w:rsidRPr="005F7BC7" w14:paraId="1A73BF0B" w14:textId="77777777" w:rsidTr="000544FC">
        <w:trPr>
          <w:trHeight w:val="288"/>
          <w:jc w:val="center"/>
        </w:trPr>
        <w:tc>
          <w:tcPr>
            <w:tcW w:w="6047" w:type="dxa"/>
            <w:tcBorders>
              <w:top w:val="nil"/>
              <w:left w:val="nil"/>
              <w:bottom w:val="nil"/>
              <w:right w:val="nil"/>
            </w:tcBorders>
            <w:shd w:val="clear" w:color="000000" w:fill="FFFFFF"/>
            <w:noWrap/>
            <w:vAlign w:val="bottom"/>
            <w:hideMark/>
          </w:tcPr>
          <w:p w14:paraId="2572D7D4"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Endowment appreciation</w:t>
            </w:r>
          </w:p>
        </w:tc>
        <w:tc>
          <w:tcPr>
            <w:tcW w:w="1423" w:type="dxa"/>
            <w:tcBorders>
              <w:top w:val="nil"/>
              <w:left w:val="nil"/>
              <w:bottom w:val="nil"/>
              <w:right w:val="nil"/>
            </w:tcBorders>
            <w:shd w:val="clear" w:color="auto" w:fill="auto"/>
            <w:noWrap/>
            <w:vAlign w:val="bottom"/>
            <w:hideMark/>
          </w:tcPr>
          <w:p w14:paraId="41CE98D0" w14:textId="3D9D4085" w:rsidR="00051D7E" w:rsidRPr="001A18A6" w:rsidRDefault="00051D7E" w:rsidP="007531FB">
            <w:pPr>
              <w:jc w:val="right"/>
              <w:rPr>
                <w:rFonts w:eastAsia="Times New Roman" w:cstheme="minorHAnsi"/>
                <w:color w:val="0D0D0D"/>
                <w:szCs w:val="24"/>
              </w:rPr>
            </w:pPr>
            <w:r>
              <w:rPr>
                <w:rFonts w:ascii="Calibri" w:hAnsi="Calibri" w:cs="Calibri"/>
              </w:rPr>
              <w:t xml:space="preserve">7,299 </w:t>
            </w:r>
          </w:p>
        </w:tc>
        <w:tc>
          <w:tcPr>
            <w:tcW w:w="1350" w:type="dxa"/>
            <w:tcBorders>
              <w:top w:val="nil"/>
              <w:left w:val="nil"/>
              <w:bottom w:val="nil"/>
              <w:right w:val="nil"/>
            </w:tcBorders>
            <w:shd w:val="clear" w:color="auto" w:fill="D9D9D9" w:themeFill="background1" w:themeFillShade="D9"/>
            <w:noWrap/>
            <w:vAlign w:val="bottom"/>
            <w:hideMark/>
          </w:tcPr>
          <w:p w14:paraId="2DC93144"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5,661</w:t>
            </w:r>
          </w:p>
        </w:tc>
      </w:tr>
      <w:tr w:rsidR="00051D7E" w:rsidRPr="005F7BC7" w14:paraId="1C0D1A85" w14:textId="77777777" w:rsidTr="000544FC">
        <w:trPr>
          <w:trHeight w:val="288"/>
          <w:jc w:val="center"/>
        </w:trPr>
        <w:tc>
          <w:tcPr>
            <w:tcW w:w="6047" w:type="dxa"/>
            <w:tcBorders>
              <w:top w:val="nil"/>
              <w:left w:val="nil"/>
              <w:bottom w:val="single" w:sz="4" w:space="0" w:color="00688D"/>
              <w:right w:val="nil"/>
            </w:tcBorders>
            <w:shd w:val="clear" w:color="000000" w:fill="FFFFFF"/>
            <w:noWrap/>
            <w:vAlign w:val="bottom"/>
            <w:hideMark/>
          </w:tcPr>
          <w:p w14:paraId="6574CB75"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Cost sharing and other</w:t>
            </w:r>
          </w:p>
        </w:tc>
        <w:tc>
          <w:tcPr>
            <w:tcW w:w="1423" w:type="dxa"/>
            <w:tcBorders>
              <w:top w:val="nil"/>
              <w:left w:val="nil"/>
              <w:bottom w:val="single" w:sz="4" w:space="0" w:color="00688D"/>
              <w:right w:val="nil"/>
            </w:tcBorders>
            <w:shd w:val="clear" w:color="000000" w:fill="FFFFFF"/>
            <w:noWrap/>
            <w:vAlign w:val="bottom"/>
            <w:hideMark/>
          </w:tcPr>
          <w:p w14:paraId="4CAE25C3" w14:textId="54C11112" w:rsidR="00051D7E" w:rsidRPr="001A18A6" w:rsidRDefault="00051D7E" w:rsidP="007531FB">
            <w:pPr>
              <w:jc w:val="right"/>
              <w:rPr>
                <w:rFonts w:eastAsia="Times New Roman" w:cstheme="minorHAnsi"/>
                <w:color w:val="0D0D0D"/>
                <w:szCs w:val="24"/>
              </w:rPr>
            </w:pPr>
            <w:r>
              <w:rPr>
                <w:rFonts w:ascii="Calibri" w:hAnsi="Calibri" w:cs="Calibri"/>
              </w:rPr>
              <w:t xml:space="preserve">5,099 </w:t>
            </w:r>
          </w:p>
        </w:tc>
        <w:tc>
          <w:tcPr>
            <w:tcW w:w="1350" w:type="dxa"/>
            <w:tcBorders>
              <w:top w:val="nil"/>
              <w:left w:val="nil"/>
              <w:bottom w:val="single" w:sz="4" w:space="0" w:color="00688D"/>
              <w:right w:val="nil"/>
            </w:tcBorders>
            <w:shd w:val="clear" w:color="auto" w:fill="D9D9D9" w:themeFill="background1" w:themeFillShade="D9"/>
            <w:noWrap/>
            <w:vAlign w:val="bottom"/>
            <w:hideMark/>
          </w:tcPr>
          <w:p w14:paraId="4FEB9702"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5,244</w:t>
            </w:r>
          </w:p>
        </w:tc>
      </w:tr>
      <w:tr w:rsidR="00051D7E" w:rsidRPr="005F7BC7" w14:paraId="746C12F3" w14:textId="77777777" w:rsidTr="000544FC">
        <w:trPr>
          <w:trHeight w:val="288"/>
          <w:jc w:val="center"/>
        </w:trPr>
        <w:tc>
          <w:tcPr>
            <w:tcW w:w="6047" w:type="dxa"/>
            <w:tcBorders>
              <w:top w:val="nil"/>
              <w:left w:val="nil"/>
              <w:bottom w:val="single" w:sz="4" w:space="0" w:color="00688D"/>
              <w:right w:val="nil"/>
            </w:tcBorders>
            <w:shd w:val="clear" w:color="000000" w:fill="FFFFFF"/>
            <w:noWrap/>
            <w:vAlign w:val="bottom"/>
            <w:hideMark/>
          </w:tcPr>
          <w:p w14:paraId="3DBF1E48" w14:textId="77777777" w:rsidR="00051D7E" w:rsidRPr="001A18A6" w:rsidRDefault="00051D7E" w:rsidP="007531FB">
            <w:pPr>
              <w:ind w:firstLineChars="100" w:firstLine="220"/>
              <w:rPr>
                <w:rFonts w:eastAsia="Times New Roman" w:cstheme="minorHAnsi"/>
                <w:color w:val="0D0D0D"/>
                <w:szCs w:val="24"/>
              </w:rPr>
            </w:pPr>
            <w:r w:rsidRPr="001A18A6">
              <w:rPr>
                <w:rFonts w:eastAsia="Times New Roman" w:cstheme="minorHAnsi"/>
                <w:color w:val="0D0D0D"/>
                <w:szCs w:val="24"/>
              </w:rPr>
              <w:t>Total unrestricted</w:t>
            </w:r>
          </w:p>
        </w:tc>
        <w:tc>
          <w:tcPr>
            <w:tcW w:w="1423" w:type="dxa"/>
            <w:tcBorders>
              <w:top w:val="nil"/>
              <w:left w:val="nil"/>
              <w:bottom w:val="single" w:sz="4" w:space="0" w:color="00688D"/>
              <w:right w:val="nil"/>
            </w:tcBorders>
            <w:shd w:val="clear" w:color="000000" w:fill="FFFFFF"/>
            <w:noWrap/>
            <w:vAlign w:val="bottom"/>
            <w:hideMark/>
          </w:tcPr>
          <w:p w14:paraId="67F9924F" w14:textId="77777777" w:rsidR="00051D7E" w:rsidRPr="001A18A6" w:rsidRDefault="00051D7E" w:rsidP="007531FB">
            <w:pPr>
              <w:jc w:val="right"/>
              <w:rPr>
                <w:rFonts w:eastAsia="Times New Roman" w:cstheme="minorHAnsi"/>
                <w:color w:val="0D0D0D"/>
                <w:szCs w:val="24"/>
              </w:rPr>
            </w:pPr>
            <w:r>
              <w:rPr>
                <w:rFonts w:eastAsia="Times New Roman" w:cstheme="minorHAnsi"/>
                <w:color w:val="0D0D0D"/>
                <w:szCs w:val="24"/>
              </w:rPr>
              <w:t>182,071</w:t>
            </w:r>
          </w:p>
        </w:tc>
        <w:tc>
          <w:tcPr>
            <w:tcW w:w="1350" w:type="dxa"/>
            <w:tcBorders>
              <w:top w:val="nil"/>
              <w:left w:val="nil"/>
              <w:bottom w:val="single" w:sz="4" w:space="0" w:color="00688D"/>
              <w:right w:val="nil"/>
            </w:tcBorders>
            <w:shd w:val="clear" w:color="auto" w:fill="D9D9D9" w:themeFill="background1" w:themeFillShade="D9"/>
            <w:noWrap/>
            <w:vAlign w:val="bottom"/>
            <w:hideMark/>
          </w:tcPr>
          <w:p w14:paraId="6C6EDEF3" w14:textId="77777777"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102,751</w:t>
            </w:r>
          </w:p>
        </w:tc>
      </w:tr>
      <w:tr w:rsidR="00051D7E" w:rsidRPr="005F7BC7" w14:paraId="45144D21" w14:textId="77777777" w:rsidTr="000544FC">
        <w:trPr>
          <w:trHeight w:val="300"/>
          <w:jc w:val="center"/>
        </w:trPr>
        <w:tc>
          <w:tcPr>
            <w:tcW w:w="6047" w:type="dxa"/>
            <w:tcBorders>
              <w:top w:val="single" w:sz="4" w:space="0" w:color="00688D"/>
              <w:left w:val="nil"/>
              <w:bottom w:val="double" w:sz="4" w:space="0" w:color="00688D"/>
              <w:right w:val="nil"/>
            </w:tcBorders>
            <w:shd w:val="clear" w:color="000000" w:fill="FFFFFF"/>
            <w:noWrap/>
            <w:vAlign w:val="bottom"/>
            <w:hideMark/>
          </w:tcPr>
          <w:p w14:paraId="711FEC16" w14:textId="77777777" w:rsidR="00051D7E" w:rsidRPr="001A18A6" w:rsidRDefault="00051D7E" w:rsidP="007531FB">
            <w:pPr>
              <w:rPr>
                <w:rFonts w:eastAsia="Times New Roman" w:cstheme="minorHAnsi"/>
                <w:color w:val="0D0D0D"/>
                <w:szCs w:val="24"/>
              </w:rPr>
            </w:pPr>
            <w:r w:rsidRPr="001A18A6">
              <w:rPr>
                <w:rFonts w:eastAsia="Times New Roman" w:cstheme="minorHAnsi"/>
                <w:color w:val="0D0D0D"/>
                <w:szCs w:val="24"/>
              </w:rPr>
              <w:t>Total Net Position</w:t>
            </w:r>
          </w:p>
        </w:tc>
        <w:tc>
          <w:tcPr>
            <w:tcW w:w="1423" w:type="dxa"/>
            <w:tcBorders>
              <w:top w:val="single" w:sz="4" w:space="0" w:color="00688D"/>
              <w:left w:val="nil"/>
              <w:bottom w:val="double" w:sz="4" w:space="0" w:color="00688D"/>
              <w:right w:val="nil"/>
            </w:tcBorders>
            <w:shd w:val="clear" w:color="000000" w:fill="FFFFFF"/>
            <w:noWrap/>
            <w:vAlign w:val="bottom"/>
            <w:hideMark/>
          </w:tcPr>
          <w:p w14:paraId="70B0F2EA" w14:textId="74EC20EC"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 xml:space="preserve">$   </w:t>
            </w:r>
            <w:r>
              <w:rPr>
                <w:rFonts w:eastAsia="Times New Roman" w:cstheme="minorHAnsi"/>
                <w:color w:val="0D0D0D"/>
                <w:szCs w:val="24"/>
              </w:rPr>
              <w:t>944,694</w:t>
            </w:r>
          </w:p>
        </w:tc>
        <w:tc>
          <w:tcPr>
            <w:tcW w:w="1350" w:type="dxa"/>
            <w:tcBorders>
              <w:top w:val="single" w:sz="4" w:space="0" w:color="00688D"/>
              <w:left w:val="nil"/>
              <w:bottom w:val="double" w:sz="4" w:space="0" w:color="00688D"/>
              <w:right w:val="nil"/>
            </w:tcBorders>
            <w:shd w:val="clear" w:color="auto" w:fill="D9D9D9" w:themeFill="background1" w:themeFillShade="D9"/>
            <w:noWrap/>
            <w:vAlign w:val="bottom"/>
            <w:hideMark/>
          </w:tcPr>
          <w:p w14:paraId="4F63DCA4" w14:textId="56315E61" w:rsidR="00051D7E" w:rsidRPr="001A18A6" w:rsidRDefault="00051D7E" w:rsidP="007531FB">
            <w:pPr>
              <w:jc w:val="right"/>
              <w:rPr>
                <w:rFonts w:eastAsia="Times New Roman" w:cstheme="minorHAnsi"/>
                <w:color w:val="0D0D0D"/>
                <w:szCs w:val="24"/>
              </w:rPr>
            </w:pPr>
            <w:r w:rsidRPr="001A18A6">
              <w:rPr>
                <w:rFonts w:eastAsia="Times New Roman" w:cstheme="minorHAnsi"/>
                <w:color w:val="0D0D0D"/>
                <w:szCs w:val="24"/>
              </w:rPr>
              <w:t>$   832,108</w:t>
            </w:r>
          </w:p>
        </w:tc>
      </w:tr>
    </w:tbl>
    <w:p w14:paraId="36DFC4C1" w14:textId="77777777" w:rsidR="00051D7E" w:rsidRPr="00F54559" w:rsidRDefault="00051D7E" w:rsidP="00051D7E">
      <w:pPr>
        <w:tabs>
          <w:tab w:val="left" w:pos="720"/>
          <w:tab w:val="left" w:pos="1022"/>
          <w:tab w:val="left" w:pos="1440"/>
          <w:tab w:val="center" w:pos="3960"/>
          <w:tab w:val="right" w:pos="5220"/>
          <w:tab w:val="right" w:pos="6691"/>
          <w:tab w:val="right" w:pos="7621"/>
          <w:tab w:val="right" w:pos="9187"/>
        </w:tabs>
        <w:suppressAutoHyphens/>
        <w:spacing w:before="120" w:after="120"/>
        <w:jc w:val="center"/>
        <w:rPr>
          <w:rFonts w:eastAsia="Times New Roman" w:cstheme="minorHAnsi"/>
          <w:bCs/>
          <w:spacing w:val="-3"/>
          <w:sz w:val="24"/>
          <w:szCs w:val="24"/>
        </w:rPr>
      </w:pPr>
      <w:r w:rsidRPr="00F54559">
        <w:rPr>
          <w:rFonts w:eastAsia="Times New Roman" w:cstheme="minorHAnsi"/>
          <w:b/>
          <w:bCs/>
          <w:i/>
          <w:iCs/>
          <w:smallCaps/>
          <w:spacing w:val="-3"/>
          <w:sz w:val="24"/>
          <w:szCs w:val="24"/>
        </w:rPr>
        <w:br w:type="page"/>
      </w:r>
    </w:p>
    <w:p w14:paraId="418BEAD1" w14:textId="77777777" w:rsidR="00051D7E" w:rsidRPr="00F54559" w:rsidRDefault="00051D7E" w:rsidP="00051D7E">
      <w:pPr>
        <w:pStyle w:val="AFR2"/>
        <w:rPr>
          <w:rFonts w:cstheme="minorHAnsi"/>
          <w:sz w:val="26"/>
          <w:szCs w:val="26"/>
        </w:rPr>
      </w:pPr>
      <w:r w:rsidRPr="00F54559">
        <w:rPr>
          <w:rFonts w:cstheme="minorHAnsi"/>
          <w:sz w:val="26"/>
          <w:szCs w:val="26"/>
        </w:rPr>
        <w:lastRenderedPageBreak/>
        <w:t xml:space="preserve">11. COMMITMENTS AND CONTINGENCIES </w:t>
      </w:r>
    </w:p>
    <w:p w14:paraId="2FBC3170" w14:textId="77777777" w:rsidR="00051D7E" w:rsidRPr="00F54559" w:rsidRDefault="00051D7E" w:rsidP="00051D7E">
      <w:pPr>
        <w:pStyle w:val="AFR3"/>
        <w:rPr>
          <w:rFonts w:cstheme="minorHAnsi"/>
        </w:rPr>
      </w:pPr>
      <w:r w:rsidRPr="00F54559">
        <w:rPr>
          <w:rFonts w:cstheme="minorHAnsi"/>
        </w:rPr>
        <w:t>a. Grant Program Involvement</w:t>
      </w:r>
    </w:p>
    <w:p w14:paraId="61C16389" w14:textId="77777777" w:rsidR="00051D7E" w:rsidRPr="00F54559" w:rsidRDefault="00051D7E" w:rsidP="00051D7E">
      <w:pPr>
        <w:tabs>
          <w:tab w:val="left" w:pos="720"/>
          <w:tab w:val="left" w:pos="1080"/>
          <w:tab w:val="right" w:pos="4262"/>
          <w:tab w:val="right" w:pos="5220"/>
          <w:tab w:val="right" w:pos="6691"/>
          <w:tab w:val="right" w:pos="7621"/>
          <w:tab w:val="right" w:pos="9187"/>
        </w:tabs>
        <w:suppressAutoHyphens/>
        <w:rPr>
          <w:rFonts w:cstheme="minorHAnsi"/>
          <w:bCs/>
          <w:spacing w:val="-3"/>
          <w:sz w:val="24"/>
        </w:rPr>
      </w:pPr>
      <w:r w:rsidRPr="00F54559">
        <w:rPr>
          <w:rFonts w:cstheme="minorHAnsi"/>
          <w:bCs/>
          <w:spacing w:val="-3"/>
          <w:sz w:val="24"/>
        </w:rPr>
        <w:t>The System participates in a number of federal programs subject to financial and compliance audits.  The amount of expenditures that may be disallowed by the granting agencies cannot be determined at this time, although the System does not expect these amounts, if any, to be material to the financial statements.</w:t>
      </w:r>
    </w:p>
    <w:p w14:paraId="53147468" w14:textId="77777777" w:rsidR="00051D7E" w:rsidRPr="00F54559" w:rsidRDefault="00051D7E" w:rsidP="00051D7E">
      <w:pPr>
        <w:pStyle w:val="AFR3"/>
        <w:rPr>
          <w:rFonts w:cstheme="minorHAnsi"/>
        </w:rPr>
      </w:pPr>
      <w:r w:rsidRPr="00F54559">
        <w:rPr>
          <w:rFonts w:cstheme="minorHAnsi"/>
        </w:rPr>
        <w:t>b. Risk Management – Insurance Programs</w:t>
      </w:r>
    </w:p>
    <w:p w14:paraId="52C29A5D" w14:textId="77777777" w:rsidR="00051D7E" w:rsidRPr="00F54559" w:rsidRDefault="00051D7E" w:rsidP="00051D7E">
      <w:pPr>
        <w:tabs>
          <w:tab w:val="left" w:pos="720"/>
          <w:tab w:val="left" w:pos="1080"/>
          <w:tab w:val="right" w:pos="4262"/>
          <w:tab w:val="right" w:pos="5220"/>
          <w:tab w:val="right" w:pos="6691"/>
          <w:tab w:val="right" w:pos="7621"/>
          <w:tab w:val="right" w:pos="9187"/>
        </w:tabs>
        <w:suppressAutoHyphens/>
        <w:rPr>
          <w:rFonts w:eastAsia="Times New Roman" w:cstheme="minorHAnsi"/>
          <w:bCs/>
          <w:spacing w:val="-3"/>
          <w:sz w:val="20"/>
          <w:szCs w:val="24"/>
        </w:rPr>
      </w:pPr>
      <w:r w:rsidRPr="00F54559">
        <w:rPr>
          <w:rFonts w:eastAsia="Times New Roman" w:cstheme="minorHAnsi"/>
          <w:bCs/>
          <w:spacing w:val="-3"/>
          <w:sz w:val="24"/>
          <w:szCs w:val="24"/>
        </w:rPr>
        <w:t>The System is exposed to various risks of loss related to torts; thefts of, damage to and destruction of assets; errors and omissions; injuries; environmental pollution and natural disasters.  The System manages these risks through a combination of commercial insurance policies purchased in the name of the System, a large deductible all-risk property insurance program and a self-insured retention program for physical damage to vehicles and mobile equipment.</w:t>
      </w:r>
    </w:p>
    <w:p w14:paraId="0EA8C0CC" w14:textId="77777777" w:rsidR="00051D7E" w:rsidRPr="00F54559" w:rsidRDefault="00051D7E" w:rsidP="00051D7E">
      <w:pPr>
        <w:tabs>
          <w:tab w:val="left" w:pos="720"/>
          <w:tab w:val="left" w:pos="1440"/>
          <w:tab w:val="right" w:pos="4262"/>
          <w:tab w:val="right" w:pos="5220"/>
          <w:tab w:val="right" w:pos="6691"/>
          <w:tab w:val="right" w:pos="7621"/>
          <w:tab w:val="right" w:pos="9187"/>
        </w:tabs>
        <w:suppressAutoHyphens/>
        <w:ind w:left="720"/>
        <w:rPr>
          <w:rFonts w:eastAsia="Times New Roman" w:cstheme="minorHAnsi"/>
          <w:spacing w:val="-3"/>
          <w:sz w:val="20"/>
          <w:szCs w:val="20"/>
          <w:highlight w:val="yellow"/>
        </w:rPr>
      </w:pPr>
    </w:p>
    <w:p w14:paraId="7AF911DF" w14:textId="77777777" w:rsidR="00051D7E" w:rsidRPr="00F54559" w:rsidRDefault="00051D7E" w:rsidP="00051D7E">
      <w:pPr>
        <w:tabs>
          <w:tab w:val="left" w:pos="720"/>
          <w:tab w:val="left" w:pos="1080"/>
          <w:tab w:val="center" w:pos="5112"/>
        </w:tabs>
        <w:suppressAutoHyphens/>
        <w:rPr>
          <w:rFonts w:eastAsia="Times New Roman" w:cstheme="minorHAnsi"/>
          <w:spacing w:val="-3"/>
          <w:sz w:val="20"/>
          <w:szCs w:val="20"/>
        </w:rPr>
      </w:pPr>
      <w:r w:rsidRPr="00F54559">
        <w:rPr>
          <w:rFonts w:eastAsia="Times New Roman" w:cstheme="minorHAnsi"/>
          <w:bCs/>
          <w:color w:val="000000"/>
          <w:spacing w:val="-3"/>
          <w:sz w:val="24"/>
          <w:szCs w:val="24"/>
        </w:rPr>
        <w:t xml:space="preserve">The System’s retention obligation for the general liability and vehicle liability is capped at </w:t>
      </w:r>
      <w:r w:rsidRPr="00813DF0">
        <w:rPr>
          <w:rFonts w:eastAsia="Times New Roman" w:cstheme="minorHAnsi"/>
          <w:bCs/>
          <w:color w:val="000000"/>
          <w:spacing w:val="-3"/>
          <w:sz w:val="24"/>
          <w:szCs w:val="24"/>
        </w:rPr>
        <w:t>$400 per claim, with an aggregate limit of $20,000 per year.  Educator’s legal liability risks are subject to a $</w:t>
      </w:r>
      <w:r>
        <w:rPr>
          <w:rFonts w:eastAsia="Times New Roman" w:cstheme="minorHAnsi"/>
          <w:bCs/>
          <w:color w:val="000000"/>
          <w:spacing w:val="-3"/>
          <w:sz w:val="24"/>
          <w:szCs w:val="24"/>
        </w:rPr>
        <w:t>200</w:t>
      </w:r>
      <w:r w:rsidRPr="00813DF0">
        <w:rPr>
          <w:rFonts w:eastAsia="Times New Roman" w:cstheme="minorHAnsi"/>
          <w:bCs/>
          <w:color w:val="000000"/>
          <w:spacing w:val="-3"/>
          <w:sz w:val="24"/>
          <w:szCs w:val="24"/>
        </w:rPr>
        <w:t xml:space="preserve"> per loss retention with </w:t>
      </w:r>
      <w:r>
        <w:rPr>
          <w:rFonts w:eastAsia="Times New Roman" w:cstheme="minorHAnsi"/>
          <w:bCs/>
          <w:color w:val="000000"/>
          <w:spacing w:val="-3"/>
          <w:sz w:val="24"/>
          <w:szCs w:val="24"/>
        </w:rPr>
        <w:t>an aggregate limit of $25,000</w:t>
      </w:r>
      <w:r w:rsidRPr="00F54559">
        <w:rPr>
          <w:rFonts w:eastAsia="Times New Roman" w:cstheme="minorHAnsi"/>
          <w:bCs/>
          <w:color w:val="000000"/>
          <w:spacing w:val="-3"/>
          <w:sz w:val="24"/>
          <w:szCs w:val="24"/>
        </w:rPr>
        <w:t>.  The System’s estimate of the amount payable under these retention levels has been included in the accompanying Statements of Net Position as part of current accrued liabilities.  As of June 30, 20</w:t>
      </w:r>
      <w:r>
        <w:rPr>
          <w:rFonts w:eastAsia="Times New Roman" w:cstheme="minorHAnsi"/>
          <w:bCs/>
          <w:color w:val="000000"/>
          <w:spacing w:val="-3"/>
          <w:sz w:val="24"/>
          <w:szCs w:val="24"/>
        </w:rPr>
        <w:t>21</w:t>
      </w:r>
      <w:r w:rsidRPr="00F54559">
        <w:rPr>
          <w:rFonts w:eastAsia="Times New Roman" w:cstheme="minorHAnsi"/>
          <w:bCs/>
          <w:color w:val="000000"/>
          <w:spacing w:val="-3"/>
          <w:sz w:val="24"/>
          <w:szCs w:val="24"/>
        </w:rPr>
        <w:t xml:space="preserve"> and 20</w:t>
      </w:r>
      <w:r>
        <w:rPr>
          <w:rFonts w:eastAsia="Times New Roman" w:cstheme="minorHAnsi"/>
          <w:bCs/>
          <w:color w:val="000000"/>
          <w:spacing w:val="-3"/>
          <w:sz w:val="24"/>
          <w:szCs w:val="24"/>
        </w:rPr>
        <w:t>20</w:t>
      </w:r>
      <w:r w:rsidRPr="00F54559">
        <w:rPr>
          <w:rFonts w:eastAsia="Times New Roman" w:cstheme="minorHAnsi"/>
          <w:bCs/>
          <w:color w:val="000000"/>
          <w:spacing w:val="-3"/>
          <w:sz w:val="24"/>
          <w:szCs w:val="24"/>
        </w:rPr>
        <w:t xml:space="preserve"> certain legal claims existed for which the probability or amount of payment could not be determined. The System, however, does not expect these amounts, if any, to be material to the financial statements.</w:t>
      </w:r>
    </w:p>
    <w:p w14:paraId="402F87F4" w14:textId="77777777" w:rsidR="00051D7E" w:rsidRPr="00F54559" w:rsidRDefault="00051D7E" w:rsidP="00051D7E">
      <w:pPr>
        <w:tabs>
          <w:tab w:val="left" w:pos="720"/>
          <w:tab w:val="left" w:pos="1080"/>
          <w:tab w:val="center" w:pos="5112"/>
        </w:tabs>
        <w:suppressAutoHyphens/>
        <w:rPr>
          <w:rFonts w:eastAsia="Times New Roman" w:cstheme="minorHAnsi"/>
          <w:spacing w:val="-3"/>
          <w:sz w:val="20"/>
          <w:szCs w:val="20"/>
        </w:rPr>
      </w:pPr>
    </w:p>
    <w:p w14:paraId="7A7F83DD" w14:textId="496402DA" w:rsidR="00051D7E" w:rsidRPr="00F54559" w:rsidRDefault="00051D7E" w:rsidP="00051D7E">
      <w:pPr>
        <w:tabs>
          <w:tab w:val="left" w:pos="720"/>
          <w:tab w:val="left" w:pos="1080"/>
          <w:tab w:val="center" w:pos="5112"/>
        </w:tabs>
        <w:suppressAutoHyphens/>
        <w:rPr>
          <w:rFonts w:eastAsia="Times New Roman" w:cstheme="minorHAnsi"/>
          <w:bCs/>
          <w:spacing w:val="-3"/>
          <w:sz w:val="20"/>
          <w:szCs w:val="24"/>
        </w:rPr>
      </w:pPr>
      <w:r w:rsidRPr="00F54559">
        <w:rPr>
          <w:rFonts w:eastAsia="Times New Roman" w:cstheme="minorHAnsi"/>
          <w:spacing w:val="-3"/>
          <w:sz w:val="24"/>
          <w:szCs w:val="20"/>
        </w:rPr>
        <w:t xml:space="preserve">At October 1, 2016, the System moved from a self-funded workers’ compensation model to commercial insurance. The liability for pre-existing unpaid claims is based on the requirements of GASB Statement No. 10, </w:t>
      </w:r>
      <w:r w:rsidRPr="00F54559">
        <w:rPr>
          <w:rFonts w:eastAsia="Times New Roman" w:cstheme="minorHAnsi"/>
          <w:i/>
          <w:spacing w:val="-3"/>
          <w:sz w:val="24"/>
          <w:szCs w:val="20"/>
        </w:rPr>
        <w:t>Accounting and Financial Reporting for Risk Financing and Related Insurance Issues,</w:t>
      </w:r>
      <w:r w:rsidRPr="00F54559">
        <w:rPr>
          <w:rFonts w:eastAsia="Times New Roman" w:cstheme="minorHAnsi"/>
          <w:spacing w:val="-3"/>
          <w:sz w:val="24"/>
          <w:szCs w:val="20"/>
        </w:rPr>
        <w:t xml:space="preserve"> which requires that a liability for claims be reported if information prior to the issuance of the financial statements indicates that it is probable that a liability has been incurred at the date of the financial statements and the amount of the loss can be reasonably estimated. The System’s estimated liability at June 30, 20</w:t>
      </w:r>
      <w:r>
        <w:rPr>
          <w:rFonts w:eastAsia="Times New Roman" w:cstheme="minorHAnsi"/>
          <w:spacing w:val="-3"/>
          <w:sz w:val="24"/>
          <w:szCs w:val="20"/>
        </w:rPr>
        <w:t>21</w:t>
      </w:r>
      <w:r w:rsidRPr="00F54559">
        <w:rPr>
          <w:rFonts w:eastAsia="Times New Roman" w:cstheme="minorHAnsi"/>
          <w:spacing w:val="-3"/>
          <w:sz w:val="24"/>
          <w:szCs w:val="20"/>
        </w:rPr>
        <w:t xml:space="preserve"> and 20</w:t>
      </w:r>
      <w:r>
        <w:rPr>
          <w:rFonts w:eastAsia="Times New Roman" w:cstheme="minorHAnsi"/>
          <w:spacing w:val="-3"/>
          <w:sz w:val="24"/>
          <w:szCs w:val="20"/>
        </w:rPr>
        <w:t>20</w:t>
      </w:r>
      <w:r w:rsidRPr="00F54559">
        <w:rPr>
          <w:rFonts w:eastAsia="Times New Roman" w:cstheme="minorHAnsi"/>
          <w:spacing w:val="-3"/>
          <w:sz w:val="24"/>
          <w:szCs w:val="20"/>
        </w:rPr>
        <w:t xml:space="preserve"> of $</w:t>
      </w:r>
      <w:r w:rsidRPr="00331AA3">
        <w:rPr>
          <w:rFonts w:eastAsia="Times New Roman" w:cstheme="minorHAnsi"/>
          <w:spacing w:val="-3"/>
          <w:sz w:val="24"/>
          <w:szCs w:val="20"/>
        </w:rPr>
        <w:t>2,20</w:t>
      </w:r>
      <w:r w:rsidRPr="000B34B4">
        <w:rPr>
          <w:rFonts w:eastAsia="Times New Roman" w:cstheme="minorHAnsi"/>
          <w:spacing w:val="-3"/>
          <w:sz w:val="24"/>
          <w:szCs w:val="20"/>
        </w:rPr>
        <w:t>1</w:t>
      </w:r>
      <w:r w:rsidRPr="00331AA3">
        <w:rPr>
          <w:rFonts w:eastAsia="Times New Roman" w:cstheme="minorHAnsi"/>
          <w:spacing w:val="-3"/>
          <w:sz w:val="24"/>
          <w:szCs w:val="20"/>
        </w:rPr>
        <w:t xml:space="preserve"> </w:t>
      </w:r>
      <w:r w:rsidRPr="00F54559">
        <w:rPr>
          <w:rFonts w:eastAsia="Times New Roman" w:cstheme="minorHAnsi"/>
          <w:spacing w:val="-3"/>
          <w:sz w:val="24"/>
          <w:szCs w:val="20"/>
        </w:rPr>
        <w:t>and $</w:t>
      </w:r>
      <w:r>
        <w:rPr>
          <w:rFonts w:eastAsia="Times New Roman" w:cstheme="minorHAnsi"/>
          <w:spacing w:val="-3"/>
          <w:sz w:val="24"/>
          <w:szCs w:val="20"/>
        </w:rPr>
        <w:t>2,200</w:t>
      </w:r>
      <w:r w:rsidRPr="00F54559">
        <w:rPr>
          <w:rFonts w:eastAsia="Times New Roman" w:cstheme="minorHAnsi"/>
          <w:spacing w:val="-3"/>
          <w:sz w:val="24"/>
          <w:szCs w:val="20"/>
        </w:rPr>
        <w:t xml:space="preserve">, respectively, for pre-existing workers’ compensation claims is included in accrued liabilities in the </w:t>
      </w:r>
      <w:r w:rsidRPr="00F54559">
        <w:rPr>
          <w:rFonts w:eastAsia="Times New Roman" w:cstheme="minorHAnsi"/>
          <w:bCs/>
          <w:spacing w:val="-3"/>
          <w:sz w:val="24"/>
          <w:szCs w:val="24"/>
        </w:rPr>
        <w:t xml:space="preserve">accompanying Statements of Net Position (see Note 7). The System now purchases commercial workers’ compensation insurance which limits </w:t>
      </w:r>
      <w:r w:rsidR="00CD5285">
        <w:rPr>
          <w:rFonts w:eastAsia="Times New Roman" w:cstheme="minorHAnsi"/>
          <w:bCs/>
          <w:spacing w:val="-3"/>
          <w:sz w:val="24"/>
          <w:szCs w:val="24"/>
        </w:rPr>
        <w:t>UMS’</w:t>
      </w:r>
      <w:r w:rsidR="00FA0CAD">
        <w:rPr>
          <w:rFonts w:eastAsia="Times New Roman" w:cstheme="minorHAnsi"/>
          <w:bCs/>
          <w:spacing w:val="-3"/>
          <w:sz w:val="24"/>
          <w:szCs w:val="24"/>
        </w:rPr>
        <w:t xml:space="preserve"> insurable </w:t>
      </w:r>
      <w:r w:rsidRPr="00F54559">
        <w:rPr>
          <w:rFonts w:eastAsia="Times New Roman" w:cstheme="minorHAnsi"/>
          <w:bCs/>
          <w:spacing w:val="-3"/>
          <w:sz w:val="24"/>
          <w:szCs w:val="24"/>
        </w:rPr>
        <w:t>exposure for any one incident to $1.</w:t>
      </w:r>
      <w:r>
        <w:rPr>
          <w:rFonts w:eastAsia="Times New Roman" w:cstheme="minorHAnsi"/>
          <w:bCs/>
          <w:spacing w:val="-3"/>
          <w:sz w:val="24"/>
          <w:szCs w:val="24"/>
        </w:rPr>
        <w:t>5.</w:t>
      </w:r>
    </w:p>
    <w:p w14:paraId="08F2A887" w14:textId="77777777" w:rsidR="00051D7E" w:rsidRPr="00F54559" w:rsidRDefault="00051D7E" w:rsidP="00051D7E">
      <w:pPr>
        <w:tabs>
          <w:tab w:val="left" w:pos="720"/>
          <w:tab w:val="center" w:pos="5112"/>
        </w:tabs>
        <w:suppressAutoHyphens/>
        <w:rPr>
          <w:rFonts w:eastAsia="Times New Roman" w:cstheme="minorHAnsi"/>
          <w:bCs/>
          <w:spacing w:val="-3"/>
          <w:sz w:val="20"/>
          <w:szCs w:val="24"/>
        </w:rPr>
      </w:pPr>
    </w:p>
    <w:p w14:paraId="770AB660" w14:textId="132494B2" w:rsidR="009629E8" w:rsidRDefault="00051D7E" w:rsidP="00B30F29">
      <w:pPr>
        <w:tabs>
          <w:tab w:val="left" w:pos="1080"/>
          <w:tab w:val="right" w:pos="4262"/>
          <w:tab w:val="right" w:pos="5220"/>
          <w:tab w:val="right" w:pos="6691"/>
          <w:tab w:val="right" w:pos="7621"/>
          <w:tab w:val="right" w:pos="9630"/>
        </w:tabs>
        <w:suppressAutoHyphens/>
        <w:spacing w:after="120"/>
        <w:rPr>
          <w:rFonts w:cstheme="minorHAnsi"/>
          <w:spacing w:val="-3"/>
          <w:sz w:val="24"/>
          <w:szCs w:val="20"/>
        </w:rPr>
      </w:pPr>
      <w:r w:rsidRPr="00F54559">
        <w:rPr>
          <w:rFonts w:cstheme="minorHAnsi"/>
          <w:spacing w:val="-3"/>
          <w:sz w:val="24"/>
          <w:szCs w:val="20"/>
        </w:rPr>
        <w:t>The System’s active employee and under age 65 retiree health plans are self-funded with an Administrative Services Only (ASO) agreement with a commercial carrier.  The System</w:t>
      </w:r>
      <w:r w:rsidR="00EB74E7">
        <w:rPr>
          <w:rFonts w:cstheme="minorHAnsi"/>
          <w:spacing w:val="-3"/>
          <w:sz w:val="24"/>
          <w:szCs w:val="20"/>
        </w:rPr>
        <w:t xml:space="preserve"> began offering two health plan options </w:t>
      </w:r>
      <w:r w:rsidR="00071F03">
        <w:rPr>
          <w:rFonts w:cstheme="minorHAnsi"/>
          <w:spacing w:val="-3"/>
          <w:sz w:val="24"/>
          <w:szCs w:val="20"/>
        </w:rPr>
        <w:t>beginning in</w:t>
      </w:r>
      <w:r w:rsidR="00EB74E7">
        <w:rPr>
          <w:rFonts w:cstheme="minorHAnsi"/>
          <w:spacing w:val="-3"/>
          <w:sz w:val="24"/>
          <w:szCs w:val="20"/>
        </w:rPr>
        <w:t xml:space="preserve"> calendar year 2021 to</w:t>
      </w:r>
      <w:r w:rsidRPr="00F54559">
        <w:rPr>
          <w:rFonts w:cstheme="minorHAnsi"/>
          <w:spacing w:val="-3"/>
          <w:sz w:val="24"/>
          <w:szCs w:val="20"/>
        </w:rPr>
        <w:t xml:space="preserve"> retiree</w:t>
      </w:r>
      <w:r w:rsidR="00EB74E7">
        <w:rPr>
          <w:rFonts w:cstheme="minorHAnsi"/>
          <w:spacing w:val="-3"/>
          <w:sz w:val="24"/>
          <w:szCs w:val="20"/>
        </w:rPr>
        <w:t xml:space="preserve">s who are Medicare eligible. The legacy option </w:t>
      </w:r>
      <w:r w:rsidRPr="00F54559">
        <w:rPr>
          <w:rFonts w:cstheme="minorHAnsi"/>
          <w:spacing w:val="-3"/>
          <w:sz w:val="24"/>
          <w:szCs w:val="20"/>
        </w:rPr>
        <w:t>is a fully insured Medicare Advantage Private Fee for Service program with a commercial carrier.</w:t>
      </w:r>
      <w:r w:rsidR="00EB74E7">
        <w:rPr>
          <w:rFonts w:cstheme="minorHAnsi"/>
          <w:spacing w:val="-3"/>
          <w:sz w:val="24"/>
          <w:szCs w:val="20"/>
        </w:rPr>
        <w:t xml:space="preserve"> The new option is a </w:t>
      </w:r>
      <w:r w:rsidR="00EB74E7" w:rsidRPr="009C0A89">
        <w:rPr>
          <w:sz w:val="24"/>
          <w:szCs w:val="24"/>
        </w:rPr>
        <w:t xml:space="preserve">funded Health Reimbursement </w:t>
      </w:r>
      <w:r w:rsidR="00F13B5F">
        <w:rPr>
          <w:sz w:val="24"/>
          <w:szCs w:val="24"/>
        </w:rPr>
        <w:t>Account (HRA) through a Medicare Exchange program</w:t>
      </w:r>
      <w:r w:rsidR="00EB74E7" w:rsidRPr="009C0A89">
        <w:rPr>
          <w:sz w:val="24"/>
          <w:szCs w:val="24"/>
        </w:rPr>
        <w:t>.</w:t>
      </w:r>
      <w:r w:rsidR="00EB74E7">
        <w:rPr>
          <w:sz w:val="24"/>
          <w:szCs w:val="24"/>
        </w:rPr>
        <w:t xml:space="preserve"> </w:t>
      </w:r>
      <w:r w:rsidRPr="00F54559">
        <w:rPr>
          <w:rFonts w:cstheme="minorHAnsi"/>
          <w:spacing w:val="4"/>
          <w:sz w:val="24"/>
        </w:rPr>
        <w:t>As of June 30, 20</w:t>
      </w:r>
      <w:r>
        <w:rPr>
          <w:rFonts w:cstheme="minorHAnsi"/>
          <w:spacing w:val="4"/>
          <w:sz w:val="24"/>
        </w:rPr>
        <w:t>21</w:t>
      </w:r>
      <w:r w:rsidRPr="00F54559">
        <w:rPr>
          <w:rFonts w:cstheme="minorHAnsi"/>
          <w:spacing w:val="4"/>
          <w:sz w:val="24"/>
        </w:rPr>
        <w:t xml:space="preserve"> and 20</w:t>
      </w:r>
      <w:r>
        <w:rPr>
          <w:rFonts w:cstheme="minorHAnsi"/>
          <w:spacing w:val="4"/>
          <w:sz w:val="24"/>
        </w:rPr>
        <w:t>20</w:t>
      </w:r>
      <w:r w:rsidRPr="00F54559">
        <w:rPr>
          <w:rFonts w:cstheme="minorHAnsi"/>
          <w:spacing w:val="4"/>
          <w:sz w:val="24"/>
        </w:rPr>
        <w:t>, the</w:t>
      </w:r>
      <w:r w:rsidRPr="00F54559">
        <w:rPr>
          <w:rFonts w:cstheme="minorHAnsi"/>
          <w:sz w:val="24"/>
        </w:rPr>
        <w:t xml:space="preserve"> </w:t>
      </w:r>
      <w:r w:rsidRPr="00F54559">
        <w:rPr>
          <w:rFonts w:cstheme="minorHAnsi"/>
          <w:spacing w:val="-3"/>
          <w:sz w:val="24"/>
          <w:szCs w:val="20"/>
        </w:rPr>
        <w:t xml:space="preserve">estimated liability for claims </w:t>
      </w:r>
      <w:r w:rsidR="009629E8" w:rsidRPr="00F54559">
        <w:rPr>
          <w:rFonts w:cstheme="minorHAnsi"/>
          <w:spacing w:val="-3"/>
          <w:sz w:val="24"/>
          <w:szCs w:val="20"/>
        </w:rPr>
        <w:t>incurred but not reported is included in total health insurance accrued liabilities in the</w:t>
      </w:r>
    </w:p>
    <w:p w14:paraId="7D69208A" w14:textId="77777777" w:rsidR="004A36FB" w:rsidRDefault="004A36FB" w:rsidP="00B30F29">
      <w:pPr>
        <w:tabs>
          <w:tab w:val="left" w:pos="1080"/>
          <w:tab w:val="right" w:pos="4262"/>
          <w:tab w:val="right" w:pos="5220"/>
          <w:tab w:val="right" w:pos="6691"/>
          <w:tab w:val="right" w:pos="7621"/>
          <w:tab w:val="right" w:pos="9630"/>
        </w:tabs>
        <w:suppressAutoHyphens/>
        <w:spacing w:after="120"/>
        <w:rPr>
          <w:rFonts w:cstheme="minorHAnsi"/>
          <w:spacing w:val="-3"/>
          <w:sz w:val="24"/>
          <w:szCs w:val="20"/>
        </w:rPr>
      </w:pPr>
    </w:p>
    <w:p w14:paraId="76443282" w14:textId="5C95B9EE" w:rsidR="009629E8" w:rsidRPr="00F54559" w:rsidRDefault="009629E8" w:rsidP="009629E8">
      <w:pPr>
        <w:tabs>
          <w:tab w:val="left" w:pos="1080"/>
          <w:tab w:val="right" w:pos="4262"/>
          <w:tab w:val="right" w:pos="5220"/>
          <w:tab w:val="right" w:pos="6691"/>
          <w:tab w:val="right" w:pos="7621"/>
          <w:tab w:val="right" w:pos="9630"/>
        </w:tabs>
        <w:suppressAutoHyphens/>
        <w:spacing w:before="240" w:after="120"/>
        <w:ind w:left="720" w:hanging="720"/>
        <w:rPr>
          <w:rFonts w:eastAsia="Times New Roman" w:cstheme="minorHAnsi"/>
          <w:bCs/>
          <w:color w:val="000000"/>
          <w:spacing w:val="-3"/>
          <w:sz w:val="24"/>
          <w:szCs w:val="20"/>
        </w:rPr>
      </w:pPr>
      <w:r w:rsidRPr="00F54559">
        <w:rPr>
          <w:rFonts w:eastAsiaTheme="majorEastAsia" w:cstheme="minorHAnsi"/>
          <w:b/>
          <w:i/>
          <w:iCs/>
          <w:smallCaps/>
          <w:noProof/>
          <w:color w:val="000000" w:themeColor="text1"/>
          <w:sz w:val="26"/>
          <w:szCs w:val="26"/>
          <w:u w:color="5B9BD5"/>
        </w:rPr>
        <w:lastRenderedPageBreak/>
        <w:t>11. COMMITMENT</w:t>
      </w:r>
      <w:r>
        <w:rPr>
          <w:rFonts w:eastAsiaTheme="majorEastAsia" w:cstheme="minorHAnsi"/>
          <w:b/>
          <w:i/>
          <w:iCs/>
          <w:smallCaps/>
          <w:noProof/>
          <w:color w:val="000000" w:themeColor="text1"/>
          <w:sz w:val="26"/>
          <w:szCs w:val="26"/>
          <w:u w:color="5B9BD5"/>
        </w:rPr>
        <w:t>S</w:t>
      </w:r>
      <w:r w:rsidRPr="00F54559">
        <w:rPr>
          <w:rFonts w:eastAsiaTheme="majorEastAsia" w:cstheme="minorHAnsi"/>
          <w:b/>
          <w:i/>
          <w:iCs/>
          <w:smallCaps/>
          <w:noProof/>
          <w:color w:val="000000" w:themeColor="text1"/>
          <w:sz w:val="26"/>
          <w:szCs w:val="26"/>
          <w:u w:color="5B9BD5"/>
        </w:rPr>
        <w:t xml:space="preserve"> AND CONTINGENCIES  - CONTINUED</w:t>
      </w:r>
    </w:p>
    <w:p w14:paraId="34B60FBF" w14:textId="5C11E97D" w:rsidR="00051D7E" w:rsidRDefault="00051D7E" w:rsidP="00051D7E">
      <w:pPr>
        <w:rPr>
          <w:rFonts w:cstheme="minorHAnsi"/>
          <w:bCs/>
          <w:sz w:val="24"/>
        </w:rPr>
      </w:pPr>
      <w:r>
        <w:rPr>
          <w:rFonts w:cstheme="minorHAnsi"/>
          <w:spacing w:val="-3"/>
          <w:sz w:val="24"/>
          <w:szCs w:val="20"/>
        </w:rPr>
        <w:t>accompanying Statements of Net</w:t>
      </w:r>
      <w:r w:rsidR="00EB74E7">
        <w:rPr>
          <w:rFonts w:cstheme="minorHAnsi"/>
          <w:spacing w:val="-3"/>
          <w:sz w:val="24"/>
          <w:szCs w:val="20"/>
        </w:rPr>
        <w:t xml:space="preserve"> Position</w:t>
      </w:r>
      <w:r w:rsidR="009629E8">
        <w:rPr>
          <w:rFonts w:cstheme="minorHAnsi"/>
          <w:spacing w:val="-3"/>
          <w:sz w:val="24"/>
          <w:szCs w:val="20"/>
        </w:rPr>
        <w:t xml:space="preserve"> </w:t>
      </w:r>
      <w:r w:rsidRPr="00F54559">
        <w:rPr>
          <w:rFonts w:cstheme="minorHAnsi"/>
          <w:spacing w:val="-3"/>
          <w:sz w:val="24"/>
          <w:szCs w:val="20"/>
        </w:rPr>
        <w:t>(see Note 7</w:t>
      </w:r>
      <w:r w:rsidRPr="00F54559">
        <w:rPr>
          <w:rFonts w:cstheme="minorHAnsi"/>
          <w:spacing w:val="-3"/>
          <w:sz w:val="24"/>
        </w:rPr>
        <w:t xml:space="preserve">).  </w:t>
      </w:r>
      <w:r w:rsidRPr="00F54559">
        <w:rPr>
          <w:rFonts w:cstheme="minorHAnsi"/>
          <w:bCs/>
          <w:sz w:val="24"/>
        </w:rPr>
        <w:t>The System purchases stop-loss insurance which limits the exposure to $1,000 per individual.</w:t>
      </w:r>
    </w:p>
    <w:p w14:paraId="4786DA51" w14:textId="77777777" w:rsidR="00051D7E" w:rsidRPr="00F54559" w:rsidRDefault="00051D7E" w:rsidP="00051D7E">
      <w:pPr>
        <w:rPr>
          <w:rFonts w:cstheme="minorHAnsi"/>
          <w:bCs/>
          <w:sz w:val="24"/>
        </w:rPr>
      </w:pPr>
    </w:p>
    <w:p w14:paraId="1B723DA7" w14:textId="77777777" w:rsidR="00051D7E" w:rsidRDefault="00051D7E" w:rsidP="00051D7E">
      <w:pPr>
        <w:tabs>
          <w:tab w:val="left" w:pos="1080"/>
          <w:tab w:val="right" w:pos="4262"/>
          <w:tab w:val="right" w:pos="5220"/>
          <w:tab w:val="right" w:pos="6691"/>
          <w:tab w:val="right" w:pos="7621"/>
          <w:tab w:val="right" w:pos="9630"/>
        </w:tabs>
        <w:suppressAutoHyphens/>
        <w:spacing w:after="240"/>
        <w:ind w:left="1080" w:hanging="1080"/>
        <w:rPr>
          <w:rFonts w:eastAsia="Times New Roman" w:cstheme="minorHAnsi"/>
          <w:bCs/>
          <w:color w:val="000000"/>
          <w:spacing w:val="-3"/>
          <w:sz w:val="24"/>
          <w:szCs w:val="20"/>
        </w:rPr>
      </w:pPr>
      <w:r w:rsidRPr="00F54559">
        <w:rPr>
          <w:rFonts w:eastAsia="Times New Roman" w:cstheme="minorHAnsi"/>
          <w:bCs/>
          <w:color w:val="000000"/>
          <w:spacing w:val="-3"/>
          <w:sz w:val="24"/>
          <w:szCs w:val="20"/>
        </w:rPr>
        <w:t>The System’s health insurance liability at June 30 consists of the following:</w:t>
      </w:r>
      <w:r>
        <w:rPr>
          <w:rFonts w:eastAsia="Times New Roman" w:cstheme="minorHAnsi"/>
          <w:bCs/>
          <w:color w:val="000000"/>
          <w:spacing w:val="-3"/>
          <w:sz w:val="24"/>
          <w:szCs w:val="20"/>
        </w:rPr>
        <w:t xml:space="preserve"> </w:t>
      </w:r>
      <w:r>
        <w:rPr>
          <w:rFonts w:eastAsia="Times New Roman" w:cstheme="minorHAnsi"/>
          <w:bCs/>
          <w:color w:val="000000"/>
          <w:spacing w:val="-3"/>
          <w:sz w:val="24"/>
          <w:szCs w:val="20"/>
        </w:rPr>
        <w:fldChar w:fldCharType="begin"/>
      </w:r>
      <w:r>
        <w:rPr>
          <w:rFonts w:eastAsia="Times New Roman" w:cstheme="minorHAnsi"/>
          <w:bCs/>
          <w:color w:val="000000"/>
          <w:spacing w:val="-3"/>
          <w:sz w:val="24"/>
          <w:szCs w:val="20"/>
        </w:rPr>
        <w:fldChar w:fldCharType="end"/>
      </w:r>
    </w:p>
    <w:tbl>
      <w:tblPr>
        <w:tblW w:w="5898" w:type="dxa"/>
        <w:jc w:val="center"/>
        <w:tblLook w:val="04A0" w:firstRow="1" w:lastRow="0" w:firstColumn="1" w:lastColumn="0" w:noHBand="0" w:noVBand="1"/>
      </w:tblPr>
      <w:tblGrid>
        <w:gridCol w:w="3780"/>
        <w:gridCol w:w="1080"/>
        <w:gridCol w:w="1038"/>
      </w:tblGrid>
      <w:tr w:rsidR="00051D7E" w:rsidRPr="00F451CF" w14:paraId="5CB2C80F" w14:textId="77777777" w:rsidTr="007531FB">
        <w:trPr>
          <w:trHeight w:val="300"/>
          <w:tblHeader/>
          <w:jc w:val="center"/>
        </w:trPr>
        <w:tc>
          <w:tcPr>
            <w:tcW w:w="3780" w:type="dxa"/>
            <w:tcBorders>
              <w:top w:val="nil"/>
              <w:left w:val="nil"/>
              <w:bottom w:val="single" w:sz="12" w:space="0" w:color="00688D"/>
              <w:right w:val="nil"/>
            </w:tcBorders>
            <w:shd w:val="clear" w:color="000000" w:fill="FFFFFF"/>
            <w:noWrap/>
            <w:vAlign w:val="bottom"/>
            <w:hideMark/>
          </w:tcPr>
          <w:p w14:paraId="08B3FC8C" w14:textId="77777777" w:rsidR="00051D7E" w:rsidRPr="001A18A6" w:rsidRDefault="00051D7E" w:rsidP="007531FB">
            <w:pPr>
              <w:jc w:val="center"/>
              <w:rPr>
                <w:rFonts w:ascii="Calibri" w:eastAsia="Times New Roman" w:hAnsi="Calibri" w:cs="Calibri"/>
                <w:b/>
                <w:bCs/>
                <w:color w:val="0D0D0D" w:themeColor="text1" w:themeTint="F2"/>
              </w:rPr>
            </w:pPr>
            <w:r w:rsidRPr="001A18A6">
              <w:rPr>
                <w:rFonts w:ascii="Calibri" w:eastAsia="Times New Roman" w:hAnsi="Calibri" w:cs="Calibri"/>
                <w:b/>
                <w:bCs/>
                <w:color w:val="0D0D0D" w:themeColor="text1" w:themeTint="F2"/>
              </w:rPr>
              <w:t> </w:t>
            </w:r>
          </w:p>
        </w:tc>
        <w:tc>
          <w:tcPr>
            <w:tcW w:w="1080" w:type="dxa"/>
            <w:tcBorders>
              <w:top w:val="nil"/>
              <w:left w:val="nil"/>
              <w:bottom w:val="single" w:sz="12" w:space="0" w:color="00688D"/>
              <w:right w:val="nil"/>
            </w:tcBorders>
            <w:shd w:val="clear" w:color="000000" w:fill="FFFFFF"/>
            <w:noWrap/>
            <w:vAlign w:val="bottom"/>
            <w:hideMark/>
          </w:tcPr>
          <w:p w14:paraId="7BEC4845" w14:textId="77777777" w:rsidR="00051D7E" w:rsidRPr="001A18A6" w:rsidRDefault="00051D7E" w:rsidP="007531FB">
            <w:pPr>
              <w:jc w:val="center"/>
              <w:rPr>
                <w:rFonts w:ascii="Calibri" w:eastAsia="Times New Roman" w:hAnsi="Calibri" w:cs="Calibri"/>
                <w:b/>
                <w:bCs/>
                <w:color w:val="0D0D0D" w:themeColor="text1" w:themeTint="F2"/>
              </w:rPr>
            </w:pPr>
            <w:r w:rsidRPr="001A18A6">
              <w:rPr>
                <w:rFonts w:ascii="Calibri" w:eastAsia="Times New Roman" w:hAnsi="Calibri" w:cs="Calibri"/>
                <w:b/>
                <w:bCs/>
                <w:color w:val="0D0D0D" w:themeColor="text1" w:themeTint="F2"/>
              </w:rPr>
              <w:t>202</w:t>
            </w:r>
            <w:r>
              <w:rPr>
                <w:rFonts w:ascii="Calibri" w:eastAsia="Times New Roman" w:hAnsi="Calibri" w:cs="Calibri"/>
                <w:b/>
                <w:bCs/>
                <w:color w:val="0D0D0D" w:themeColor="text1" w:themeTint="F2"/>
              </w:rPr>
              <w:t>1</w:t>
            </w:r>
          </w:p>
        </w:tc>
        <w:tc>
          <w:tcPr>
            <w:tcW w:w="1038" w:type="dxa"/>
            <w:tcBorders>
              <w:top w:val="nil"/>
              <w:left w:val="nil"/>
              <w:bottom w:val="single" w:sz="12" w:space="0" w:color="00688D"/>
              <w:right w:val="nil"/>
            </w:tcBorders>
            <w:shd w:val="clear" w:color="auto" w:fill="D9D9D9" w:themeFill="background1" w:themeFillShade="D9"/>
            <w:noWrap/>
            <w:vAlign w:val="bottom"/>
            <w:hideMark/>
          </w:tcPr>
          <w:p w14:paraId="329D6EDC" w14:textId="77777777" w:rsidR="00051D7E" w:rsidRPr="001A18A6" w:rsidRDefault="00051D7E" w:rsidP="007531FB">
            <w:pPr>
              <w:jc w:val="center"/>
              <w:rPr>
                <w:rFonts w:ascii="Calibri" w:eastAsia="Times New Roman" w:hAnsi="Calibri" w:cs="Calibri"/>
                <w:b/>
                <w:bCs/>
                <w:color w:val="0D0D0D" w:themeColor="text1" w:themeTint="F2"/>
              </w:rPr>
            </w:pPr>
            <w:r w:rsidRPr="001A18A6">
              <w:rPr>
                <w:rFonts w:ascii="Calibri" w:eastAsia="Times New Roman" w:hAnsi="Calibri" w:cs="Calibri"/>
                <w:b/>
                <w:bCs/>
                <w:color w:val="0D0D0D" w:themeColor="text1" w:themeTint="F2"/>
              </w:rPr>
              <w:t>20</w:t>
            </w:r>
            <w:r>
              <w:rPr>
                <w:rFonts w:ascii="Calibri" w:eastAsia="Times New Roman" w:hAnsi="Calibri" w:cs="Calibri"/>
                <w:b/>
                <w:bCs/>
                <w:color w:val="0D0D0D" w:themeColor="text1" w:themeTint="F2"/>
              </w:rPr>
              <w:t>20</w:t>
            </w:r>
          </w:p>
        </w:tc>
      </w:tr>
      <w:tr w:rsidR="00051D7E" w:rsidRPr="00F451CF" w14:paraId="790C375F" w14:textId="77777777" w:rsidTr="007531FB">
        <w:trPr>
          <w:trHeight w:val="300"/>
          <w:jc w:val="center"/>
        </w:trPr>
        <w:tc>
          <w:tcPr>
            <w:tcW w:w="3780" w:type="dxa"/>
            <w:tcBorders>
              <w:top w:val="nil"/>
              <w:left w:val="nil"/>
              <w:bottom w:val="nil"/>
              <w:right w:val="nil"/>
            </w:tcBorders>
            <w:shd w:val="clear" w:color="000000" w:fill="FFFFFF"/>
            <w:noWrap/>
            <w:vAlign w:val="bottom"/>
            <w:hideMark/>
          </w:tcPr>
          <w:p w14:paraId="51B1D4FE" w14:textId="77777777" w:rsidR="00051D7E" w:rsidRPr="001A18A6" w:rsidRDefault="00051D7E" w:rsidP="007531FB">
            <w:pPr>
              <w:rPr>
                <w:rFonts w:ascii="Calibri" w:eastAsia="Times New Roman" w:hAnsi="Calibri" w:cs="Calibri"/>
                <w:color w:val="0D0D0D" w:themeColor="text1" w:themeTint="F2"/>
              </w:rPr>
            </w:pPr>
            <w:r w:rsidRPr="001A18A6">
              <w:rPr>
                <w:rFonts w:ascii="Calibri" w:eastAsia="Times New Roman" w:hAnsi="Calibri" w:cs="Calibri"/>
                <w:color w:val="0D0D0D" w:themeColor="text1" w:themeTint="F2"/>
              </w:rPr>
              <w:t>Claims incurred but not reported</w:t>
            </w:r>
          </w:p>
        </w:tc>
        <w:tc>
          <w:tcPr>
            <w:tcW w:w="1080" w:type="dxa"/>
            <w:tcBorders>
              <w:top w:val="nil"/>
              <w:left w:val="nil"/>
              <w:bottom w:val="nil"/>
              <w:right w:val="nil"/>
            </w:tcBorders>
            <w:shd w:val="clear" w:color="000000" w:fill="FFFFFF"/>
            <w:noWrap/>
            <w:vAlign w:val="bottom"/>
            <w:hideMark/>
          </w:tcPr>
          <w:p w14:paraId="2E45038B" w14:textId="77777777" w:rsidR="00051D7E" w:rsidRPr="00E6640D" w:rsidRDefault="00051D7E" w:rsidP="007531FB">
            <w:pPr>
              <w:jc w:val="right"/>
              <w:rPr>
                <w:rFonts w:ascii="Calibri" w:eastAsia="Times New Roman" w:hAnsi="Calibri" w:cs="Calibri"/>
              </w:rPr>
            </w:pPr>
            <w:r w:rsidRPr="00E6640D">
              <w:rPr>
                <w:rFonts w:ascii="Calibri" w:eastAsia="Times New Roman" w:hAnsi="Calibri" w:cs="Calibri"/>
              </w:rPr>
              <w:t>$  5,382</w:t>
            </w:r>
          </w:p>
        </w:tc>
        <w:tc>
          <w:tcPr>
            <w:tcW w:w="1038" w:type="dxa"/>
            <w:tcBorders>
              <w:top w:val="nil"/>
              <w:left w:val="nil"/>
              <w:bottom w:val="nil"/>
              <w:right w:val="nil"/>
            </w:tcBorders>
            <w:shd w:val="clear" w:color="auto" w:fill="D9D9D9" w:themeFill="background1" w:themeFillShade="D9"/>
            <w:noWrap/>
            <w:vAlign w:val="bottom"/>
            <w:hideMark/>
          </w:tcPr>
          <w:p w14:paraId="28A5BB39" w14:textId="461401D4" w:rsidR="00051D7E" w:rsidRPr="001A18A6" w:rsidRDefault="00051D7E" w:rsidP="007531FB">
            <w:pPr>
              <w:jc w:val="right"/>
              <w:rPr>
                <w:rFonts w:ascii="Calibri" w:eastAsia="Times New Roman" w:hAnsi="Calibri" w:cs="Calibri"/>
                <w:color w:val="0D0D0D" w:themeColor="text1" w:themeTint="F2"/>
              </w:rPr>
            </w:pPr>
            <w:r w:rsidRPr="001A18A6">
              <w:rPr>
                <w:rFonts w:ascii="Calibri" w:eastAsia="Times New Roman" w:hAnsi="Calibri" w:cs="Calibri"/>
                <w:color w:val="0D0D0D" w:themeColor="text1" w:themeTint="F2"/>
              </w:rPr>
              <w:t>$</w:t>
            </w:r>
            <w:r w:rsidR="000544FC">
              <w:rPr>
                <w:rFonts w:ascii="Calibri" w:eastAsia="Times New Roman" w:hAnsi="Calibri" w:cs="Calibri"/>
                <w:color w:val="0D0D0D" w:themeColor="text1" w:themeTint="F2"/>
              </w:rPr>
              <w:t xml:space="preserve"> </w:t>
            </w:r>
            <w:r w:rsidRPr="001A18A6">
              <w:rPr>
                <w:rFonts w:ascii="Calibri" w:eastAsia="Times New Roman" w:hAnsi="Calibri" w:cs="Calibri"/>
                <w:color w:val="0D0D0D" w:themeColor="text1" w:themeTint="F2"/>
              </w:rPr>
              <w:t xml:space="preserve"> </w:t>
            </w:r>
            <w:r>
              <w:rPr>
                <w:rFonts w:ascii="Calibri" w:eastAsia="Times New Roman" w:hAnsi="Calibri" w:cs="Calibri"/>
                <w:color w:val="0D0D0D" w:themeColor="text1" w:themeTint="F2"/>
              </w:rPr>
              <w:t>5,703</w:t>
            </w:r>
          </w:p>
        </w:tc>
      </w:tr>
      <w:tr w:rsidR="00051D7E" w:rsidRPr="00F451CF" w14:paraId="60D25908" w14:textId="77777777" w:rsidTr="007531FB">
        <w:trPr>
          <w:trHeight w:val="288"/>
          <w:jc w:val="center"/>
        </w:trPr>
        <w:tc>
          <w:tcPr>
            <w:tcW w:w="3780" w:type="dxa"/>
            <w:tcBorders>
              <w:top w:val="nil"/>
              <w:left w:val="nil"/>
              <w:bottom w:val="nil"/>
              <w:right w:val="nil"/>
            </w:tcBorders>
            <w:shd w:val="clear" w:color="000000" w:fill="FFFFFF"/>
            <w:noWrap/>
            <w:hideMark/>
          </w:tcPr>
          <w:p w14:paraId="64B52428" w14:textId="77777777" w:rsidR="00051D7E" w:rsidRPr="001A18A6" w:rsidRDefault="00051D7E" w:rsidP="007531FB">
            <w:pPr>
              <w:rPr>
                <w:rFonts w:ascii="Calibri" w:eastAsia="Times New Roman" w:hAnsi="Calibri" w:cs="Calibri"/>
                <w:color w:val="0D0D0D" w:themeColor="text1" w:themeTint="F2"/>
              </w:rPr>
            </w:pPr>
            <w:r w:rsidRPr="001A18A6">
              <w:rPr>
                <w:rFonts w:ascii="Calibri" w:eastAsia="Times New Roman" w:hAnsi="Calibri" w:cs="Calibri"/>
                <w:color w:val="0D0D0D" w:themeColor="text1" w:themeTint="F2"/>
              </w:rPr>
              <w:t>Reported claims</w:t>
            </w:r>
          </w:p>
        </w:tc>
        <w:tc>
          <w:tcPr>
            <w:tcW w:w="1080" w:type="dxa"/>
            <w:tcBorders>
              <w:top w:val="nil"/>
              <w:left w:val="nil"/>
              <w:bottom w:val="nil"/>
              <w:right w:val="nil"/>
            </w:tcBorders>
            <w:shd w:val="clear" w:color="000000" w:fill="FFFFFF"/>
            <w:noWrap/>
            <w:hideMark/>
          </w:tcPr>
          <w:p w14:paraId="1438FB0F" w14:textId="77777777" w:rsidR="00051D7E" w:rsidRPr="00E6640D" w:rsidRDefault="00051D7E" w:rsidP="007531FB">
            <w:pPr>
              <w:jc w:val="right"/>
              <w:rPr>
                <w:rFonts w:ascii="Calibri" w:eastAsia="Times New Roman" w:hAnsi="Calibri" w:cs="Calibri"/>
              </w:rPr>
            </w:pPr>
            <w:r w:rsidRPr="00E6640D">
              <w:rPr>
                <w:rFonts w:ascii="Calibri" w:eastAsia="Times New Roman" w:hAnsi="Calibri" w:cs="Calibri"/>
              </w:rPr>
              <w:t>905</w:t>
            </w:r>
          </w:p>
        </w:tc>
        <w:tc>
          <w:tcPr>
            <w:tcW w:w="1038" w:type="dxa"/>
            <w:tcBorders>
              <w:top w:val="nil"/>
              <w:left w:val="nil"/>
              <w:bottom w:val="nil"/>
              <w:right w:val="nil"/>
            </w:tcBorders>
            <w:shd w:val="clear" w:color="auto" w:fill="D9D9D9" w:themeFill="background1" w:themeFillShade="D9"/>
            <w:noWrap/>
            <w:hideMark/>
          </w:tcPr>
          <w:p w14:paraId="690430D5" w14:textId="77777777" w:rsidR="00051D7E" w:rsidRPr="001A18A6" w:rsidRDefault="00051D7E" w:rsidP="007531FB">
            <w:pPr>
              <w:jc w:val="right"/>
              <w:rPr>
                <w:rFonts w:ascii="Calibri" w:eastAsia="Times New Roman" w:hAnsi="Calibri" w:cs="Calibri"/>
                <w:color w:val="0D0D0D" w:themeColor="text1" w:themeTint="F2"/>
              </w:rPr>
            </w:pPr>
            <w:r>
              <w:rPr>
                <w:rFonts w:ascii="Calibri" w:eastAsia="Times New Roman" w:hAnsi="Calibri" w:cs="Calibri"/>
                <w:color w:val="0D0D0D" w:themeColor="text1" w:themeTint="F2"/>
              </w:rPr>
              <w:t>1,279</w:t>
            </w:r>
          </w:p>
        </w:tc>
      </w:tr>
      <w:tr w:rsidR="00051D7E" w:rsidRPr="00F451CF" w14:paraId="22AD7743" w14:textId="77777777" w:rsidTr="007531FB">
        <w:trPr>
          <w:trHeight w:val="300"/>
          <w:jc w:val="center"/>
        </w:trPr>
        <w:tc>
          <w:tcPr>
            <w:tcW w:w="3780" w:type="dxa"/>
            <w:tcBorders>
              <w:top w:val="single" w:sz="4" w:space="0" w:color="00688D"/>
              <w:left w:val="nil"/>
              <w:bottom w:val="double" w:sz="6" w:space="0" w:color="00688D"/>
              <w:right w:val="nil"/>
            </w:tcBorders>
            <w:shd w:val="clear" w:color="000000" w:fill="FFFFFF"/>
            <w:noWrap/>
            <w:vAlign w:val="bottom"/>
            <w:hideMark/>
          </w:tcPr>
          <w:p w14:paraId="00AE7934" w14:textId="77777777" w:rsidR="00051D7E" w:rsidRPr="001A18A6" w:rsidRDefault="00051D7E" w:rsidP="007531FB">
            <w:pPr>
              <w:rPr>
                <w:rFonts w:ascii="Calibri" w:eastAsia="Times New Roman" w:hAnsi="Calibri" w:cs="Calibri"/>
                <w:color w:val="0D0D0D" w:themeColor="text1" w:themeTint="F2"/>
              </w:rPr>
            </w:pPr>
            <w:r w:rsidRPr="001A18A6">
              <w:rPr>
                <w:rFonts w:ascii="Calibri" w:eastAsia="Times New Roman" w:hAnsi="Calibri" w:cs="Calibri"/>
                <w:color w:val="0D0D0D" w:themeColor="text1" w:themeTint="F2"/>
              </w:rPr>
              <w:t xml:space="preserve">Total health insurance liability </w:t>
            </w:r>
            <w:r w:rsidRPr="001A18A6">
              <w:rPr>
                <w:rFonts w:ascii="Calibri" w:eastAsia="Times New Roman" w:hAnsi="Calibri" w:cs="Calibri"/>
                <w:i/>
                <w:iCs/>
                <w:color w:val="0D0D0D" w:themeColor="text1" w:themeTint="F2"/>
              </w:rPr>
              <w:t>(Note 7)</w:t>
            </w:r>
          </w:p>
        </w:tc>
        <w:tc>
          <w:tcPr>
            <w:tcW w:w="1080" w:type="dxa"/>
            <w:tcBorders>
              <w:top w:val="single" w:sz="4" w:space="0" w:color="00688D"/>
              <w:left w:val="nil"/>
              <w:bottom w:val="double" w:sz="6" w:space="0" w:color="00688D"/>
              <w:right w:val="nil"/>
            </w:tcBorders>
            <w:shd w:val="clear" w:color="000000" w:fill="FFFFFF"/>
            <w:noWrap/>
            <w:vAlign w:val="bottom"/>
            <w:hideMark/>
          </w:tcPr>
          <w:p w14:paraId="406C6594" w14:textId="77777777" w:rsidR="00051D7E" w:rsidRPr="00E6640D" w:rsidRDefault="00051D7E" w:rsidP="007531FB">
            <w:pPr>
              <w:jc w:val="right"/>
              <w:rPr>
                <w:rFonts w:ascii="Calibri" w:eastAsia="Times New Roman" w:hAnsi="Calibri" w:cs="Calibri"/>
              </w:rPr>
            </w:pPr>
            <w:r w:rsidRPr="00E6640D">
              <w:rPr>
                <w:rFonts w:ascii="Calibri" w:eastAsia="Times New Roman" w:hAnsi="Calibri" w:cs="Calibri"/>
              </w:rPr>
              <w:t>$  6,287</w:t>
            </w:r>
          </w:p>
        </w:tc>
        <w:tc>
          <w:tcPr>
            <w:tcW w:w="1038"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1981C69F" w14:textId="08970287" w:rsidR="00051D7E" w:rsidRPr="001A18A6" w:rsidRDefault="00051D7E" w:rsidP="007531FB">
            <w:pPr>
              <w:jc w:val="right"/>
              <w:rPr>
                <w:rFonts w:ascii="Calibri" w:eastAsia="Times New Roman" w:hAnsi="Calibri" w:cs="Calibri"/>
                <w:color w:val="0D0D0D" w:themeColor="text1" w:themeTint="F2"/>
              </w:rPr>
            </w:pPr>
            <w:r w:rsidRPr="001A18A6">
              <w:rPr>
                <w:rFonts w:ascii="Calibri" w:eastAsia="Times New Roman" w:hAnsi="Calibri" w:cs="Calibri"/>
                <w:color w:val="0D0D0D" w:themeColor="text1" w:themeTint="F2"/>
              </w:rPr>
              <w:t>$</w:t>
            </w:r>
            <w:r w:rsidR="000544FC">
              <w:rPr>
                <w:rFonts w:ascii="Calibri" w:eastAsia="Times New Roman" w:hAnsi="Calibri" w:cs="Calibri"/>
                <w:color w:val="0D0D0D" w:themeColor="text1" w:themeTint="F2"/>
              </w:rPr>
              <w:t xml:space="preserve"> </w:t>
            </w:r>
            <w:r w:rsidRPr="001A18A6">
              <w:rPr>
                <w:rFonts w:ascii="Calibri" w:eastAsia="Times New Roman" w:hAnsi="Calibri" w:cs="Calibri"/>
                <w:color w:val="0D0D0D" w:themeColor="text1" w:themeTint="F2"/>
              </w:rPr>
              <w:t xml:space="preserve"> </w:t>
            </w:r>
            <w:r>
              <w:rPr>
                <w:rFonts w:ascii="Calibri" w:eastAsia="Times New Roman" w:hAnsi="Calibri" w:cs="Calibri"/>
                <w:color w:val="0D0D0D" w:themeColor="text1" w:themeTint="F2"/>
              </w:rPr>
              <w:t>6,982</w:t>
            </w:r>
          </w:p>
        </w:tc>
      </w:tr>
    </w:tbl>
    <w:p w14:paraId="73C51356" w14:textId="77777777" w:rsidR="00051D7E" w:rsidRDefault="00051D7E" w:rsidP="00051D7E">
      <w:pPr>
        <w:rPr>
          <w:rFonts w:eastAsia="Times New Roman" w:cstheme="minorHAnsi"/>
          <w:bCs/>
          <w:color w:val="000000"/>
          <w:spacing w:val="-3"/>
          <w:sz w:val="24"/>
          <w:szCs w:val="24"/>
        </w:rPr>
      </w:pPr>
    </w:p>
    <w:p w14:paraId="6A83CDD0" w14:textId="2C4D786D" w:rsidR="00051D7E" w:rsidRDefault="00051D7E" w:rsidP="00051D7E">
      <w:pPr>
        <w:rPr>
          <w:rFonts w:cstheme="minorHAnsi"/>
          <w:spacing w:val="-3"/>
          <w:sz w:val="24"/>
          <w:szCs w:val="20"/>
        </w:rPr>
      </w:pPr>
      <w:r w:rsidRPr="00F54559">
        <w:rPr>
          <w:rFonts w:eastAsia="Times New Roman" w:cstheme="minorHAnsi"/>
          <w:bCs/>
          <w:color w:val="000000"/>
          <w:spacing w:val="-3"/>
          <w:sz w:val="24"/>
          <w:szCs w:val="24"/>
        </w:rPr>
        <w:t xml:space="preserve">Related to the System’s self-insured health plan, certain collective bargaining agreements with System employees provide for a health insurance ‘premium rebate’ in the event that the total aggregate premium amount for the applicable two-year period (the “calculation period”) exceeds, by a stated percentage, the total aggregate costs paid for claims and other expenses for the same period.  Throughout each calculation period, the System receives periodic reports on how actual costs are trending in relation to the premiums; however, probability of a rebate cannot be determined </w:t>
      </w:r>
      <w:r w:rsidR="00071F03">
        <w:rPr>
          <w:rFonts w:eastAsia="Times New Roman" w:cstheme="minorHAnsi"/>
          <w:bCs/>
          <w:color w:val="000000"/>
          <w:spacing w:val="-3"/>
          <w:sz w:val="24"/>
          <w:szCs w:val="24"/>
        </w:rPr>
        <w:t>until</w:t>
      </w:r>
      <w:r w:rsidRPr="00F54559">
        <w:rPr>
          <w:rFonts w:eastAsia="Times New Roman" w:cstheme="minorHAnsi"/>
          <w:bCs/>
          <w:color w:val="000000"/>
          <w:spacing w:val="-3"/>
          <w:sz w:val="24"/>
          <w:szCs w:val="24"/>
        </w:rPr>
        <w:t xml:space="preserve"> the end of the calculation </w:t>
      </w:r>
      <w:r w:rsidR="002E6E54" w:rsidRPr="00F54559">
        <w:rPr>
          <w:rFonts w:eastAsia="Times New Roman" w:cstheme="minorHAnsi"/>
          <w:bCs/>
          <w:color w:val="000000"/>
          <w:spacing w:val="-3"/>
          <w:sz w:val="24"/>
          <w:szCs w:val="24"/>
        </w:rPr>
        <w:t>period</w:t>
      </w:r>
      <w:r w:rsidR="002E6E54">
        <w:rPr>
          <w:rFonts w:eastAsia="Times New Roman" w:cstheme="minorHAnsi"/>
          <w:bCs/>
          <w:color w:val="000000"/>
          <w:spacing w:val="-3"/>
          <w:sz w:val="24"/>
          <w:szCs w:val="24"/>
        </w:rPr>
        <w:t>, which</w:t>
      </w:r>
      <w:r w:rsidR="00071F03">
        <w:rPr>
          <w:rFonts w:eastAsia="Times New Roman" w:cstheme="minorHAnsi"/>
          <w:bCs/>
          <w:color w:val="000000"/>
          <w:spacing w:val="-3"/>
          <w:sz w:val="24"/>
          <w:szCs w:val="24"/>
        </w:rPr>
        <w:t xml:space="preserve"> was</w:t>
      </w:r>
      <w:r>
        <w:rPr>
          <w:rFonts w:eastAsia="Times New Roman" w:cstheme="minorHAnsi"/>
          <w:bCs/>
          <w:color w:val="000000"/>
          <w:spacing w:val="-3"/>
          <w:sz w:val="24"/>
          <w:szCs w:val="24"/>
        </w:rPr>
        <w:t xml:space="preserve"> December 31, 2020</w:t>
      </w:r>
      <w:r w:rsidRPr="000B34B4">
        <w:rPr>
          <w:rFonts w:eastAsia="Times New Roman" w:cstheme="minorHAnsi"/>
          <w:bCs/>
          <w:spacing w:val="-3"/>
          <w:sz w:val="24"/>
          <w:szCs w:val="24"/>
        </w:rPr>
        <w:t xml:space="preserve">.  As of June 30, 2021 and 2020 the estimated liability for the premium rebate of $2,750 and $0, respectively, </w:t>
      </w:r>
      <w:r w:rsidR="00C57C66">
        <w:rPr>
          <w:rFonts w:eastAsia="Times New Roman" w:cstheme="minorHAnsi"/>
          <w:bCs/>
          <w:spacing w:val="-3"/>
          <w:sz w:val="24"/>
          <w:szCs w:val="24"/>
        </w:rPr>
        <w:t>has been</w:t>
      </w:r>
      <w:r w:rsidRPr="000B34B4">
        <w:rPr>
          <w:rFonts w:eastAsia="Times New Roman" w:cstheme="minorHAnsi"/>
          <w:bCs/>
          <w:spacing w:val="-3"/>
          <w:sz w:val="24"/>
          <w:szCs w:val="24"/>
        </w:rPr>
        <w:t xml:space="preserve"> included</w:t>
      </w:r>
      <w:r w:rsidR="00C57C66">
        <w:rPr>
          <w:rFonts w:eastAsia="Times New Roman" w:cstheme="minorHAnsi"/>
          <w:bCs/>
          <w:spacing w:val="-3"/>
          <w:sz w:val="24"/>
          <w:szCs w:val="24"/>
        </w:rPr>
        <w:t xml:space="preserve"> </w:t>
      </w:r>
      <w:r w:rsidRPr="00F54559">
        <w:rPr>
          <w:rFonts w:cstheme="minorHAnsi"/>
          <w:spacing w:val="-3"/>
          <w:sz w:val="24"/>
          <w:szCs w:val="20"/>
        </w:rPr>
        <w:t>in the</w:t>
      </w:r>
      <w:r>
        <w:rPr>
          <w:rFonts w:cstheme="minorHAnsi"/>
          <w:spacing w:val="-3"/>
          <w:sz w:val="24"/>
          <w:szCs w:val="20"/>
        </w:rPr>
        <w:t xml:space="preserve"> accompanying Statements of Net Position</w:t>
      </w:r>
      <w:r w:rsidR="00C57C66">
        <w:rPr>
          <w:rFonts w:cstheme="minorHAnsi"/>
          <w:spacing w:val="-3"/>
          <w:sz w:val="24"/>
          <w:szCs w:val="20"/>
        </w:rPr>
        <w:t xml:space="preserve"> </w:t>
      </w:r>
      <w:r w:rsidR="00C57C66">
        <w:rPr>
          <w:rFonts w:eastAsia="Times New Roman" w:cstheme="minorHAnsi"/>
          <w:bCs/>
          <w:spacing w:val="-3"/>
          <w:sz w:val="24"/>
          <w:szCs w:val="24"/>
        </w:rPr>
        <w:t>as a current liability</w:t>
      </w:r>
      <w:r>
        <w:rPr>
          <w:rFonts w:cstheme="minorHAnsi"/>
          <w:spacing w:val="-3"/>
          <w:sz w:val="24"/>
          <w:szCs w:val="20"/>
        </w:rPr>
        <w:t>.</w:t>
      </w:r>
    </w:p>
    <w:p w14:paraId="5D7BA344" w14:textId="77777777" w:rsidR="00051D7E" w:rsidRPr="00F54559" w:rsidRDefault="00051D7E" w:rsidP="00051D7E">
      <w:pPr>
        <w:pStyle w:val="AFR2"/>
        <w:rPr>
          <w:rFonts w:cstheme="minorHAnsi"/>
          <w:sz w:val="26"/>
          <w:szCs w:val="26"/>
        </w:rPr>
      </w:pPr>
      <w:r w:rsidRPr="00F54559">
        <w:rPr>
          <w:rFonts w:cstheme="minorHAnsi"/>
          <w:sz w:val="26"/>
          <w:szCs w:val="26"/>
        </w:rPr>
        <w:t>12. PASS THROUGH GRANTS</w:t>
      </w:r>
    </w:p>
    <w:p w14:paraId="6B334776" w14:textId="77777777" w:rsidR="00051D7E" w:rsidRPr="00F54559" w:rsidRDefault="00051D7E" w:rsidP="00051D7E">
      <w:pPr>
        <w:tabs>
          <w:tab w:val="left" w:pos="720"/>
          <w:tab w:val="left" w:pos="1022"/>
          <w:tab w:val="left" w:pos="1440"/>
          <w:tab w:val="right" w:pos="4262"/>
          <w:tab w:val="right" w:pos="5220"/>
          <w:tab w:val="right" w:pos="6691"/>
          <w:tab w:val="right" w:pos="7621"/>
          <w:tab w:val="right" w:pos="9187"/>
        </w:tabs>
        <w:suppressAutoHyphens/>
        <w:rPr>
          <w:rFonts w:eastAsiaTheme="majorEastAsia" w:cstheme="minorHAnsi"/>
          <w:b/>
          <w:i/>
          <w:iCs/>
          <w:smallCaps/>
          <w:noProof/>
          <w:color w:val="000000" w:themeColor="text1"/>
          <w:sz w:val="26"/>
          <w:szCs w:val="26"/>
          <w:u w:color="5B9BD5"/>
        </w:rPr>
      </w:pPr>
      <w:r w:rsidRPr="00F54559">
        <w:rPr>
          <w:rFonts w:cstheme="minorHAnsi"/>
          <w:spacing w:val="-3"/>
          <w:sz w:val="24"/>
        </w:rPr>
        <w:t>During FY</w:t>
      </w:r>
      <w:r>
        <w:rPr>
          <w:rFonts w:cstheme="minorHAnsi"/>
          <w:spacing w:val="-3"/>
          <w:sz w:val="24"/>
        </w:rPr>
        <w:t>21</w:t>
      </w:r>
      <w:r w:rsidRPr="00F54559">
        <w:rPr>
          <w:rFonts w:cstheme="minorHAnsi"/>
          <w:spacing w:val="-3"/>
          <w:sz w:val="24"/>
        </w:rPr>
        <w:t xml:space="preserve"> and FY</w:t>
      </w:r>
      <w:r>
        <w:rPr>
          <w:rFonts w:cstheme="minorHAnsi"/>
          <w:spacing w:val="-3"/>
          <w:sz w:val="24"/>
        </w:rPr>
        <w:t>20</w:t>
      </w:r>
      <w:r w:rsidRPr="00F54559">
        <w:rPr>
          <w:rFonts w:cstheme="minorHAnsi"/>
          <w:spacing w:val="-3"/>
          <w:sz w:val="24"/>
        </w:rPr>
        <w:t>, the System distributed $</w:t>
      </w:r>
      <w:r w:rsidRPr="00CE4431">
        <w:rPr>
          <w:rFonts w:cstheme="minorHAnsi"/>
          <w:spacing w:val="-3"/>
          <w:sz w:val="24"/>
        </w:rPr>
        <w:t>103</w:t>
      </w:r>
      <w:r w:rsidRPr="006A7ED5">
        <w:rPr>
          <w:rFonts w:cstheme="minorHAnsi"/>
          <w:spacing w:val="-3"/>
          <w:sz w:val="24"/>
        </w:rPr>
        <w:t>,</w:t>
      </w:r>
      <w:r w:rsidRPr="00CE4431">
        <w:rPr>
          <w:rFonts w:cstheme="minorHAnsi"/>
          <w:spacing w:val="-3"/>
          <w:sz w:val="24"/>
        </w:rPr>
        <w:t>358</w:t>
      </w:r>
      <w:r w:rsidRPr="006A7ED5">
        <w:rPr>
          <w:rFonts w:cstheme="minorHAnsi"/>
          <w:spacing w:val="-3"/>
          <w:sz w:val="24"/>
        </w:rPr>
        <w:t xml:space="preserve"> </w:t>
      </w:r>
      <w:r w:rsidRPr="00F54559">
        <w:rPr>
          <w:rFonts w:cstheme="minorHAnsi"/>
          <w:spacing w:val="-3"/>
          <w:sz w:val="24"/>
        </w:rPr>
        <w:t>and $</w:t>
      </w:r>
      <w:r>
        <w:rPr>
          <w:rFonts w:cstheme="minorHAnsi"/>
          <w:spacing w:val="-3"/>
          <w:sz w:val="24"/>
        </w:rPr>
        <w:t>112,555</w:t>
      </w:r>
      <w:r w:rsidRPr="00F54559">
        <w:rPr>
          <w:rFonts w:cstheme="minorHAnsi"/>
          <w:spacing w:val="-3"/>
          <w:sz w:val="24"/>
        </w:rPr>
        <w:t>, respectively, for student loans through the U.S. Department of Education Federal Direct Lending Program.  These distributions and related funding sources are not included as expenses and revenues or as cash disbursements and cash receipts in the accompanying financial statements.</w:t>
      </w:r>
      <w:r w:rsidRPr="00F54559">
        <w:rPr>
          <w:rFonts w:cstheme="minorHAnsi"/>
          <w:sz w:val="26"/>
          <w:szCs w:val="26"/>
        </w:rPr>
        <w:br w:type="page"/>
      </w:r>
    </w:p>
    <w:p w14:paraId="294958F4" w14:textId="77777777" w:rsidR="00051D7E" w:rsidRPr="00F54559" w:rsidRDefault="00051D7E" w:rsidP="00051D7E">
      <w:pPr>
        <w:pStyle w:val="AFR2"/>
        <w:rPr>
          <w:rFonts w:cstheme="minorHAnsi"/>
          <w:sz w:val="26"/>
          <w:szCs w:val="26"/>
        </w:rPr>
      </w:pPr>
      <w:r w:rsidRPr="00F54559">
        <w:rPr>
          <w:rFonts w:cstheme="minorHAnsi"/>
          <w:sz w:val="26"/>
          <w:szCs w:val="26"/>
        </w:rPr>
        <w:lastRenderedPageBreak/>
        <w:t>13. PENSION PLANS</w:t>
      </w:r>
    </w:p>
    <w:p w14:paraId="7DE64F72" w14:textId="77777777" w:rsidR="00051D7E" w:rsidRPr="00F54559" w:rsidRDefault="00051D7E" w:rsidP="00051D7E">
      <w:pPr>
        <w:tabs>
          <w:tab w:val="left" w:pos="720"/>
          <w:tab w:val="left" w:pos="1440"/>
          <w:tab w:val="right" w:pos="4262"/>
          <w:tab w:val="right" w:pos="5220"/>
          <w:tab w:val="right" w:pos="6691"/>
          <w:tab w:val="right" w:pos="7621"/>
          <w:tab w:val="right" w:pos="9187"/>
        </w:tabs>
        <w:suppressAutoHyphens/>
        <w:spacing w:after="240"/>
      </w:pPr>
      <w:r w:rsidRPr="00F54559">
        <w:rPr>
          <w:rFonts w:cstheme="minorHAnsi"/>
          <w:bCs/>
          <w:spacing w:val="-3"/>
          <w:sz w:val="24"/>
        </w:rPr>
        <w:t xml:space="preserve">The System has several single-employer pension plans, each of which is described in more detail below.  The System’s pension </w:t>
      </w:r>
      <w:r>
        <w:rPr>
          <w:rFonts w:cstheme="minorHAnsi"/>
          <w:bCs/>
          <w:spacing w:val="-3"/>
          <w:sz w:val="24"/>
        </w:rPr>
        <w:t>(income)/</w:t>
      </w:r>
      <w:r w:rsidRPr="00F54559">
        <w:rPr>
          <w:rFonts w:cstheme="minorHAnsi"/>
          <w:bCs/>
          <w:spacing w:val="-3"/>
          <w:sz w:val="24"/>
        </w:rPr>
        <w:t>expense for each of these plans was as follows for the years ended June 30:</w:t>
      </w:r>
      <w:r>
        <w:rPr>
          <w:rFonts w:cstheme="minorHAnsi"/>
          <w:bCs/>
          <w:spacing w:val="-3"/>
          <w:sz w:val="24"/>
        </w:rPr>
        <w:t xml:space="preserve"> </w:t>
      </w:r>
      <w:r>
        <w:fldChar w:fldCharType="begin"/>
      </w:r>
      <w:r>
        <w:fldChar w:fldCharType="end"/>
      </w:r>
    </w:p>
    <w:tbl>
      <w:tblPr>
        <w:tblW w:w="6680" w:type="dxa"/>
        <w:jc w:val="center"/>
        <w:tblLook w:val="04A0" w:firstRow="1" w:lastRow="0" w:firstColumn="1" w:lastColumn="0" w:noHBand="0" w:noVBand="1"/>
      </w:tblPr>
      <w:tblGrid>
        <w:gridCol w:w="4049"/>
        <w:gridCol w:w="1441"/>
        <w:gridCol w:w="1190"/>
      </w:tblGrid>
      <w:tr w:rsidR="00051D7E" w:rsidRPr="002942E7" w14:paraId="1C548265" w14:textId="77777777" w:rsidTr="007531FB">
        <w:trPr>
          <w:trHeight w:val="324"/>
          <w:tblHeader/>
          <w:jc w:val="center"/>
        </w:trPr>
        <w:tc>
          <w:tcPr>
            <w:tcW w:w="4049" w:type="dxa"/>
            <w:tcBorders>
              <w:top w:val="nil"/>
              <w:left w:val="nil"/>
              <w:bottom w:val="single" w:sz="12" w:space="0" w:color="00688D"/>
              <w:right w:val="nil"/>
            </w:tcBorders>
            <w:shd w:val="clear" w:color="000000" w:fill="FFFFFF"/>
            <w:noWrap/>
            <w:vAlign w:val="bottom"/>
            <w:hideMark/>
          </w:tcPr>
          <w:p w14:paraId="0782BB35" w14:textId="77777777" w:rsidR="00051D7E" w:rsidRPr="002942E7" w:rsidRDefault="00051D7E" w:rsidP="007531FB">
            <w:pPr>
              <w:jc w:val="center"/>
              <w:rPr>
                <w:rFonts w:ascii="Calibri" w:eastAsia="Times New Roman" w:hAnsi="Calibri" w:cs="Calibri"/>
                <w:b/>
                <w:bCs/>
                <w:color w:val="0D0D0D"/>
              </w:rPr>
            </w:pPr>
            <w:r w:rsidRPr="002942E7">
              <w:rPr>
                <w:rFonts w:ascii="Calibri" w:eastAsia="Times New Roman" w:hAnsi="Calibri" w:cs="Calibri"/>
                <w:b/>
                <w:bCs/>
                <w:color w:val="0D0D0D"/>
              </w:rPr>
              <w:t> </w:t>
            </w:r>
          </w:p>
        </w:tc>
        <w:tc>
          <w:tcPr>
            <w:tcW w:w="1441" w:type="dxa"/>
            <w:tcBorders>
              <w:top w:val="nil"/>
              <w:left w:val="nil"/>
              <w:bottom w:val="single" w:sz="12" w:space="0" w:color="00688D"/>
              <w:right w:val="nil"/>
            </w:tcBorders>
            <w:shd w:val="clear" w:color="000000" w:fill="FFFFFF"/>
            <w:noWrap/>
            <w:vAlign w:val="bottom"/>
            <w:hideMark/>
          </w:tcPr>
          <w:p w14:paraId="3D549E38" w14:textId="77777777" w:rsidR="00051D7E" w:rsidRPr="002942E7" w:rsidRDefault="00051D7E" w:rsidP="007531FB">
            <w:pPr>
              <w:jc w:val="center"/>
              <w:rPr>
                <w:rFonts w:ascii="Calibri" w:eastAsia="Times New Roman" w:hAnsi="Calibri" w:cs="Calibri"/>
                <w:b/>
                <w:bCs/>
                <w:color w:val="0D0D0D"/>
              </w:rPr>
            </w:pPr>
            <w:r w:rsidRPr="002942E7">
              <w:rPr>
                <w:rFonts w:ascii="Calibri" w:eastAsia="Times New Roman" w:hAnsi="Calibri" w:cs="Calibri"/>
                <w:b/>
                <w:bCs/>
                <w:color w:val="0D0D0D"/>
              </w:rPr>
              <w:t>202</w:t>
            </w:r>
            <w:r>
              <w:rPr>
                <w:rFonts w:ascii="Calibri" w:eastAsia="Times New Roman" w:hAnsi="Calibri" w:cs="Calibri"/>
                <w:b/>
                <w:bCs/>
                <w:color w:val="0D0D0D"/>
              </w:rPr>
              <w:t>1</w:t>
            </w:r>
          </w:p>
        </w:tc>
        <w:tc>
          <w:tcPr>
            <w:tcW w:w="1190" w:type="dxa"/>
            <w:tcBorders>
              <w:top w:val="nil"/>
              <w:left w:val="nil"/>
              <w:bottom w:val="single" w:sz="12" w:space="0" w:color="00688D"/>
              <w:right w:val="nil"/>
            </w:tcBorders>
            <w:shd w:val="clear" w:color="auto" w:fill="D9D9D9" w:themeFill="background1" w:themeFillShade="D9"/>
            <w:noWrap/>
            <w:vAlign w:val="bottom"/>
            <w:hideMark/>
          </w:tcPr>
          <w:p w14:paraId="7246AC7F" w14:textId="77777777" w:rsidR="00051D7E" w:rsidRPr="002942E7" w:rsidRDefault="00051D7E" w:rsidP="007531FB">
            <w:pPr>
              <w:jc w:val="center"/>
              <w:rPr>
                <w:rFonts w:ascii="Calibri" w:eastAsia="Times New Roman" w:hAnsi="Calibri" w:cs="Calibri"/>
                <w:b/>
                <w:bCs/>
                <w:color w:val="0D0D0D"/>
              </w:rPr>
            </w:pPr>
            <w:r>
              <w:rPr>
                <w:rFonts w:ascii="Calibri" w:eastAsia="Times New Roman" w:hAnsi="Calibri" w:cs="Calibri"/>
                <w:b/>
                <w:bCs/>
                <w:color w:val="0D0D0D"/>
              </w:rPr>
              <w:t>2020</w:t>
            </w:r>
          </w:p>
        </w:tc>
      </w:tr>
      <w:tr w:rsidR="00051D7E" w:rsidRPr="002942E7" w14:paraId="77E9CB55" w14:textId="77777777" w:rsidTr="007531FB">
        <w:trPr>
          <w:trHeight w:val="324"/>
          <w:jc w:val="center"/>
        </w:trPr>
        <w:tc>
          <w:tcPr>
            <w:tcW w:w="4049" w:type="dxa"/>
            <w:tcBorders>
              <w:top w:val="nil"/>
              <w:left w:val="nil"/>
              <w:bottom w:val="nil"/>
              <w:right w:val="nil"/>
            </w:tcBorders>
            <w:shd w:val="clear" w:color="000000" w:fill="FFFFFF"/>
            <w:noWrap/>
            <w:vAlign w:val="bottom"/>
            <w:hideMark/>
          </w:tcPr>
          <w:p w14:paraId="711B12B6"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Faculty and Professional Employees:</w:t>
            </w:r>
          </w:p>
        </w:tc>
        <w:tc>
          <w:tcPr>
            <w:tcW w:w="1441" w:type="dxa"/>
            <w:tcBorders>
              <w:top w:val="nil"/>
              <w:left w:val="nil"/>
              <w:bottom w:val="nil"/>
              <w:right w:val="nil"/>
            </w:tcBorders>
            <w:shd w:val="clear" w:color="000000" w:fill="FFFFFF"/>
            <w:noWrap/>
            <w:vAlign w:val="bottom"/>
            <w:hideMark/>
          </w:tcPr>
          <w:p w14:paraId="36A9CEE6"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 </w:t>
            </w:r>
          </w:p>
        </w:tc>
        <w:tc>
          <w:tcPr>
            <w:tcW w:w="1190" w:type="dxa"/>
            <w:tcBorders>
              <w:top w:val="nil"/>
              <w:left w:val="nil"/>
              <w:bottom w:val="nil"/>
              <w:right w:val="nil"/>
            </w:tcBorders>
            <w:shd w:val="clear" w:color="auto" w:fill="D9D9D9" w:themeFill="background1" w:themeFillShade="D9"/>
            <w:noWrap/>
            <w:vAlign w:val="bottom"/>
            <w:hideMark/>
          </w:tcPr>
          <w:p w14:paraId="2B730DEB"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 </w:t>
            </w:r>
          </w:p>
        </w:tc>
      </w:tr>
      <w:tr w:rsidR="00051D7E" w:rsidRPr="002942E7" w14:paraId="5A012735" w14:textId="77777777" w:rsidTr="007531FB">
        <w:trPr>
          <w:trHeight w:val="312"/>
          <w:jc w:val="center"/>
        </w:trPr>
        <w:tc>
          <w:tcPr>
            <w:tcW w:w="4049" w:type="dxa"/>
            <w:tcBorders>
              <w:top w:val="nil"/>
              <w:left w:val="nil"/>
              <w:bottom w:val="nil"/>
              <w:right w:val="nil"/>
            </w:tcBorders>
            <w:shd w:val="clear" w:color="000000" w:fill="FFFFFF"/>
            <w:noWrap/>
            <w:vAlign w:val="bottom"/>
            <w:hideMark/>
          </w:tcPr>
          <w:p w14:paraId="5F2A6959" w14:textId="77777777" w:rsidR="00051D7E" w:rsidRPr="002942E7" w:rsidRDefault="00051D7E" w:rsidP="007531FB">
            <w:pPr>
              <w:ind w:firstLineChars="100" w:firstLine="220"/>
              <w:rPr>
                <w:rFonts w:ascii="Calibri" w:eastAsia="Times New Roman" w:hAnsi="Calibri" w:cs="Calibri"/>
                <w:color w:val="0D0D0D"/>
              </w:rPr>
            </w:pPr>
            <w:r w:rsidRPr="002942E7">
              <w:rPr>
                <w:rFonts w:ascii="Calibri" w:eastAsia="Times New Roman" w:hAnsi="Calibri" w:cs="Calibri"/>
                <w:color w:val="0D0D0D"/>
              </w:rPr>
              <w:t>Contributory retirement plan</w:t>
            </w:r>
          </w:p>
        </w:tc>
        <w:tc>
          <w:tcPr>
            <w:tcW w:w="1441" w:type="dxa"/>
            <w:tcBorders>
              <w:top w:val="nil"/>
              <w:left w:val="nil"/>
              <w:bottom w:val="nil"/>
              <w:right w:val="nil"/>
            </w:tcBorders>
            <w:shd w:val="clear" w:color="000000" w:fill="FFFFFF"/>
            <w:noWrap/>
            <w:vAlign w:val="bottom"/>
            <w:hideMark/>
          </w:tcPr>
          <w:p w14:paraId="791863B4" w14:textId="77777777" w:rsidR="00051D7E" w:rsidRPr="00F16DEC" w:rsidRDefault="00051D7E" w:rsidP="007531FB">
            <w:pPr>
              <w:jc w:val="right"/>
              <w:rPr>
                <w:rFonts w:ascii="Calibri" w:eastAsia="Times New Roman" w:hAnsi="Calibri" w:cs="Calibri"/>
              </w:rPr>
            </w:pPr>
            <w:r w:rsidRPr="00F16DEC">
              <w:rPr>
                <w:rFonts w:ascii="Calibri" w:eastAsia="Times New Roman" w:hAnsi="Calibri" w:cs="Calibri"/>
              </w:rPr>
              <w:t>$  22,602</w:t>
            </w:r>
          </w:p>
        </w:tc>
        <w:tc>
          <w:tcPr>
            <w:tcW w:w="1190" w:type="dxa"/>
            <w:tcBorders>
              <w:top w:val="nil"/>
              <w:left w:val="nil"/>
              <w:bottom w:val="nil"/>
              <w:right w:val="nil"/>
            </w:tcBorders>
            <w:shd w:val="clear" w:color="auto" w:fill="D9D9D9" w:themeFill="background1" w:themeFillShade="D9"/>
            <w:noWrap/>
            <w:vAlign w:val="bottom"/>
            <w:hideMark/>
          </w:tcPr>
          <w:p w14:paraId="37B5F191" w14:textId="77777777" w:rsidR="00051D7E" w:rsidRPr="00F16DEC" w:rsidRDefault="00051D7E" w:rsidP="007531FB">
            <w:pPr>
              <w:jc w:val="right"/>
              <w:rPr>
                <w:rFonts w:ascii="Calibri" w:eastAsia="Times New Roman" w:hAnsi="Calibri" w:cs="Calibri"/>
              </w:rPr>
            </w:pPr>
            <w:r w:rsidRPr="00F16DEC">
              <w:rPr>
                <w:rFonts w:ascii="Calibri" w:eastAsia="Times New Roman" w:hAnsi="Calibri" w:cs="Calibri"/>
              </w:rPr>
              <w:t>$  21,809</w:t>
            </w:r>
          </w:p>
        </w:tc>
      </w:tr>
      <w:tr w:rsidR="00051D7E" w:rsidRPr="002942E7" w14:paraId="59FF9760" w14:textId="77777777" w:rsidTr="007531FB">
        <w:trPr>
          <w:trHeight w:val="312"/>
          <w:jc w:val="center"/>
        </w:trPr>
        <w:tc>
          <w:tcPr>
            <w:tcW w:w="4049" w:type="dxa"/>
            <w:tcBorders>
              <w:top w:val="nil"/>
              <w:left w:val="nil"/>
              <w:bottom w:val="nil"/>
              <w:right w:val="nil"/>
            </w:tcBorders>
            <w:shd w:val="clear" w:color="000000" w:fill="FFFFFF"/>
            <w:noWrap/>
            <w:vAlign w:val="bottom"/>
            <w:hideMark/>
          </w:tcPr>
          <w:p w14:paraId="794A0CCB" w14:textId="77777777" w:rsidR="00051D7E" w:rsidRPr="002942E7" w:rsidRDefault="00051D7E" w:rsidP="007531FB">
            <w:pPr>
              <w:ind w:firstLineChars="100" w:firstLine="220"/>
              <w:rPr>
                <w:rFonts w:ascii="Calibri" w:eastAsia="Times New Roman" w:hAnsi="Calibri" w:cs="Calibri"/>
                <w:color w:val="0D0D0D"/>
              </w:rPr>
            </w:pPr>
            <w:r w:rsidRPr="002942E7">
              <w:rPr>
                <w:rFonts w:ascii="Calibri" w:eastAsia="Times New Roman" w:hAnsi="Calibri" w:cs="Calibri"/>
                <w:color w:val="0D0D0D"/>
              </w:rPr>
              <w:t>Incentive retirement plan</w:t>
            </w:r>
          </w:p>
        </w:tc>
        <w:tc>
          <w:tcPr>
            <w:tcW w:w="1441" w:type="dxa"/>
            <w:tcBorders>
              <w:top w:val="nil"/>
              <w:left w:val="nil"/>
              <w:bottom w:val="nil"/>
              <w:right w:val="nil"/>
            </w:tcBorders>
            <w:shd w:val="clear" w:color="000000" w:fill="FFFFFF"/>
            <w:noWrap/>
            <w:vAlign w:val="bottom"/>
            <w:hideMark/>
          </w:tcPr>
          <w:p w14:paraId="28D9C135" w14:textId="77777777" w:rsidR="00051D7E" w:rsidRPr="00F16DEC" w:rsidRDefault="00051D7E" w:rsidP="007531FB">
            <w:pPr>
              <w:jc w:val="right"/>
              <w:rPr>
                <w:rFonts w:ascii="Calibri" w:eastAsia="Times New Roman" w:hAnsi="Calibri" w:cs="Calibri"/>
              </w:rPr>
            </w:pPr>
            <w:r w:rsidRPr="00F16DEC">
              <w:rPr>
                <w:rFonts w:ascii="Calibri" w:eastAsia="Times New Roman" w:hAnsi="Calibri" w:cs="Calibri"/>
              </w:rPr>
              <w:t>1,526</w:t>
            </w:r>
          </w:p>
        </w:tc>
        <w:tc>
          <w:tcPr>
            <w:tcW w:w="1190" w:type="dxa"/>
            <w:tcBorders>
              <w:top w:val="nil"/>
              <w:left w:val="nil"/>
              <w:bottom w:val="nil"/>
              <w:right w:val="nil"/>
            </w:tcBorders>
            <w:shd w:val="clear" w:color="auto" w:fill="D9D9D9" w:themeFill="background1" w:themeFillShade="D9"/>
            <w:noWrap/>
            <w:vAlign w:val="bottom"/>
            <w:hideMark/>
          </w:tcPr>
          <w:p w14:paraId="44D5D2AA" w14:textId="77777777" w:rsidR="00051D7E" w:rsidRPr="00F16DEC" w:rsidRDefault="00051D7E" w:rsidP="007531FB">
            <w:pPr>
              <w:jc w:val="right"/>
              <w:rPr>
                <w:rFonts w:ascii="Calibri" w:eastAsia="Times New Roman" w:hAnsi="Calibri" w:cs="Calibri"/>
              </w:rPr>
            </w:pPr>
            <w:r w:rsidRPr="00F16DEC">
              <w:rPr>
                <w:rFonts w:ascii="Calibri" w:eastAsia="Times New Roman" w:hAnsi="Calibri" w:cs="Calibri"/>
              </w:rPr>
              <w:t>1,443</w:t>
            </w:r>
          </w:p>
        </w:tc>
      </w:tr>
      <w:tr w:rsidR="00051D7E" w:rsidRPr="002942E7" w14:paraId="23E6B3FC" w14:textId="77777777" w:rsidTr="007531FB">
        <w:trPr>
          <w:trHeight w:val="540"/>
          <w:jc w:val="center"/>
        </w:trPr>
        <w:tc>
          <w:tcPr>
            <w:tcW w:w="4049" w:type="dxa"/>
            <w:tcBorders>
              <w:top w:val="nil"/>
              <w:left w:val="nil"/>
              <w:bottom w:val="nil"/>
              <w:right w:val="nil"/>
            </w:tcBorders>
            <w:shd w:val="clear" w:color="000000" w:fill="FFFFFF"/>
            <w:noWrap/>
            <w:vAlign w:val="bottom"/>
            <w:hideMark/>
          </w:tcPr>
          <w:p w14:paraId="3D5F32FD"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Hourly Employees:</w:t>
            </w:r>
          </w:p>
        </w:tc>
        <w:tc>
          <w:tcPr>
            <w:tcW w:w="1441" w:type="dxa"/>
            <w:tcBorders>
              <w:top w:val="nil"/>
              <w:left w:val="nil"/>
              <w:bottom w:val="nil"/>
              <w:right w:val="nil"/>
            </w:tcBorders>
            <w:shd w:val="clear" w:color="000000" w:fill="FFFFFF"/>
            <w:noWrap/>
            <w:vAlign w:val="bottom"/>
            <w:hideMark/>
          </w:tcPr>
          <w:p w14:paraId="0833EA15" w14:textId="77777777" w:rsidR="00051D7E" w:rsidRPr="00F16DEC" w:rsidRDefault="00051D7E" w:rsidP="007531FB">
            <w:pPr>
              <w:jc w:val="right"/>
              <w:rPr>
                <w:rFonts w:ascii="Calibri" w:eastAsia="Times New Roman" w:hAnsi="Calibri" w:cs="Calibri"/>
              </w:rPr>
            </w:pPr>
            <w:r w:rsidRPr="00F16DEC">
              <w:rPr>
                <w:rFonts w:ascii="Calibri" w:eastAsia="Times New Roman" w:hAnsi="Calibri" w:cs="Calibri"/>
              </w:rPr>
              <w:t> </w:t>
            </w:r>
          </w:p>
        </w:tc>
        <w:tc>
          <w:tcPr>
            <w:tcW w:w="1190" w:type="dxa"/>
            <w:tcBorders>
              <w:top w:val="nil"/>
              <w:left w:val="nil"/>
              <w:bottom w:val="nil"/>
              <w:right w:val="nil"/>
            </w:tcBorders>
            <w:shd w:val="clear" w:color="auto" w:fill="D9D9D9" w:themeFill="background1" w:themeFillShade="D9"/>
            <w:noWrap/>
            <w:vAlign w:val="bottom"/>
            <w:hideMark/>
          </w:tcPr>
          <w:p w14:paraId="4AA7D6C2" w14:textId="77777777" w:rsidR="00051D7E" w:rsidRPr="00F16DEC" w:rsidRDefault="00051D7E" w:rsidP="007531FB">
            <w:pPr>
              <w:jc w:val="right"/>
              <w:rPr>
                <w:rFonts w:ascii="Calibri" w:eastAsia="Times New Roman" w:hAnsi="Calibri" w:cs="Calibri"/>
              </w:rPr>
            </w:pPr>
            <w:r w:rsidRPr="00F16DEC">
              <w:rPr>
                <w:rFonts w:ascii="Calibri" w:eastAsia="Times New Roman" w:hAnsi="Calibri" w:cs="Calibri"/>
              </w:rPr>
              <w:t> </w:t>
            </w:r>
          </w:p>
        </w:tc>
      </w:tr>
      <w:tr w:rsidR="00051D7E" w:rsidRPr="002942E7" w14:paraId="1FD8786E" w14:textId="77777777" w:rsidTr="007531FB">
        <w:trPr>
          <w:trHeight w:val="312"/>
          <w:jc w:val="center"/>
        </w:trPr>
        <w:tc>
          <w:tcPr>
            <w:tcW w:w="4049" w:type="dxa"/>
            <w:tcBorders>
              <w:top w:val="nil"/>
              <w:left w:val="nil"/>
              <w:bottom w:val="nil"/>
              <w:right w:val="nil"/>
            </w:tcBorders>
            <w:shd w:val="clear" w:color="000000" w:fill="FFFFFF"/>
            <w:noWrap/>
            <w:vAlign w:val="bottom"/>
            <w:hideMark/>
          </w:tcPr>
          <w:p w14:paraId="6493866A" w14:textId="77777777" w:rsidR="00051D7E" w:rsidRPr="002942E7" w:rsidRDefault="00051D7E" w:rsidP="007531FB">
            <w:pPr>
              <w:ind w:firstLineChars="100" w:firstLine="220"/>
              <w:rPr>
                <w:rFonts w:ascii="Calibri" w:eastAsia="Times New Roman" w:hAnsi="Calibri" w:cs="Calibri"/>
                <w:color w:val="0D0D0D"/>
              </w:rPr>
            </w:pPr>
            <w:r w:rsidRPr="002942E7">
              <w:rPr>
                <w:rFonts w:ascii="Calibri" w:eastAsia="Times New Roman" w:hAnsi="Calibri" w:cs="Calibri"/>
                <w:color w:val="0D0D0D"/>
              </w:rPr>
              <w:t>Basic retirement plan</w:t>
            </w:r>
          </w:p>
        </w:tc>
        <w:tc>
          <w:tcPr>
            <w:tcW w:w="1441" w:type="dxa"/>
            <w:tcBorders>
              <w:top w:val="nil"/>
              <w:left w:val="nil"/>
              <w:bottom w:val="nil"/>
              <w:right w:val="nil"/>
            </w:tcBorders>
            <w:shd w:val="clear" w:color="000000" w:fill="FFFFFF"/>
            <w:noWrap/>
            <w:vAlign w:val="bottom"/>
            <w:hideMark/>
          </w:tcPr>
          <w:p w14:paraId="0A986F5F" w14:textId="77777777" w:rsidR="00051D7E" w:rsidRPr="00F16DEC" w:rsidRDefault="00051D7E" w:rsidP="007531FB">
            <w:pPr>
              <w:jc w:val="right"/>
              <w:rPr>
                <w:rFonts w:ascii="Calibri" w:eastAsia="Times New Roman" w:hAnsi="Calibri" w:cs="Calibri"/>
              </w:rPr>
            </w:pPr>
            <w:r w:rsidRPr="00F16DEC">
              <w:rPr>
                <w:rFonts w:ascii="Calibri" w:eastAsia="Times New Roman" w:hAnsi="Calibri" w:cs="Calibri"/>
              </w:rPr>
              <w:t>3,201</w:t>
            </w:r>
          </w:p>
        </w:tc>
        <w:tc>
          <w:tcPr>
            <w:tcW w:w="1190" w:type="dxa"/>
            <w:tcBorders>
              <w:top w:val="nil"/>
              <w:left w:val="nil"/>
              <w:bottom w:val="nil"/>
              <w:right w:val="nil"/>
            </w:tcBorders>
            <w:shd w:val="clear" w:color="auto" w:fill="D9D9D9" w:themeFill="background1" w:themeFillShade="D9"/>
            <w:noWrap/>
            <w:vAlign w:val="bottom"/>
            <w:hideMark/>
          </w:tcPr>
          <w:p w14:paraId="14F54158" w14:textId="77777777" w:rsidR="00051D7E" w:rsidRPr="00F16DEC" w:rsidRDefault="00051D7E" w:rsidP="007531FB">
            <w:pPr>
              <w:jc w:val="right"/>
              <w:rPr>
                <w:rFonts w:ascii="Calibri" w:eastAsia="Times New Roman" w:hAnsi="Calibri" w:cs="Calibri"/>
              </w:rPr>
            </w:pPr>
            <w:r w:rsidRPr="00F16DEC">
              <w:rPr>
                <w:rFonts w:ascii="Calibri" w:eastAsia="Times New Roman" w:hAnsi="Calibri" w:cs="Calibri"/>
              </w:rPr>
              <w:t>3,139</w:t>
            </w:r>
          </w:p>
        </w:tc>
      </w:tr>
      <w:tr w:rsidR="00051D7E" w:rsidRPr="002942E7" w14:paraId="6DC90548" w14:textId="77777777" w:rsidTr="007531FB">
        <w:trPr>
          <w:trHeight w:val="312"/>
          <w:jc w:val="center"/>
        </w:trPr>
        <w:tc>
          <w:tcPr>
            <w:tcW w:w="4049" w:type="dxa"/>
            <w:tcBorders>
              <w:top w:val="nil"/>
              <w:left w:val="nil"/>
              <w:bottom w:val="nil"/>
              <w:right w:val="nil"/>
            </w:tcBorders>
            <w:shd w:val="clear" w:color="000000" w:fill="FFFFFF"/>
            <w:noWrap/>
            <w:vAlign w:val="bottom"/>
            <w:hideMark/>
          </w:tcPr>
          <w:p w14:paraId="4E90D4EC" w14:textId="77777777" w:rsidR="00051D7E" w:rsidRPr="002942E7" w:rsidRDefault="00051D7E" w:rsidP="007531FB">
            <w:pPr>
              <w:ind w:firstLineChars="100" w:firstLine="220"/>
              <w:rPr>
                <w:rFonts w:ascii="Calibri" w:eastAsia="Times New Roman" w:hAnsi="Calibri" w:cs="Calibri"/>
                <w:color w:val="0D0D0D"/>
              </w:rPr>
            </w:pPr>
            <w:r w:rsidRPr="002942E7">
              <w:rPr>
                <w:rFonts w:ascii="Calibri" w:eastAsia="Times New Roman" w:hAnsi="Calibri" w:cs="Calibri"/>
                <w:color w:val="0D0D0D"/>
              </w:rPr>
              <w:t>Defined benefit plan</w:t>
            </w:r>
            <w:r>
              <w:rPr>
                <w:rFonts w:ascii="Calibri" w:eastAsia="Times New Roman" w:hAnsi="Calibri" w:cs="Calibri"/>
                <w:color w:val="0D0D0D"/>
              </w:rPr>
              <w:t xml:space="preserve"> (Income)/Expense</w:t>
            </w:r>
          </w:p>
        </w:tc>
        <w:tc>
          <w:tcPr>
            <w:tcW w:w="1441" w:type="dxa"/>
            <w:tcBorders>
              <w:top w:val="nil"/>
              <w:left w:val="nil"/>
              <w:bottom w:val="nil"/>
              <w:right w:val="nil"/>
            </w:tcBorders>
            <w:shd w:val="clear" w:color="000000" w:fill="FFFFFF"/>
            <w:noWrap/>
            <w:vAlign w:val="bottom"/>
            <w:hideMark/>
          </w:tcPr>
          <w:p w14:paraId="25454E15" w14:textId="77777777" w:rsidR="00051D7E" w:rsidRPr="00F16DEC" w:rsidRDefault="00051D7E" w:rsidP="007531FB">
            <w:pPr>
              <w:jc w:val="right"/>
              <w:rPr>
                <w:rFonts w:ascii="Calibri" w:eastAsia="Times New Roman" w:hAnsi="Calibri" w:cs="Calibri"/>
              </w:rPr>
            </w:pPr>
            <w:r w:rsidRPr="00F16DEC">
              <w:rPr>
                <w:rFonts w:ascii="Calibri" w:eastAsia="Times New Roman" w:hAnsi="Calibri" w:cs="Calibri"/>
              </w:rPr>
              <w:t>(216)</w:t>
            </w:r>
          </w:p>
        </w:tc>
        <w:tc>
          <w:tcPr>
            <w:tcW w:w="1190" w:type="dxa"/>
            <w:tcBorders>
              <w:top w:val="nil"/>
              <w:left w:val="nil"/>
              <w:bottom w:val="nil"/>
              <w:right w:val="nil"/>
            </w:tcBorders>
            <w:shd w:val="clear" w:color="auto" w:fill="D9D9D9" w:themeFill="background1" w:themeFillShade="D9"/>
            <w:noWrap/>
            <w:vAlign w:val="bottom"/>
            <w:hideMark/>
          </w:tcPr>
          <w:p w14:paraId="6ED14821" w14:textId="77777777" w:rsidR="00051D7E" w:rsidRPr="00F16DEC" w:rsidRDefault="00051D7E" w:rsidP="007531FB">
            <w:pPr>
              <w:jc w:val="right"/>
              <w:rPr>
                <w:rFonts w:ascii="Calibri" w:eastAsia="Times New Roman" w:hAnsi="Calibri" w:cs="Calibri"/>
              </w:rPr>
            </w:pPr>
            <w:r w:rsidRPr="00F16DEC">
              <w:rPr>
                <w:rFonts w:ascii="Calibri" w:eastAsia="Times New Roman" w:hAnsi="Calibri" w:cs="Calibri"/>
              </w:rPr>
              <w:t>1,361</w:t>
            </w:r>
          </w:p>
        </w:tc>
      </w:tr>
      <w:tr w:rsidR="00051D7E" w:rsidRPr="002942E7" w14:paraId="56A819A4" w14:textId="77777777" w:rsidTr="007531FB">
        <w:trPr>
          <w:trHeight w:val="390"/>
          <w:jc w:val="center"/>
        </w:trPr>
        <w:tc>
          <w:tcPr>
            <w:tcW w:w="4049" w:type="dxa"/>
            <w:tcBorders>
              <w:top w:val="single" w:sz="4" w:space="0" w:color="00688D"/>
              <w:left w:val="nil"/>
              <w:bottom w:val="double" w:sz="6" w:space="0" w:color="00688D"/>
              <w:right w:val="nil"/>
            </w:tcBorders>
            <w:shd w:val="clear" w:color="000000" w:fill="FFFFFF"/>
            <w:noWrap/>
            <w:vAlign w:val="bottom"/>
            <w:hideMark/>
          </w:tcPr>
          <w:p w14:paraId="53DC9F8E"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 xml:space="preserve">Total net pension expense </w:t>
            </w:r>
          </w:p>
        </w:tc>
        <w:tc>
          <w:tcPr>
            <w:tcW w:w="1441" w:type="dxa"/>
            <w:tcBorders>
              <w:top w:val="single" w:sz="4" w:space="0" w:color="00688D"/>
              <w:left w:val="nil"/>
              <w:bottom w:val="double" w:sz="6" w:space="0" w:color="00688D"/>
              <w:right w:val="nil"/>
            </w:tcBorders>
            <w:shd w:val="clear" w:color="000000" w:fill="FFFFFF"/>
            <w:noWrap/>
            <w:vAlign w:val="bottom"/>
            <w:hideMark/>
          </w:tcPr>
          <w:p w14:paraId="51E1E2ED" w14:textId="77777777" w:rsidR="00051D7E" w:rsidRPr="00F16DEC" w:rsidRDefault="00051D7E" w:rsidP="007531FB">
            <w:pPr>
              <w:jc w:val="right"/>
              <w:rPr>
                <w:rFonts w:ascii="Calibri" w:eastAsia="Times New Roman" w:hAnsi="Calibri" w:cs="Calibri"/>
              </w:rPr>
            </w:pPr>
            <w:r w:rsidRPr="00F16DEC">
              <w:rPr>
                <w:rFonts w:ascii="Calibri" w:eastAsia="Times New Roman" w:hAnsi="Calibri" w:cs="Calibri"/>
              </w:rPr>
              <w:t>$  27,113</w:t>
            </w:r>
          </w:p>
        </w:tc>
        <w:tc>
          <w:tcPr>
            <w:tcW w:w="1190"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61CB7DDB" w14:textId="77777777" w:rsidR="00051D7E" w:rsidRPr="00F16DEC" w:rsidRDefault="00051D7E" w:rsidP="007531FB">
            <w:pPr>
              <w:jc w:val="right"/>
              <w:rPr>
                <w:rFonts w:ascii="Calibri" w:eastAsia="Times New Roman" w:hAnsi="Calibri" w:cs="Calibri"/>
              </w:rPr>
            </w:pPr>
            <w:r w:rsidRPr="00F16DEC">
              <w:rPr>
                <w:rFonts w:ascii="Calibri" w:eastAsia="Times New Roman" w:hAnsi="Calibri" w:cs="Calibri"/>
              </w:rPr>
              <w:t>$  27,752</w:t>
            </w:r>
          </w:p>
        </w:tc>
      </w:tr>
    </w:tbl>
    <w:p w14:paraId="09EC95AD" w14:textId="77777777" w:rsidR="00051D7E" w:rsidRPr="00F54559" w:rsidRDefault="00051D7E" w:rsidP="00051D7E">
      <w:pPr>
        <w:pStyle w:val="AFR3"/>
        <w:rPr>
          <w:rFonts w:cstheme="minorHAnsi"/>
        </w:rPr>
      </w:pPr>
      <w:r w:rsidRPr="00F54559">
        <w:rPr>
          <w:rFonts w:cstheme="minorHAnsi"/>
        </w:rPr>
        <w:t>a. Contributory Retirement Plan - Faculty and Professional Employees</w:t>
      </w:r>
    </w:p>
    <w:p w14:paraId="5436D34E" w14:textId="77777777" w:rsidR="00051D7E" w:rsidRPr="00F54559" w:rsidRDefault="00051D7E" w:rsidP="00051D7E">
      <w:pPr>
        <w:tabs>
          <w:tab w:val="left" w:pos="720"/>
          <w:tab w:val="left" w:pos="1440"/>
          <w:tab w:val="right" w:pos="4262"/>
          <w:tab w:val="right" w:pos="5220"/>
          <w:tab w:val="right" w:pos="6691"/>
          <w:tab w:val="right" w:pos="7621"/>
          <w:tab w:val="right" w:pos="9187"/>
        </w:tabs>
        <w:suppressAutoHyphens/>
        <w:rPr>
          <w:rFonts w:eastAsia="Times New Roman" w:cstheme="minorHAnsi"/>
          <w:bCs/>
          <w:spacing w:val="-3"/>
          <w:sz w:val="24"/>
          <w:szCs w:val="24"/>
        </w:rPr>
      </w:pPr>
      <w:r w:rsidRPr="00F54559">
        <w:rPr>
          <w:rFonts w:eastAsia="Times New Roman" w:cstheme="minorHAnsi"/>
          <w:sz w:val="24"/>
          <w:szCs w:val="20"/>
        </w:rPr>
        <w:t>Eligible salaried employees participate in the University of Maine System Retirement Plan for Faculty and Professional Employees (Contributory Plan),</w:t>
      </w:r>
      <w:r w:rsidRPr="00F54559">
        <w:rPr>
          <w:rFonts w:eastAsia="Times New Roman" w:cstheme="minorHAnsi"/>
          <w:bCs/>
          <w:spacing w:val="-3"/>
          <w:sz w:val="24"/>
          <w:szCs w:val="24"/>
        </w:rPr>
        <w:t xml:space="preserve"> a defined contribution retirement plan administered by the Teachers Insurance and Annuity Association of America (TIAA).  The Board of Trustees and collective bargaining agreements establish benefit terms and mandatory employee and employer contribution rates.</w:t>
      </w:r>
    </w:p>
    <w:p w14:paraId="56553FC9" w14:textId="77777777" w:rsidR="00051D7E" w:rsidRPr="00F54559" w:rsidRDefault="00051D7E" w:rsidP="00051D7E">
      <w:pPr>
        <w:tabs>
          <w:tab w:val="left" w:pos="720"/>
          <w:tab w:val="left" w:pos="1440"/>
          <w:tab w:val="right" w:pos="4262"/>
          <w:tab w:val="right" w:pos="5220"/>
          <w:tab w:val="right" w:pos="6691"/>
          <w:tab w:val="right" w:pos="7621"/>
          <w:tab w:val="right" w:pos="9187"/>
        </w:tabs>
        <w:suppressAutoHyphens/>
        <w:ind w:left="180"/>
        <w:rPr>
          <w:rFonts w:eastAsia="Times New Roman" w:cstheme="minorHAnsi"/>
          <w:bCs/>
          <w:spacing w:val="-3"/>
          <w:sz w:val="24"/>
          <w:szCs w:val="24"/>
        </w:rPr>
      </w:pPr>
    </w:p>
    <w:p w14:paraId="1F7CE3CE" w14:textId="78F3CB54" w:rsidR="00051D7E" w:rsidRPr="00F54559" w:rsidRDefault="00051D7E" w:rsidP="00051D7E">
      <w:pPr>
        <w:tabs>
          <w:tab w:val="left" w:pos="720"/>
          <w:tab w:val="left" w:pos="1440"/>
          <w:tab w:val="right" w:pos="4262"/>
          <w:tab w:val="right" w:pos="5220"/>
          <w:tab w:val="right" w:pos="6691"/>
          <w:tab w:val="right" w:pos="7621"/>
          <w:tab w:val="right" w:pos="9187"/>
        </w:tabs>
        <w:suppressAutoHyphens/>
        <w:rPr>
          <w:rFonts w:eastAsia="Times New Roman" w:cstheme="minorHAnsi"/>
          <w:bCs/>
          <w:spacing w:val="-3"/>
          <w:sz w:val="24"/>
          <w:szCs w:val="20"/>
        </w:rPr>
      </w:pPr>
      <w:r w:rsidRPr="00F54559">
        <w:rPr>
          <w:rFonts w:eastAsia="Times New Roman" w:cstheme="minorHAnsi"/>
          <w:sz w:val="24"/>
          <w:szCs w:val="20"/>
        </w:rPr>
        <w:t xml:space="preserve">All full-time employees are eligible once employment begins.  Part-time employees are eligible upon achieving the equivalent of five years of continuous, full-time, regular service.  All eligible employees are required to participate when they reach thirty years of age. </w:t>
      </w:r>
      <w:r w:rsidRPr="00F54559">
        <w:rPr>
          <w:rFonts w:eastAsia="Times New Roman" w:cstheme="minorHAnsi"/>
          <w:bCs/>
          <w:spacing w:val="-3"/>
          <w:sz w:val="24"/>
          <w:szCs w:val="20"/>
        </w:rPr>
        <w:t xml:space="preserve">The System contributes an amount equal to 10% of each participant’s base salary and each participant contributes 4% of base salary. Participants may make additional voluntary contributions up to limits allowable by the Internal Revenue Service. The System </w:t>
      </w:r>
      <w:r w:rsidR="00AF376A">
        <w:rPr>
          <w:rFonts w:eastAsia="Times New Roman" w:cstheme="minorHAnsi"/>
          <w:bCs/>
          <w:spacing w:val="-3"/>
          <w:sz w:val="24"/>
          <w:szCs w:val="20"/>
        </w:rPr>
        <w:t>has</w:t>
      </w:r>
      <w:r w:rsidR="00AF376A" w:rsidRPr="00F54559">
        <w:rPr>
          <w:rFonts w:eastAsia="Times New Roman" w:cstheme="minorHAnsi"/>
          <w:bCs/>
          <w:spacing w:val="-3"/>
          <w:sz w:val="24"/>
          <w:szCs w:val="20"/>
        </w:rPr>
        <w:t xml:space="preserve"> </w:t>
      </w:r>
      <w:r w:rsidRPr="00F54559">
        <w:rPr>
          <w:rFonts w:eastAsia="Times New Roman" w:cstheme="minorHAnsi"/>
          <w:bCs/>
          <w:spacing w:val="-3"/>
          <w:sz w:val="24"/>
          <w:szCs w:val="20"/>
        </w:rPr>
        <w:t>a five-year vesting schedule for the employer matching contribution for certain salaried employees hired on or after January 1, 2010. All participant contributions are fully and immediately vested.</w:t>
      </w:r>
    </w:p>
    <w:p w14:paraId="153C0AE3" w14:textId="77777777" w:rsidR="00051D7E" w:rsidRPr="00F54559" w:rsidRDefault="00051D7E" w:rsidP="00051D7E">
      <w:pPr>
        <w:tabs>
          <w:tab w:val="left" w:pos="720"/>
          <w:tab w:val="left" w:pos="1440"/>
          <w:tab w:val="right" w:pos="4262"/>
          <w:tab w:val="right" w:pos="5220"/>
          <w:tab w:val="right" w:pos="6691"/>
          <w:tab w:val="right" w:pos="7621"/>
          <w:tab w:val="right" w:pos="9187"/>
        </w:tabs>
        <w:suppressAutoHyphens/>
        <w:ind w:left="180"/>
        <w:rPr>
          <w:rFonts w:eastAsia="Times New Roman" w:cstheme="minorHAnsi"/>
          <w:bCs/>
          <w:spacing w:val="-3"/>
          <w:sz w:val="24"/>
          <w:szCs w:val="20"/>
        </w:rPr>
      </w:pPr>
    </w:p>
    <w:p w14:paraId="3B7A7105" w14:textId="77777777" w:rsidR="00051D7E" w:rsidRPr="00F54559" w:rsidRDefault="00051D7E" w:rsidP="00051D7E">
      <w:pPr>
        <w:tabs>
          <w:tab w:val="left" w:pos="720"/>
          <w:tab w:val="left" w:pos="1440"/>
          <w:tab w:val="right" w:pos="4262"/>
          <w:tab w:val="right" w:pos="5220"/>
          <w:tab w:val="right" w:pos="6691"/>
          <w:tab w:val="right" w:pos="7621"/>
          <w:tab w:val="right" w:pos="9187"/>
        </w:tabs>
        <w:suppressAutoHyphens/>
        <w:rPr>
          <w:rFonts w:cstheme="minorHAnsi"/>
          <w:b/>
          <w:i/>
          <w:sz w:val="26"/>
          <w:u w:val="single" w:color="000000" w:themeColor="text1"/>
        </w:rPr>
      </w:pPr>
      <w:r w:rsidRPr="00F54559">
        <w:rPr>
          <w:rFonts w:eastAsia="Times New Roman" w:cstheme="minorHAnsi"/>
          <w:sz w:val="24"/>
          <w:szCs w:val="20"/>
        </w:rPr>
        <w:t xml:space="preserve">Effective June 1, 2014, TIAA became the sole record-keeper for the Contributory Retirement Plan. </w:t>
      </w:r>
      <w:r w:rsidRPr="00F54559">
        <w:rPr>
          <w:rFonts w:eastAsia="Times New Roman" w:cstheme="minorHAnsi"/>
          <w:bCs/>
          <w:sz w:val="24"/>
          <w:szCs w:val="20"/>
        </w:rPr>
        <w:t>Upon separation from the System, participants may withdraw up to 100% of their vested account balances or transfer funds to other investment alternatives subject to Internal Revenue Service limitations and the contractual provisions of the Contributory Plan.</w:t>
      </w:r>
    </w:p>
    <w:p w14:paraId="634E9C63" w14:textId="77777777" w:rsidR="00051D7E" w:rsidRPr="00F54559" w:rsidRDefault="00051D7E" w:rsidP="00051D7E">
      <w:pPr>
        <w:spacing w:line="259" w:lineRule="auto"/>
        <w:rPr>
          <w:rFonts w:cstheme="minorHAnsi"/>
        </w:rPr>
      </w:pPr>
    </w:p>
    <w:p w14:paraId="59D27E6B" w14:textId="77777777" w:rsidR="00051D7E" w:rsidRPr="00EC75C7" w:rsidRDefault="00051D7E" w:rsidP="00051D7E">
      <w:pPr>
        <w:spacing w:after="160" w:line="259" w:lineRule="auto"/>
        <w:rPr>
          <w:rFonts w:cstheme="minorHAnsi"/>
          <w:b/>
          <w:i/>
          <w:sz w:val="24"/>
          <w:szCs w:val="24"/>
          <w:u w:val="single" w:color="000000" w:themeColor="text1"/>
        </w:rPr>
      </w:pPr>
      <w:r w:rsidRPr="00EC75C7">
        <w:rPr>
          <w:rFonts w:cstheme="minorHAnsi"/>
          <w:sz w:val="24"/>
          <w:szCs w:val="24"/>
        </w:rPr>
        <w:t>Employee contributions made to the Contributory Plan were $</w:t>
      </w:r>
      <w:r w:rsidRPr="00BA37B5">
        <w:rPr>
          <w:rFonts w:cstheme="minorHAnsi"/>
          <w:sz w:val="24"/>
          <w:szCs w:val="24"/>
        </w:rPr>
        <w:t>9,042</w:t>
      </w:r>
      <w:r w:rsidRPr="00CF2FCA">
        <w:rPr>
          <w:rFonts w:cstheme="minorHAnsi"/>
          <w:sz w:val="24"/>
          <w:szCs w:val="24"/>
        </w:rPr>
        <w:t xml:space="preserve"> </w:t>
      </w:r>
      <w:r w:rsidRPr="00EC75C7">
        <w:rPr>
          <w:rFonts w:cstheme="minorHAnsi"/>
          <w:sz w:val="24"/>
          <w:szCs w:val="24"/>
        </w:rPr>
        <w:t>in FY2</w:t>
      </w:r>
      <w:r>
        <w:rPr>
          <w:rFonts w:cstheme="minorHAnsi"/>
          <w:sz w:val="24"/>
          <w:szCs w:val="24"/>
        </w:rPr>
        <w:t>1</w:t>
      </w:r>
      <w:r w:rsidRPr="00EC75C7">
        <w:rPr>
          <w:rFonts w:cstheme="minorHAnsi"/>
          <w:sz w:val="24"/>
          <w:szCs w:val="24"/>
        </w:rPr>
        <w:t xml:space="preserve"> and $8,</w:t>
      </w:r>
      <w:r>
        <w:rPr>
          <w:rFonts w:cstheme="minorHAnsi"/>
          <w:sz w:val="24"/>
          <w:szCs w:val="24"/>
        </w:rPr>
        <w:t>723</w:t>
      </w:r>
      <w:r w:rsidRPr="00EC75C7">
        <w:rPr>
          <w:rFonts w:cstheme="minorHAnsi"/>
          <w:sz w:val="24"/>
          <w:szCs w:val="24"/>
        </w:rPr>
        <w:t xml:space="preserve"> in FY</w:t>
      </w:r>
      <w:r>
        <w:rPr>
          <w:rFonts w:cstheme="minorHAnsi"/>
          <w:sz w:val="24"/>
          <w:szCs w:val="24"/>
        </w:rPr>
        <w:t>20</w:t>
      </w:r>
      <w:r w:rsidRPr="00EC75C7">
        <w:rPr>
          <w:rFonts w:cstheme="minorHAnsi"/>
          <w:sz w:val="24"/>
          <w:szCs w:val="24"/>
        </w:rPr>
        <w:t>.</w:t>
      </w:r>
      <w:r w:rsidRPr="00EC75C7">
        <w:rPr>
          <w:rFonts w:cstheme="minorHAnsi"/>
          <w:sz w:val="24"/>
          <w:szCs w:val="24"/>
        </w:rPr>
        <w:br w:type="page"/>
      </w:r>
    </w:p>
    <w:p w14:paraId="7B48C3C2" w14:textId="77777777" w:rsidR="00051D7E" w:rsidRPr="00F54559" w:rsidRDefault="00051D7E" w:rsidP="009014A7">
      <w:pPr>
        <w:pStyle w:val="AFR3"/>
        <w:rPr>
          <w:rFonts w:cstheme="minorHAnsi"/>
        </w:rPr>
      </w:pPr>
      <w:r w:rsidRPr="00F54559">
        <w:rPr>
          <w:rFonts w:eastAsiaTheme="majorEastAsia" w:cstheme="minorHAnsi"/>
          <w:iCs/>
          <w:smallCaps/>
          <w:noProof/>
          <w:color w:val="000000" w:themeColor="text1"/>
          <w:szCs w:val="26"/>
          <w:u w:val="none" w:color="5B9BD5"/>
        </w:rPr>
        <w:lastRenderedPageBreak/>
        <w:t>13. PENSION PLANS</w:t>
      </w:r>
      <w:r w:rsidRPr="00A74468">
        <w:rPr>
          <w:rFonts w:eastAsiaTheme="majorEastAsia" w:cstheme="minorHAnsi"/>
          <w:b w:val="0"/>
          <w:i w:val="0"/>
          <w:iCs/>
          <w:smallCaps/>
          <w:noProof/>
          <w:color w:val="000000" w:themeColor="text1"/>
          <w:szCs w:val="26"/>
          <w:u w:val="none"/>
        </w:rPr>
        <w:t xml:space="preserve"> </w:t>
      </w:r>
      <w:r w:rsidRPr="00F54559">
        <w:rPr>
          <w:rFonts w:eastAsiaTheme="majorEastAsia" w:cstheme="minorHAnsi"/>
          <w:iCs/>
          <w:smallCaps/>
          <w:noProof/>
          <w:color w:val="000000" w:themeColor="text1"/>
          <w:szCs w:val="26"/>
          <w:u w:val="none"/>
        </w:rPr>
        <w:t>- CONTINUED</w:t>
      </w:r>
    </w:p>
    <w:p w14:paraId="318AD11B" w14:textId="77777777" w:rsidR="00051D7E" w:rsidRPr="00F54559" w:rsidRDefault="00051D7E" w:rsidP="00051D7E">
      <w:pPr>
        <w:pStyle w:val="AFR3"/>
        <w:rPr>
          <w:rFonts w:cstheme="minorHAnsi"/>
        </w:rPr>
      </w:pPr>
      <w:r w:rsidRPr="00F54559">
        <w:rPr>
          <w:rFonts w:cstheme="minorHAnsi"/>
        </w:rPr>
        <w:t>b. Incentive Retirement Plan – Faculty and Professional Employees</w:t>
      </w:r>
    </w:p>
    <w:p w14:paraId="3584B461" w14:textId="77777777" w:rsidR="00051D7E" w:rsidRPr="00F54559" w:rsidRDefault="00051D7E" w:rsidP="00051D7E">
      <w:pPr>
        <w:tabs>
          <w:tab w:val="left" w:pos="1858"/>
          <w:tab w:val="left" w:pos="2570"/>
          <w:tab w:val="left" w:pos="3283"/>
          <w:tab w:val="left" w:pos="3996"/>
          <w:tab w:val="left" w:pos="4709"/>
          <w:tab w:val="left" w:pos="5472"/>
        </w:tabs>
        <w:suppressAutoHyphens/>
        <w:spacing w:after="120"/>
        <w:rPr>
          <w:rFonts w:eastAsia="Times New Roman" w:cstheme="minorHAnsi"/>
          <w:spacing w:val="-3"/>
          <w:sz w:val="24"/>
          <w:szCs w:val="24"/>
        </w:rPr>
      </w:pPr>
      <w:r w:rsidRPr="00F54559">
        <w:rPr>
          <w:rFonts w:eastAsia="Times New Roman" w:cstheme="minorHAnsi"/>
          <w:b/>
          <w:sz w:val="26"/>
          <w:szCs w:val="26"/>
        </w:rPr>
        <w:t>Plan Description</w:t>
      </w:r>
      <w:r w:rsidRPr="00F54559">
        <w:rPr>
          <w:rFonts w:eastAsia="Times New Roman" w:cstheme="minorHAnsi"/>
          <w:spacing w:val="-3"/>
          <w:sz w:val="24"/>
          <w:szCs w:val="24"/>
        </w:rPr>
        <w:t xml:space="preserve"> </w:t>
      </w:r>
    </w:p>
    <w:p w14:paraId="3F08B039" w14:textId="77777777" w:rsidR="00051D7E" w:rsidRPr="00F54559" w:rsidRDefault="00051D7E" w:rsidP="00051D7E">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F54559">
        <w:rPr>
          <w:rFonts w:eastAsia="Times New Roman" w:cstheme="minorHAnsi"/>
          <w:b/>
          <w:i/>
          <w:spacing w:val="-1"/>
          <w:sz w:val="24"/>
        </w:rPr>
        <w:t>Plan Administration:</w:t>
      </w:r>
      <w:r w:rsidRPr="00F54559">
        <w:rPr>
          <w:rFonts w:eastAsia="Times New Roman" w:cstheme="minorHAnsi"/>
          <w:sz w:val="24"/>
          <w:szCs w:val="20"/>
        </w:rPr>
        <w:t xml:space="preserve"> </w:t>
      </w:r>
      <w:r w:rsidRPr="00F54559">
        <w:rPr>
          <w:rFonts w:eastAsia="Times New Roman" w:cstheme="minorHAnsi"/>
          <w:spacing w:val="-3"/>
          <w:sz w:val="24"/>
          <w:szCs w:val="24"/>
        </w:rPr>
        <w:t>The Incentive Retirement Plan is a single employer plan administered by the System.  The Plan does not issue standalone financial statements.</w:t>
      </w:r>
    </w:p>
    <w:p w14:paraId="4B5D6362" w14:textId="77777777" w:rsidR="00051D7E" w:rsidRPr="00F54559" w:rsidRDefault="00051D7E" w:rsidP="00051D7E">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p>
    <w:p w14:paraId="58BA76EC" w14:textId="77777777" w:rsidR="00051D7E" w:rsidRPr="00F54559" w:rsidRDefault="00051D7E" w:rsidP="00051D7E">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F54559">
        <w:rPr>
          <w:rFonts w:eastAsia="Times New Roman" w:cstheme="minorHAnsi"/>
          <w:b/>
          <w:i/>
          <w:spacing w:val="-1"/>
          <w:sz w:val="24"/>
        </w:rPr>
        <w:t>Benefits Provided:</w:t>
      </w:r>
      <w:r w:rsidRPr="00F54559">
        <w:rPr>
          <w:rFonts w:eastAsia="Times New Roman" w:cstheme="minorHAnsi"/>
          <w:sz w:val="24"/>
          <w:szCs w:val="20"/>
        </w:rPr>
        <w:t xml:space="preserve"> </w:t>
      </w:r>
      <w:r w:rsidRPr="00F54559">
        <w:rPr>
          <w:rFonts w:eastAsia="Times New Roman" w:cstheme="minorHAnsi"/>
          <w:spacing w:val="-3"/>
          <w:sz w:val="24"/>
          <w:szCs w:val="24"/>
        </w:rPr>
        <w:t>Represented faculty who were employed before July 1, 1996 and other professional employees who were employed before July 1, 2006 participate in the University of Maine System Incentive Retirement Plan (Incentive Plan), a defined benefit plan, which was established on July 1, 1975. The Board of Trustees has authority to establish and amend provisions under the Incentive Plan subject to collective bargaining.</w:t>
      </w:r>
    </w:p>
    <w:p w14:paraId="04713127" w14:textId="77777777" w:rsidR="00051D7E" w:rsidRPr="00F54559" w:rsidRDefault="00051D7E" w:rsidP="00051D7E">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p>
    <w:p w14:paraId="05774A7C" w14:textId="58C6FC45" w:rsidR="00051D7E" w:rsidRPr="00F54559" w:rsidRDefault="00051D7E" w:rsidP="00051D7E">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F54559">
        <w:rPr>
          <w:rFonts w:eastAsia="Times New Roman" w:cstheme="minorHAnsi"/>
          <w:spacing w:val="-3"/>
          <w:sz w:val="24"/>
          <w:szCs w:val="24"/>
        </w:rPr>
        <w:t>The Incentive Plan provides that eligible retiring employees with at least 10 years of continuous regular full-time equivalent service immediately prior to retirement will receive a benefit equivalent to 1½% times their completed years of service (up to a maximum of 27 years) times their final annual base salary. This amount is to be paid as a lump-sum contribution to the participant’s retirement account. Employees may elect to retire at any age on or after 55.</w:t>
      </w:r>
    </w:p>
    <w:p w14:paraId="4C713C0E" w14:textId="77777777" w:rsidR="00051D7E" w:rsidRPr="00735A4C" w:rsidRDefault="00051D7E" w:rsidP="00051D7E">
      <w:pPr>
        <w:rPr>
          <w:rFonts w:eastAsia="Times New Roman" w:cstheme="minorHAnsi"/>
          <w:spacing w:val="-2"/>
          <w:sz w:val="24"/>
        </w:rPr>
      </w:pPr>
    </w:p>
    <w:p w14:paraId="2F19CA17" w14:textId="7FD436A0" w:rsidR="00051D7E" w:rsidRPr="00F54559" w:rsidRDefault="00051D7E" w:rsidP="00051D7E">
      <w:pPr>
        <w:rPr>
          <w:rFonts w:eastAsia="Times New Roman" w:cstheme="minorHAnsi"/>
          <w:sz w:val="24"/>
        </w:rPr>
      </w:pPr>
      <w:r w:rsidRPr="00F54559">
        <w:rPr>
          <w:rFonts w:eastAsia="Times New Roman" w:cstheme="minorHAnsi"/>
          <w:b/>
          <w:i/>
          <w:spacing w:val="-2"/>
          <w:sz w:val="24"/>
        </w:rPr>
        <w:t xml:space="preserve">Plan Membership: </w:t>
      </w:r>
      <w:r w:rsidRPr="00F54559">
        <w:rPr>
          <w:rFonts w:eastAsia="Times New Roman" w:cstheme="minorHAnsi"/>
          <w:spacing w:val="-2"/>
          <w:sz w:val="24"/>
        </w:rPr>
        <w:t>A</w:t>
      </w:r>
      <w:r w:rsidRPr="00F54559">
        <w:rPr>
          <w:rFonts w:eastAsia="Times New Roman" w:cstheme="minorHAnsi"/>
          <w:sz w:val="24"/>
        </w:rPr>
        <w:t>t</w:t>
      </w:r>
      <w:r w:rsidRPr="00F54559">
        <w:rPr>
          <w:rFonts w:eastAsia="Times New Roman" w:cstheme="minorHAnsi"/>
          <w:spacing w:val="-5"/>
          <w:sz w:val="24"/>
        </w:rPr>
        <w:t xml:space="preserve"> </w:t>
      </w:r>
      <w:r w:rsidRPr="00F54559">
        <w:rPr>
          <w:rFonts w:eastAsia="Times New Roman" w:cstheme="minorHAnsi"/>
          <w:sz w:val="24"/>
        </w:rPr>
        <w:t>June</w:t>
      </w:r>
      <w:r w:rsidRPr="00F54559">
        <w:rPr>
          <w:rFonts w:eastAsia="Times New Roman" w:cstheme="minorHAnsi"/>
          <w:spacing w:val="-7"/>
          <w:sz w:val="24"/>
        </w:rPr>
        <w:t xml:space="preserve"> </w:t>
      </w:r>
      <w:r w:rsidRPr="00F54559">
        <w:rPr>
          <w:rFonts w:eastAsia="Times New Roman" w:cstheme="minorHAnsi"/>
          <w:sz w:val="24"/>
        </w:rPr>
        <w:t>30, 20</w:t>
      </w:r>
      <w:r>
        <w:rPr>
          <w:rFonts w:eastAsia="Times New Roman" w:cstheme="minorHAnsi"/>
          <w:sz w:val="24"/>
        </w:rPr>
        <w:t>21</w:t>
      </w:r>
      <w:r w:rsidRPr="00F54559">
        <w:rPr>
          <w:rFonts w:eastAsia="Times New Roman" w:cstheme="minorHAnsi"/>
          <w:sz w:val="24"/>
        </w:rPr>
        <w:t xml:space="preserve"> and 20</w:t>
      </w:r>
      <w:r>
        <w:rPr>
          <w:rFonts w:eastAsia="Times New Roman" w:cstheme="minorHAnsi"/>
          <w:sz w:val="24"/>
        </w:rPr>
        <w:t>20</w:t>
      </w:r>
      <w:r w:rsidRPr="00F54559">
        <w:rPr>
          <w:rFonts w:eastAsia="Times New Roman" w:cstheme="minorHAnsi"/>
          <w:sz w:val="24"/>
        </w:rPr>
        <w:t>, active p</w:t>
      </w:r>
      <w:r w:rsidRPr="00F54559">
        <w:rPr>
          <w:rFonts w:eastAsia="Times New Roman" w:cstheme="minorHAnsi"/>
          <w:spacing w:val="-1"/>
          <w:sz w:val="24"/>
        </w:rPr>
        <w:t>l</w:t>
      </w:r>
      <w:r w:rsidRPr="00F54559">
        <w:rPr>
          <w:rFonts w:eastAsia="Times New Roman" w:cstheme="minorHAnsi"/>
          <w:sz w:val="24"/>
        </w:rPr>
        <w:t>an</w:t>
      </w:r>
      <w:r w:rsidRPr="00F54559">
        <w:rPr>
          <w:rFonts w:eastAsia="Times New Roman" w:cstheme="minorHAnsi"/>
          <w:spacing w:val="-6"/>
          <w:sz w:val="24"/>
        </w:rPr>
        <w:t xml:space="preserve"> </w:t>
      </w:r>
      <w:r w:rsidR="00340C85">
        <w:rPr>
          <w:rFonts w:eastAsia="Times New Roman" w:cstheme="minorHAnsi"/>
          <w:sz w:val="24"/>
        </w:rPr>
        <w:t>participants</w:t>
      </w:r>
      <w:r w:rsidR="00340C85" w:rsidRPr="00F54559">
        <w:rPr>
          <w:rFonts w:eastAsia="Times New Roman" w:cstheme="minorHAnsi"/>
          <w:spacing w:val="-6"/>
          <w:sz w:val="24"/>
        </w:rPr>
        <w:t xml:space="preserve"> </w:t>
      </w:r>
      <w:r w:rsidRPr="00F54559">
        <w:rPr>
          <w:rFonts w:eastAsia="Times New Roman" w:cstheme="minorHAnsi"/>
          <w:sz w:val="24"/>
        </w:rPr>
        <w:t>consisted</w:t>
      </w:r>
      <w:r w:rsidRPr="00F54559">
        <w:rPr>
          <w:rFonts w:eastAsia="Times New Roman" w:cstheme="minorHAnsi"/>
          <w:spacing w:val="-6"/>
          <w:sz w:val="24"/>
        </w:rPr>
        <w:t xml:space="preserve"> </w:t>
      </w:r>
      <w:r w:rsidRPr="00F54559">
        <w:rPr>
          <w:rFonts w:eastAsia="Times New Roman" w:cstheme="minorHAnsi"/>
          <w:sz w:val="24"/>
        </w:rPr>
        <w:t>of</w:t>
      </w:r>
      <w:r w:rsidRPr="00F54559">
        <w:rPr>
          <w:rFonts w:eastAsia="Times New Roman" w:cstheme="minorHAnsi"/>
          <w:spacing w:val="-6"/>
          <w:sz w:val="24"/>
        </w:rPr>
        <w:t xml:space="preserve"> </w:t>
      </w:r>
      <w:r>
        <w:rPr>
          <w:rFonts w:eastAsia="Times New Roman" w:cstheme="minorHAnsi"/>
          <w:spacing w:val="-6"/>
          <w:sz w:val="24"/>
        </w:rPr>
        <w:t>794</w:t>
      </w:r>
      <w:r w:rsidRPr="00F54559">
        <w:rPr>
          <w:rFonts w:eastAsia="Times New Roman" w:cstheme="minorHAnsi"/>
          <w:spacing w:val="-6"/>
          <w:sz w:val="24"/>
        </w:rPr>
        <w:t xml:space="preserve"> and </w:t>
      </w:r>
      <w:r>
        <w:rPr>
          <w:rFonts w:eastAsia="Times New Roman" w:cstheme="minorHAnsi"/>
          <w:spacing w:val="-6"/>
          <w:sz w:val="24"/>
        </w:rPr>
        <w:t>859</w:t>
      </w:r>
      <w:r w:rsidRPr="00F54559">
        <w:rPr>
          <w:rFonts w:eastAsia="Times New Roman" w:cstheme="minorHAnsi"/>
          <w:spacing w:val="-6"/>
          <w:sz w:val="24"/>
        </w:rPr>
        <w:t xml:space="preserve">, respectively. </w:t>
      </w:r>
    </w:p>
    <w:p w14:paraId="0B6AA881" w14:textId="77777777" w:rsidR="00051D7E" w:rsidRPr="00F54559" w:rsidRDefault="00051D7E" w:rsidP="00051D7E">
      <w:pPr>
        <w:rPr>
          <w:rFonts w:cstheme="minorHAnsi"/>
          <w:sz w:val="24"/>
          <w:szCs w:val="20"/>
        </w:rPr>
      </w:pPr>
    </w:p>
    <w:p w14:paraId="15CF0FAB" w14:textId="77777777" w:rsidR="00051D7E" w:rsidRPr="00F54559" w:rsidRDefault="00051D7E" w:rsidP="00051D7E">
      <w:pPr>
        <w:rPr>
          <w:rFonts w:eastAsia="Times New Roman" w:cstheme="minorHAnsi"/>
          <w:sz w:val="24"/>
        </w:rPr>
      </w:pPr>
      <w:r w:rsidRPr="00F54559">
        <w:rPr>
          <w:rFonts w:eastAsia="Franklin Gothic Book" w:cstheme="minorHAnsi"/>
          <w:b/>
          <w:i/>
          <w:sz w:val="24"/>
        </w:rPr>
        <w:t>Contributions:</w:t>
      </w:r>
      <w:r w:rsidRPr="00F54559">
        <w:rPr>
          <w:rFonts w:cstheme="minorHAnsi"/>
          <w:sz w:val="24"/>
        </w:rPr>
        <w:t xml:space="preserve"> The Incentive Plan is funded on a terminal funding basis - funded when costs become due and payable.</w:t>
      </w:r>
      <w:r w:rsidRPr="00F54559">
        <w:rPr>
          <w:rFonts w:cstheme="minorHAnsi"/>
          <w:w w:val="99"/>
          <w:sz w:val="24"/>
        </w:rPr>
        <w:t xml:space="preserve"> </w:t>
      </w:r>
      <w:r w:rsidRPr="00F54559">
        <w:rPr>
          <w:rFonts w:eastAsia="Times New Roman" w:cstheme="minorHAnsi"/>
          <w:sz w:val="24"/>
        </w:rPr>
        <w:t>Employees do not make contributions under the Incentive Plan.</w:t>
      </w:r>
    </w:p>
    <w:p w14:paraId="4398CC71" w14:textId="77777777" w:rsidR="00051D7E" w:rsidRPr="00F54559" w:rsidRDefault="00051D7E" w:rsidP="00051D7E">
      <w:pPr>
        <w:rPr>
          <w:rFonts w:cstheme="minorHAnsi"/>
          <w:sz w:val="24"/>
          <w:szCs w:val="20"/>
        </w:rPr>
      </w:pPr>
    </w:p>
    <w:p w14:paraId="57E7E32A" w14:textId="77777777" w:rsidR="00051D7E" w:rsidRPr="00F54559" w:rsidRDefault="00051D7E" w:rsidP="00051D7E">
      <w:pPr>
        <w:tabs>
          <w:tab w:val="left" w:pos="1858"/>
          <w:tab w:val="left" w:pos="2570"/>
          <w:tab w:val="left" w:pos="3283"/>
          <w:tab w:val="left" w:pos="3996"/>
          <w:tab w:val="left" w:pos="4709"/>
          <w:tab w:val="left" w:pos="5472"/>
        </w:tabs>
        <w:suppressAutoHyphens/>
        <w:spacing w:after="120"/>
        <w:rPr>
          <w:rFonts w:eastAsia="Times New Roman" w:cstheme="minorHAnsi"/>
          <w:b/>
          <w:sz w:val="26"/>
          <w:szCs w:val="26"/>
        </w:rPr>
      </w:pPr>
      <w:r w:rsidRPr="00F54559">
        <w:rPr>
          <w:rFonts w:eastAsia="Times New Roman" w:cstheme="minorHAnsi"/>
          <w:b/>
          <w:sz w:val="26"/>
          <w:szCs w:val="26"/>
        </w:rPr>
        <w:t>Net Pension Liability</w:t>
      </w:r>
    </w:p>
    <w:p w14:paraId="5CF524BD" w14:textId="6F9D7118" w:rsidR="00243894" w:rsidRPr="00F54559" w:rsidRDefault="00051D7E" w:rsidP="00051D7E">
      <w:pPr>
        <w:widowControl w:val="0"/>
        <w:rPr>
          <w:rFonts w:eastAsia="Franklin Gothic Book" w:cstheme="minorHAnsi"/>
          <w:sz w:val="24"/>
        </w:rPr>
      </w:pPr>
      <w:r w:rsidRPr="00F54559">
        <w:rPr>
          <w:rFonts w:eastAsia="Times New Roman" w:cstheme="minorHAnsi"/>
          <w:sz w:val="24"/>
        </w:rPr>
        <w:t>The total pension liability related to the Incentive Plan at the measurement date of June 30, 20</w:t>
      </w:r>
      <w:r>
        <w:rPr>
          <w:rFonts w:eastAsia="Times New Roman" w:cstheme="minorHAnsi"/>
          <w:sz w:val="24"/>
        </w:rPr>
        <w:t>21</w:t>
      </w:r>
      <w:r w:rsidRPr="00F54559">
        <w:rPr>
          <w:rFonts w:eastAsia="Times New Roman" w:cstheme="minorHAnsi"/>
          <w:sz w:val="24"/>
        </w:rPr>
        <w:t xml:space="preserve"> and 20</w:t>
      </w:r>
      <w:r>
        <w:rPr>
          <w:rFonts w:eastAsia="Times New Roman" w:cstheme="minorHAnsi"/>
          <w:sz w:val="24"/>
        </w:rPr>
        <w:t>20</w:t>
      </w:r>
      <w:r w:rsidRPr="00F54559">
        <w:rPr>
          <w:rFonts w:eastAsia="Times New Roman" w:cstheme="minorHAnsi"/>
          <w:sz w:val="24"/>
        </w:rPr>
        <w:t xml:space="preserve"> was</w:t>
      </w:r>
      <w:r>
        <w:rPr>
          <w:rFonts w:eastAsia="Times New Roman" w:cstheme="minorHAnsi"/>
          <w:sz w:val="24"/>
        </w:rPr>
        <w:t xml:space="preserve"> $21,208</w:t>
      </w:r>
      <w:r w:rsidRPr="00F54559">
        <w:rPr>
          <w:rFonts w:eastAsia="Times New Roman" w:cstheme="minorHAnsi"/>
          <w:sz w:val="24"/>
        </w:rPr>
        <w:t xml:space="preserve"> </w:t>
      </w:r>
      <w:r>
        <w:rPr>
          <w:rFonts w:eastAsia="Times New Roman" w:cstheme="minorHAnsi"/>
          <w:sz w:val="24"/>
        </w:rPr>
        <w:t xml:space="preserve">and </w:t>
      </w:r>
      <w:r w:rsidRPr="00F54559">
        <w:rPr>
          <w:rFonts w:eastAsia="Times New Roman" w:cstheme="minorHAnsi"/>
          <w:sz w:val="24"/>
        </w:rPr>
        <w:t>$21,0</w:t>
      </w:r>
      <w:r>
        <w:rPr>
          <w:rFonts w:eastAsia="Times New Roman" w:cstheme="minorHAnsi"/>
          <w:sz w:val="24"/>
        </w:rPr>
        <w:t>49</w:t>
      </w:r>
      <w:r w:rsidRPr="00F54559">
        <w:rPr>
          <w:rFonts w:eastAsia="Times New Roman" w:cstheme="minorHAnsi"/>
          <w:sz w:val="24"/>
        </w:rPr>
        <w:t xml:space="preserve">, respectively. The fiduciary net position as a percentage of the total pension liability was 0.00% as this plan has no assets.  </w:t>
      </w:r>
      <w:r w:rsidRPr="00F54559">
        <w:rPr>
          <w:rFonts w:eastAsia="Franklin Gothic Book" w:cstheme="minorHAnsi"/>
          <w:sz w:val="24"/>
        </w:rPr>
        <w:t xml:space="preserve">The total pension liability was determined by an actuarial valuation as of </w:t>
      </w:r>
      <w:r>
        <w:rPr>
          <w:rFonts w:eastAsia="Franklin Gothic Book" w:cstheme="minorHAnsi"/>
          <w:sz w:val="24"/>
        </w:rPr>
        <w:t xml:space="preserve">July 1, 2021 and </w:t>
      </w:r>
      <w:r w:rsidRPr="00F54559">
        <w:rPr>
          <w:rFonts w:eastAsia="Franklin Gothic Book" w:cstheme="minorHAnsi"/>
          <w:sz w:val="24"/>
        </w:rPr>
        <w:t>July 1, 2019</w:t>
      </w:r>
      <w:r>
        <w:rPr>
          <w:rFonts w:eastAsia="Franklin Gothic Book" w:cstheme="minorHAnsi"/>
          <w:sz w:val="24"/>
        </w:rPr>
        <w:t xml:space="preserve"> rolled forward to the measurement date of June 30, 2020 </w:t>
      </w:r>
      <w:r w:rsidRPr="00F54559">
        <w:rPr>
          <w:rFonts w:eastAsia="Franklin Gothic Book" w:cstheme="minorHAnsi"/>
          <w:sz w:val="24"/>
        </w:rPr>
        <w:t>respectively, using the following</w:t>
      </w:r>
      <w:r w:rsidRPr="00F54559">
        <w:rPr>
          <w:rFonts w:eastAsia="Franklin Gothic Book" w:cstheme="minorHAnsi"/>
          <w:w w:val="99"/>
          <w:sz w:val="24"/>
        </w:rPr>
        <w:t xml:space="preserve"> </w:t>
      </w:r>
      <w:r w:rsidRPr="00F54559">
        <w:rPr>
          <w:rFonts w:eastAsia="Franklin Gothic Book" w:cstheme="minorHAnsi"/>
          <w:sz w:val="24"/>
        </w:rPr>
        <w:t>actuarial assumptions, applied to all periods included in the measurement:</w:t>
      </w:r>
    </w:p>
    <w:p w14:paraId="60AC1467" w14:textId="77777777" w:rsidR="00051D7E" w:rsidRPr="00C96CEF" w:rsidRDefault="00051D7E" w:rsidP="00051D7E">
      <w:pPr>
        <w:widowControl w:val="0"/>
        <w:rPr>
          <w:rFonts w:eastAsia="Franklin Gothic Book" w:cstheme="minorHAnsi"/>
          <w:sz w:val="6"/>
          <w:szCs w:val="6"/>
        </w:rPr>
      </w:pPr>
    </w:p>
    <w:p w14:paraId="44979F8A" w14:textId="77777777" w:rsidR="00051D7E" w:rsidRPr="00926FB3" w:rsidRDefault="00051D7E" w:rsidP="00051D7E">
      <w:pPr>
        <w:widowControl w:val="0"/>
        <w:pBdr>
          <w:top w:val="single" w:sz="4" w:space="1" w:color="00688D"/>
        </w:pBdr>
        <w:tabs>
          <w:tab w:val="left" w:pos="2610"/>
        </w:tabs>
        <w:ind w:left="270" w:right="360"/>
        <w:rPr>
          <w:rFonts w:eastAsia="Franklin Gothic Book" w:cstheme="minorHAnsi"/>
          <w:sz w:val="24"/>
          <w:szCs w:val="24"/>
        </w:rPr>
      </w:pPr>
      <w:r w:rsidRPr="00926FB3">
        <w:rPr>
          <w:rFonts w:eastAsia="Franklin Gothic Book" w:cstheme="minorHAnsi"/>
          <w:sz w:val="24"/>
          <w:szCs w:val="24"/>
        </w:rPr>
        <w:t>Actuarial cost method</w:t>
      </w:r>
      <w:r w:rsidRPr="00926FB3">
        <w:rPr>
          <w:rFonts w:eastAsia="Franklin Gothic Book" w:cstheme="minorHAnsi"/>
          <w:sz w:val="24"/>
          <w:szCs w:val="24"/>
        </w:rPr>
        <w:tab/>
        <w:t>Entry age normal</w:t>
      </w:r>
    </w:p>
    <w:p w14:paraId="07D04F19" w14:textId="77777777" w:rsidR="00051D7E" w:rsidRPr="00926FB3" w:rsidRDefault="00051D7E" w:rsidP="00051D7E">
      <w:pPr>
        <w:widowControl w:val="0"/>
        <w:tabs>
          <w:tab w:val="left" w:pos="2610"/>
        </w:tabs>
        <w:ind w:left="270" w:right="360"/>
        <w:rPr>
          <w:rFonts w:eastAsia="Franklin Gothic Book" w:cstheme="minorHAnsi"/>
          <w:sz w:val="24"/>
          <w:szCs w:val="24"/>
        </w:rPr>
      </w:pPr>
      <w:r w:rsidRPr="00926FB3">
        <w:rPr>
          <w:rFonts w:eastAsia="Franklin Gothic Book" w:cstheme="minorHAnsi"/>
          <w:sz w:val="24"/>
          <w:szCs w:val="24"/>
        </w:rPr>
        <w:t>Inflation</w:t>
      </w:r>
      <w:r w:rsidRPr="00926FB3">
        <w:rPr>
          <w:rFonts w:eastAsia="Franklin Gothic Book" w:cstheme="minorHAnsi"/>
          <w:sz w:val="24"/>
          <w:szCs w:val="24"/>
        </w:rPr>
        <w:tab/>
        <w:t>Not explicitly assumed</w:t>
      </w:r>
    </w:p>
    <w:p w14:paraId="5D771D04" w14:textId="77777777" w:rsidR="00051D7E" w:rsidRPr="00926FB3" w:rsidRDefault="00051D7E" w:rsidP="00051D7E">
      <w:pPr>
        <w:widowControl w:val="0"/>
        <w:tabs>
          <w:tab w:val="left" w:pos="2610"/>
        </w:tabs>
        <w:ind w:left="270" w:right="360"/>
        <w:rPr>
          <w:rFonts w:eastAsia="Franklin Gothic Book" w:cstheme="minorHAnsi"/>
          <w:sz w:val="24"/>
          <w:szCs w:val="24"/>
        </w:rPr>
      </w:pPr>
      <w:r w:rsidRPr="00926FB3">
        <w:rPr>
          <w:rFonts w:eastAsia="Franklin Gothic Book" w:cstheme="minorHAnsi"/>
          <w:sz w:val="24"/>
          <w:szCs w:val="24"/>
        </w:rPr>
        <w:t>Salary increases</w:t>
      </w:r>
      <w:r w:rsidRPr="00926FB3">
        <w:rPr>
          <w:rFonts w:eastAsia="Franklin Gothic Book" w:cstheme="minorHAnsi"/>
          <w:sz w:val="24"/>
          <w:szCs w:val="24"/>
        </w:rPr>
        <w:tab/>
        <w:t>3.5% per year, including longevity</w:t>
      </w:r>
    </w:p>
    <w:p w14:paraId="3DA0FF5D" w14:textId="77777777" w:rsidR="00051D7E" w:rsidRPr="00926FB3" w:rsidRDefault="00051D7E" w:rsidP="00051D7E">
      <w:pPr>
        <w:widowControl w:val="0"/>
        <w:tabs>
          <w:tab w:val="left" w:pos="2610"/>
        </w:tabs>
        <w:ind w:left="270" w:right="360"/>
        <w:rPr>
          <w:rFonts w:eastAsia="Franklin Gothic Book" w:cstheme="minorHAnsi"/>
          <w:sz w:val="24"/>
          <w:szCs w:val="24"/>
        </w:rPr>
      </w:pPr>
      <w:r w:rsidRPr="00926FB3">
        <w:rPr>
          <w:rFonts w:eastAsia="Franklin Gothic Book" w:cstheme="minorHAnsi"/>
          <w:sz w:val="24"/>
          <w:szCs w:val="24"/>
        </w:rPr>
        <w:t>Discount rate</w:t>
      </w:r>
      <w:r w:rsidRPr="00926FB3">
        <w:rPr>
          <w:rFonts w:eastAsia="Franklin Gothic Book" w:cstheme="minorHAnsi"/>
          <w:sz w:val="24"/>
          <w:szCs w:val="24"/>
        </w:rPr>
        <w:tab/>
        <w:t>2.</w:t>
      </w:r>
      <w:r>
        <w:rPr>
          <w:rFonts w:eastAsia="Franklin Gothic Book" w:cstheme="minorHAnsi"/>
          <w:sz w:val="24"/>
          <w:szCs w:val="24"/>
        </w:rPr>
        <w:t>16</w:t>
      </w:r>
      <w:r w:rsidRPr="00926FB3">
        <w:rPr>
          <w:rFonts w:eastAsia="Franklin Gothic Book" w:cstheme="minorHAnsi"/>
          <w:sz w:val="24"/>
          <w:szCs w:val="24"/>
        </w:rPr>
        <w:t>% as of June 30, 202</w:t>
      </w:r>
      <w:r>
        <w:rPr>
          <w:rFonts w:eastAsia="Franklin Gothic Book" w:cstheme="minorHAnsi"/>
          <w:sz w:val="24"/>
          <w:szCs w:val="24"/>
        </w:rPr>
        <w:t>1</w:t>
      </w:r>
    </w:p>
    <w:p w14:paraId="6471759D" w14:textId="77777777" w:rsidR="00051D7E" w:rsidRPr="00926FB3" w:rsidRDefault="00051D7E" w:rsidP="00051D7E">
      <w:pPr>
        <w:widowControl w:val="0"/>
        <w:tabs>
          <w:tab w:val="left" w:pos="2610"/>
        </w:tabs>
        <w:ind w:left="540" w:right="360"/>
        <w:rPr>
          <w:rFonts w:eastAsia="Franklin Gothic Book" w:cstheme="minorHAnsi"/>
          <w:sz w:val="24"/>
          <w:szCs w:val="24"/>
        </w:rPr>
      </w:pPr>
      <w:r w:rsidRPr="00926FB3">
        <w:rPr>
          <w:rFonts w:eastAsia="Franklin Gothic Book" w:cstheme="minorHAnsi"/>
          <w:sz w:val="24"/>
          <w:szCs w:val="24"/>
        </w:rPr>
        <w:tab/>
      </w:r>
      <w:r>
        <w:rPr>
          <w:rFonts w:eastAsia="Franklin Gothic Book" w:cstheme="minorHAnsi"/>
          <w:sz w:val="24"/>
          <w:szCs w:val="24"/>
        </w:rPr>
        <w:t>2.21</w:t>
      </w:r>
      <w:r w:rsidRPr="00926FB3">
        <w:rPr>
          <w:rFonts w:eastAsia="Franklin Gothic Book" w:cstheme="minorHAnsi"/>
          <w:sz w:val="24"/>
          <w:szCs w:val="24"/>
        </w:rPr>
        <w:t>% as of June 30, 20</w:t>
      </w:r>
      <w:r>
        <w:rPr>
          <w:rFonts w:eastAsia="Franklin Gothic Book" w:cstheme="minorHAnsi"/>
          <w:sz w:val="24"/>
          <w:szCs w:val="24"/>
        </w:rPr>
        <w:t>20</w:t>
      </w:r>
    </w:p>
    <w:p w14:paraId="6FB9F846" w14:textId="3B07A209" w:rsidR="00051D7E" w:rsidRDefault="00051D7E" w:rsidP="00051D7E">
      <w:pPr>
        <w:widowControl w:val="0"/>
        <w:pBdr>
          <w:bottom w:val="single" w:sz="4" w:space="1" w:color="00688D"/>
        </w:pBdr>
        <w:tabs>
          <w:tab w:val="left" w:pos="2610"/>
        </w:tabs>
        <w:ind w:left="2610" w:right="360" w:hanging="2340"/>
        <w:rPr>
          <w:rFonts w:eastAsia="Franklin Gothic Book" w:cstheme="minorHAnsi"/>
          <w:sz w:val="24"/>
          <w:szCs w:val="24"/>
        </w:rPr>
      </w:pPr>
      <w:r w:rsidRPr="00926FB3">
        <w:rPr>
          <w:rFonts w:eastAsia="Franklin Gothic Book" w:cstheme="minorHAnsi"/>
          <w:sz w:val="24"/>
          <w:szCs w:val="24"/>
        </w:rPr>
        <w:t>Life expectancy</w:t>
      </w:r>
      <w:r w:rsidRPr="00926FB3">
        <w:rPr>
          <w:rFonts w:eastAsia="Franklin Gothic Book" w:cstheme="minorHAnsi"/>
          <w:sz w:val="24"/>
          <w:szCs w:val="24"/>
        </w:rPr>
        <w:tab/>
      </w:r>
      <w:r>
        <w:rPr>
          <w:rFonts w:eastAsia="Franklin Gothic Book" w:cstheme="minorHAnsi"/>
          <w:sz w:val="24"/>
          <w:szCs w:val="24"/>
        </w:rPr>
        <w:t xml:space="preserve">2021: </w:t>
      </w:r>
      <w:r w:rsidRPr="00926FB3">
        <w:rPr>
          <w:rFonts w:eastAsia="Franklin Gothic Book" w:cstheme="minorHAnsi"/>
          <w:sz w:val="24"/>
          <w:szCs w:val="24"/>
        </w:rPr>
        <w:t xml:space="preserve">Mortality rates were based on the </w:t>
      </w:r>
      <w:r>
        <w:rPr>
          <w:rFonts w:eastAsia="Franklin Gothic Book" w:cstheme="minorHAnsi"/>
          <w:sz w:val="24"/>
          <w:szCs w:val="24"/>
        </w:rPr>
        <w:t xml:space="preserve">Pub-2010 </w:t>
      </w:r>
      <w:r w:rsidRPr="00926FB3">
        <w:rPr>
          <w:rFonts w:eastAsia="Franklin Gothic Book" w:cstheme="minorHAnsi"/>
          <w:sz w:val="24"/>
          <w:szCs w:val="24"/>
        </w:rPr>
        <w:t xml:space="preserve">Mortality Table projected with </w:t>
      </w:r>
      <w:r>
        <w:rPr>
          <w:rFonts w:eastAsia="Franklin Gothic Book" w:cstheme="minorHAnsi"/>
          <w:sz w:val="24"/>
          <w:szCs w:val="24"/>
        </w:rPr>
        <w:t>S</w:t>
      </w:r>
      <w:r w:rsidRPr="00926FB3">
        <w:rPr>
          <w:rFonts w:eastAsia="Franklin Gothic Book" w:cstheme="minorHAnsi"/>
          <w:sz w:val="24"/>
          <w:szCs w:val="24"/>
        </w:rPr>
        <w:t>cale MP-20</w:t>
      </w:r>
      <w:r>
        <w:rPr>
          <w:rFonts w:eastAsia="Franklin Gothic Book" w:cstheme="minorHAnsi"/>
          <w:sz w:val="24"/>
          <w:szCs w:val="24"/>
        </w:rPr>
        <w:t>20</w:t>
      </w:r>
    </w:p>
    <w:p w14:paraId="4C769961" w14:textId="77777777" w:rsidR="00051D7E" w:rsidRDefault="00051D7E" w:rsidP="00051D7E">
      <w:pPr>
        <w:widowControl w:val="0"/>
        <w:pBdr>
          <w:bottom w:val="single" w:sz="4" w:space="1" w:color="00688D"/>
        </w:pBdr>
        <w:tabs>
          <w:tab w:val="left" w:pos="2610"/>
        </w:tabs>
        <w:ind w:left="2610" w:right="360" w:hanging="2340"/>
        <w:rPr>
          <w:rFonts w:eastAsia="Franklin Gothic Book" w:cstheme="minorHAnsi"/>
          <w:sz w:val="24"/>
          <w:szCs w:val="24"/>
        </w:rPr>
      </w:pPr>
      <w:r>
        <w:rPr>
          <w:rFonts w:eastAsia="Franklin Gothic Book" w:cstheme="minorHAnsi"/>
          <w:sz w:val="24"/>
          <w:szCs w:val="24"/>
        </w:rPr>
        <w:tab/>
        <w:t xml:space="preserve">2020: </w:t>
      </w:r>
      <w:r w:rsidRPr="00926FB3">
        <w:rPr>
          <w:rFonts w:eastAsia="Franklin Gothic Book" w:cstheme="minorHAnsi"/>
          <w:sz w:val="24"/>
          <w:szCs w:val="24"/>
        </w:rPr>
        <w:t xml:space="preserve">Mortality rates were based on the </w:t>
      </w:r>
      <w:r>
        <w:rPr>
          <w:rFonts w:eastAsia="Franklin Gothic Book" w:cstheme="minorHAnsi"/>
          <w:sz w:val="24"/>
          <w:szCs w:val="24"/>
        </w:rPr>
        <w:t xml:space="preserve">RP-2014 </w:t>
      </w:r>
      <w:r w:rsidRPr="00926FB3">
        <w:rPr>
          <w:rFonts w:eastAsia="Franklin Gothic Book" w:cstheme="minorHAnsi"/>
          <w:sz w:val="24"/>
          <w:szCs w:val="24"/>
        </w:rPr>
        <w:t>Mortality Table projected with MP-20</w:t>
      </w:r>
      <w:r>
        <w:rPr>
          <w:rFonts w:eastAsia="Franklin Gothic Book" w:cstheme="minorHAnsi"/>
          <w:sz w:val="24"/>
          <w:szCs w:val="24"/>
        </w:rPr>
        <w:t>18</w:t>
      </w:r>
    </w:p>
    <w:p w14:paraId="7CE6F321" w14:textId="77777777" w:rsidR="00051D7E" w:rsidRPr="00C96CEF" w:rsidRDefault="00051D7E" w:rsidP="00051D7E">
      <w:pPr>
        <w:widowControl w:val="0"/>
        <w:pBdr>
          <w:bottom w:val="single" w:sz="4" w:space="1" w:color="00688D"/>
        </w:pBdr>
        <w:tabs>
          <w:tab w:val="left" w:pos="2610"/>
        </w:tabs>
        <w:ind w:left="2610" w:right="360" w:hanging="2340"/>
        <w:rPr>
          <w:rFonts w:eastAsia="Franklin Gothic Book" w:cstheme="minorHAnsi"/>
          <w:sz w:val="2"/>
          <w:szCs w:val="2"/>
        </w:rPr>
      </w:pPr>
    </w:p>
    <w:p w14:paraId="430A3179" w14:textId="77777777" w:rsidR="00051D7E" w:rsidRPr="00F54559" w:rsidRDefault="00051D7E" w:rsidP="009014A7">
      <w:pPr>
        <w:spacing w:before="240" w:after="120"/>
        <w:ind w:right="-7"/>
        <w:rPr>
          <w:rFonts w:eastAsia="Franklin Gothic Book" w:cstheme="minorHAnsi"/>
          <w:b/>
          <w:i/>
          <w:sz w:val="24"/>
        </w:rPr>
      </w:pPr>
      <w:r w:rsidRPr="00F54559">
        <w:rPr>
          <w:rFonts w:cstheme="minorHAnsi"/>
          <w:b/>
          <w:i/>
          <w:sz w:val="26"/>
          <w:u w:val="single" w:color="000000" w:themeColor="text1"/>
        </w:rPr>
        <w:lastRenderedPageBreak/>
        <w:t>13b. Incentive Retirement Plan – Faculty and Professional Employees - continued</w:t>
      </w:r>
    </w:p>
    <w:p w14:paraId="7918CBCA" w14:textId="77777777" w:rsidR="00051D7E" w:rsidRPr="00F54559" w:rsidRDefault="00051D7E" w:rsidP="00051D7E">
      <w:pPr>
        <w:ind w:right="-7"/>
        <w:rPr>
          <w:rFonts w:eastAsia="Times New Roman" w:cstheme="minorHAnsi"/>
          <w:sz w:val="24"/>
        </w:rPr>
      </w:pPr>
      <w:r w:rsidRPr="00F54559">
        <w:rPr>
          <w:rFonts w:eastAsia="Franklin Gothic Book" w:cstheme="minorHAnsi"/>
          <w:b/>
          <w:i/>
          <w:sz w:val="24"/>
        </w:rPr>
        <w:t>Discount rate</w:t>
      </w:r>
      <w:r w:rsidRPr="00F54559">
        <w:rPr>
          <w:rFonts w:eastAsia="Times New Roman" w:cstheme="minorHAnsi"/>
          <w:b/>
          <w:sz w:val="24"/>
        </w:rPr>
        <w:t>:</w:t>
      </w:r>
      <w:r w:rsidRPr="00F54559">
        <w:rPr>
          <w:rFonts w:eastAsia="Times New Roman" w:cstheme="minorHAnsi"/>
          <w:sz w:val="24"/>
        </w:rPr>
        <w:t xml:space="preserve"> GASB Statement No. 73, </w:t>
      </w:r>
      <w:r w:rsidRPr="00F54559">
        <w:rPr>
          <w:rFonts w:eastAsia="Times New Roman" w:cstheme="minorHAnsi"/>
          <w:i/>
          <w:sz w:val="24"/>
        </w:rPr>
        <w:t xml:space="preserve">Accounting and Financial Reporting for Pensions and Related Assets That Are Not within the Scope of GASB Statement 68, and Amendments to Certain Provisions of GASB Statements 67 and 68, </w:t>
      </w:r>
      <w:r w:rsidRPr="00F54559">
        <w:rPr>
          <w:rFonts w:eastAsia="Times New Roman" w:cstheme="minorHAnsi"/>
          <w:sz w:val="24"/>
        </w:rPr>
        <w:t xml:space="preserve"> requires projected benefit payments be discounted to their actuarial present value using a tax-exempt, high-quality municipal bond rate.</w:t>
      </w:r>
    </w:p>
    <w:p w14:paraId="474F069C" w14:textId="77777777" w:rsidR="00051D7E" w:rsidRPr="00F54559" w:rsidRDefault="00051D7E" w:rsidP="00051D7E">
      <w:pPr>
        <w:tabs>
          <w:tab w:val="left" w:pos="6390"/>
        </w:tabs>
        <w:rPr>
          <w:rFonts w:cstheme="minorHAnsi"/>
          <w:sz w:val="24"/>
        </w:rPr>
      </w:pPr>
    </w:p>
    <w:p w14:paraId="3DBD5CD3" w14:textId="77777777" w:rsidR="00051D7E" w:rsidRPr="00F54559" w:rsidRDefault="00051D7E" w:rsidP="00051D7E">
      <w:pPr>
        <w:rPr>
          <w:rFonts w:eastAsia="Times New Roman" w:cstheme="minorHAnsi"/>
          <w:sz w:val="24"/>
        </w:rPr>
      </w:pPr>
      <w:r w:rsidRPr="00F54559">
        <w:rPr>
          <w:rFonts w:eastAsia="Times New Roman" w:cstheme="minorHAnsi"/>
          <w:sz w:val="24"/>
        </w:rPr>
        <w:t xml:space="preserve">For the Incentive Plan, which does not hold assets, the total pension liability is based on the discount rate of </w:t>
      </w:r>
      <w:r>
        <w:rPr>
          <w:rFonts w:eastAsia="Times New Roman" w:cstheme="minorHAnsi"/>
          <w:sz w:val="24"/>
        </w:rPr>
        <w:t>2.16</w:t>
      </w:r>
      <w:r w:rsidRPr="00F54559">
        <w:rPr>
          <w:rFonts w:eastAsia="Times New Roman" w:cstheme="minorHAnsi"/>
          <w:sz w:val="24"/>
        </w:rPr>
        <w:t xml:space="preserve">% and </w:t>
      </w:r>
      <w:r>
        <w:rPr>
          <w:rFonts w:eastAsia="Times New Roman" w:cstheme="minorHAnsi"/>
          <w:sz w:val="24"/>
        </w:rPr>
        <w:t>2.21</w:t>
      </w:r>
      <w:r w:rsidRPr="00F54559">
        <w:rPr>
          <w:rFonts w:eastAsia="Times New Roman" w:cstheme="minorHAnsi"/>
          <w:sz w:val="24"/>
        </w:rPr>
        <w:t>% as of June 30, 20</w:t>
      </w:r>
      <w:r>
        <w:rPr>
          <w:rFonts w:eastAsia="Times New Roman" w:cstheme="minorHAnsi"/>
          <w:sz w:val="24"/>
        </w:rPr>
        <w:t>21</w:t>
      </w:r>
      <w:r w:rsidRPr="00F54559">
        <w:rPr>
          <w:rFonts w:eastAsia="Times New Roman" w:cstheme="minorHAnsi"/>
          <w:sz w:val="24"/>
        </w:rPr>
        <w:t xml:space="preserve"> and 20</w:t>
      </w:r>
      <w:r>
        <w:rPr>
          <w:rFonts w:eastAsia="Times New Roman" w:cstheme="minorHAnsi"/>
          <w:sz w:val="24"/>
        </w:rPr>
        <w:t>20</w:t>
      </w:r>
      <w:r w:rsidRPr="00F54559">
        <w:rPr>
          <w:rFonts w:eastAsia="Times New Roman" w:cstheme="minorHAnsi"/>
          <w:sz w:val="24"/>
        </w:rPr>
        <w:t>, respectively. The rates are based on the municipal bond rates as of the measurement dates. The municipal bond rates for 20</w:t>
      </w:r>
      <w:r>
        <w:rPr>
          <w:rFonts w:eastAsia="Times New Roman" w:cstheme="minorHAnsi"/>
          <w:sz w:val="24"/>
        </w:rPr>
        <w:t>21</w:t>
      </w:r>
      <w:r w:rsidRPr="00F54559">
        <w:rPr>
          <w:rFonts w:eastAsia="Times New Roman" w:cstheme="minorHAnsi"/>
          <w:sz w:val="24"/>
        </w:rPr>
        <w:t xml:space="preserve"> and 20</w:t>
      </w:r>
      <w:r>
        <w:rPr>
          <w:rFonts w:eastAsia="Times New Roman" w:cstheme="minorHAnsi"/>
          <w:sz w:val="24"/>
        </w:rPr>
        <w:t>20</w:t>
      </w:r>
      <w:r w:rsidRPr="00F54559">
        <w:rPr>
          <w:rFonts w:eastAsia="Times New Roman" w:cstheme="minorHAnsi"/>
          <w:sz w:val="24"/>
        </w:rPr>
        <w:t xml:space="preserve"> are based on the Bond Buyer 20-Bond General Obligation (GO) Index published for the weeks of </w:t>
      </w:r>
      <w:r>
        <w:rPr>
          <w:rFonts w:eastAsia="Times New Roman" w:cstheme="minorHAnsi"/>
          <w:sz w:val="24"/>
        </w:rPr>
        <w:t xml:space="preserve">June 30, 2021 and </w:t>
      </w:r>
      <w:r w:rsidRPr="00F54559">
        <w:rPr>
          <w:rFonts w:eastAsia="Times New Roman" w:cstheme="minorHAnsi"/>
          <w:sz w:val="24"/>
        </w:rPr>
        <w:t xml:space="preserve">June </w:t>
      </w:r>
      <w:r>
        <w:rPr>
          <w:rFonts w:eastAsia="Times New Roman" w:cstheme="minorHAnsi"/>
          <w:sz w:val="24"/>
        </w:rPr>
        <w:t>30, 2020</w:t>
      </w:r>
      <w:r w:rsidRPr="00F54559">
        <w:rPr>
          <w:rFonts w:eastAsia="Times New Roman" w:cstheme="minorHAnsi"/>
          <w:sz w:val="24"/>
        </w:rPr>
        <w:t>, respectively.</w:t>
      </w:r>
    </w:p>
    <w:p w14:paraId="249ECF70" w14:textId="77777777" w:rsidR="00051D7E" w:rsidRPr="00F54559" w:rsidRDefault="00051D7E" w:rsidP="00051D7E">
      <w:pPr>
        <w:tabs>
          <w:tab w:val="left" w:pos="6390"/>
        </w:tabs>
        <w:rPr>
          <w:rFonts w:cstheme="minorHAnsi"/>
          <w:sz w:val="24"/>
        </w:rPr>
      </w:pPr>
    </w:p>
    <w:p w14:paraId="7B88CBC8" w14:textId="77777777" w:rsidR="00051D7E" w:rsidRPr="00F54559" w:rsidRDefault="00051D7E" w:rsidP="00051D7E">
      <w:pPr>
        <w:tabs>
          <w:tab w:val="left" w:pos="6390"/>
        </w:tabs>
        <w:spacing w:after="240"/>
        <w:ind w:right="-7"/>
        <w:rPr>
          <w:rFonts w:eastAsia="Franklin Gothic Book" w:cstheme="minorHAnsi"/>
          <w:spacing w:val="1"/>
          <w:sz w:val="24"/>
        </w:rPr>
      </w:pPr>
      <w:r w:rsidRPr="00F54559">
        <w:rPr>
          <w:rFonts w:eastAsia="Franklin Gothic Book" w:cstheme="minorHAnsi"/>
          <w:b/>
          <w:i/>
          <w:spacing w:val="-1"/>
          <w:sz w:val="24"/>
        </w:rPr>
        <w:t>Sensitivity of t</w:t>
      </w:r>
      <w:r w:rsidRPr="00F54559">
        <w:rPr>
          <w:rFonts w:eastAsia="Franklin Gothic Book" w:cstheme="minorHAnsi"/>
          <w:b/>
          <w:i/>
          <w:sz w:val="24"/>
        </w:rPr>
        <w:t>he</w:t>
      </w:r>
      <w:r w:rsidRPr="00F54559">
        <w:rPr>
          <w:rFonts w:eastAsia="Franklin Gothic Book" w:cstheme="minorHAnsi"/>
          <w:b/>
          <w:i/>
          <w:spacing w:val="-6"/>
          <w:sz w:val="24"/>
        </w:rPr>
        <w:t xml:space="preserve"> </w:t>
      </w:r>
      <w:r w:rsidRPr="00F54559">
        <w:rPr>
          <w:rFonts w:eastAsia="Franklin Gothic Book" w:cstheme="minorHAnsi"/>
          <w:b/>
          <w:i/>
          <w:spacing w:val="-2"/>
          <w:sz w:val="24"/>
        </w:rPr>
        <w:t>n</w:t>
      </w:r>
      <w:r w:rsidRPr="00F54559">
        <w:rPr>
          <w:rFonts w:eastAsia="Franklin Gothic Book" w:cstheme="minorHAnsi"/>
          <w:b/>
          <w:i/>
          <w:sz w:val="24"/>
        </w:rPr>
        <w:t>et</w:t>
      </w:r>
      <w:r w:rsidRPr="00F54559">
        <w:rPr>
          <w:rFonts w:eastAsia="Franklin Gothic Book" w:cstheme="minorHAnsi"/>
          <w:b/>
          <w:i/>
          <w:spacing w:val="-7"/>
          <w:sz w:val="24"/>
        </w:rPr>
        <w:t xml:space="preserve"> </w:t>
      </w:r>
      <w:r w:rsidRPr="00F54559">
        <w:rPr>
          <w:rFonts w:eastAsia="Franklin Gothic Book" w:cstheme="minorHAnsi"/>
          <w:b/>
          <w:i/>
          <w:spacing w:val="-2"/>
          <w:sz w:val="24"/>
        </w:rPr>
        <w:t>p</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1"/>
          <w:sz w:val="24"/>
        </w:rPr>
        <w:t>o</w:t>
      </w:r>
      <w:r w:rsidRPr="00F54559">
        <w:rPr>
          <w:rFonts w:eastAsia="Franklin Gothic Book" w:cstheme="minorHAnsi"/>
          <w:b/>
          <w:i/>
          <w:sz w:val="24"/>
        </w:rPr>
        <w:t>n</w:t>
      </w:r>
      <w:r w:rsidRPr="00F54559">
        <w:rPr>
          <w:rFonts w:eastAsia="Franklin Gothic Book" w:cstheme="minorHAnsi"/>
          <w:b/>
          <w:i/>
          <w:spacing w:val="-5"/>
          <w:sz w:val="24"/>
        </w:rPr>
        <w:t xml:space="preserve"> </w:t>
      </w:r>
      <w:r w:rsidRPr="00F54559">
        <w:rPr>
          <w:rFonts w:eastAsia="Franklin Gothic Book" w:cstheme="minorHAnsi"/>
          <w:b/>
          <w:i/>
          <w:sz w:val="24"/>
        </w:rPr>
        <w:t>li</w:t>
      </w:r>
      <w:r w:rsidRPr="00F54559">
        <w:rPr>
          <w:rFonts w:eastAsia="Franklin Gothic Book" w:cstheme="minorHAnsi"/>
          <w:b/>
          <w:i/>
          <w:spacing w:val="-2"/>
          <w:sz w:val="24"/>
        </w:rPr>
        <w:t>a</w:t>
      </w:r>
      <w:r w:rsidRPr="00F54559">
        <w:rPr>
          <w:rFonts w:eastAsia="Franklin Gothic Book" w:cstheme="minorHAnsi"/>
          <w:b/>
          <w:i/>
          <w:sz w:val="24"/>
        </w:rPr>
        <w:t>bili</w:t>
      </w:r>
      <w:r w:rsidRPr="00F54559">
        <w:rPr>
          <w:rFonts w:eastAsia="Franklin Gothic Book" w:cstheme="minorHAnsi"/>
          <w:b/>
          <w:i/>
          <w:spacing w:val="-2"/>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o</w:t>
      </w:r>
      <w:r w:rsidRPr="00F54559">
        <w:rPr>
          <w:rFonts w:eastAsia="Franklin Gothic Book" w:cstheme="minorHAnsi"/>
          <w:b/>
          <w:i/>
          <w:spacing w:val="-6"/>
          <w:sz w:val="24"/>
        </w:rPr>
        <w:t xml:space="preserve"> </w:t>
      </w:r>
      <w:r w:rsidRPr="00F54559">
        <w:rPr>
          <w:rFonts w:eastAsia="Franklin Gothic Book" w:cstheme="minorHAnsi"/>
          <w:b/>
          <w:i/>
          <w:spacing w:val="-1"/>
          <w:sz w:val="24"/>
        </w:rPr>
        <w:t>c</w:t>
      </w:r>
      <w:r w:rsidRPr="00F54559">
        <w:rPr>
          <w:rFonts w:eastAsia="Franklin Gothic Book" w:cstheme="minorHAnsi"/>
          <w:b/>
          <w:i/>
          <w:sz w:val="24"/>
        </w:rPr>
        <w:t>h</w:t>
      </w:r>
      <w:r w:rsidRPr="00F54559">
        <w:rPr>
          <w:rFonts w:eastAsia="Franklin Gothic Book" w:cstheme="minorHAnsi"/>
          <w:b/>
          <w:i/>
          <w:spacing w:val="-2"/>
          <w:sz w:val="24"/>
        </w:rPr>
        <w:t>an</w:t>
      </w:r>
      <w:r w:rsidRPr="00F54559">
        <w:rPr>
          <w:rFonts w:eastAsia="Franklin Gothic Book" w:cstheme="minorHAnsi"/>
          <w:b/>
          <w:i/>
          <w:sz w:val="24"/>
        </w:rPr>
        <w:t>ges</w:t>
      </w:r>
      <w:r w:rsidRPr="00F54559">
        <w:rPr>
          <w:rFonts w:eastAsia="Franklin Gothic Book" w:cstheme="minorHAnsi"/>
          <w:b/>
          <w:i/>
          <w:spacing w:val="-6"/>
          <w:sz w:val="24"/>
        </w:rPr>
        <w:t xml:space="preserve"> </w:t>
      </w:r>
      <w:r w:rsidRPr="00F54559">
        <w:rPr>
          <w:rFonts w:eastAsia="Franklin Gothic Book" w:cstheme="minorHAnsi"/>
          <w:b/>
          <w:i/>
          <w:sz w:val="24"/>
        </w:rPr>
        <w:t>in</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he</w:t>
      </w:r>
      <w:r w:rsidRPr="00F54559">
        <w:rPr>
          <w:rFonts w:eastAsia="Franklin Gothic Book" w:cstheme="minorHAnsi"/>
          <w:b/>
          <w:i/>
          <w:spacing w:val="-6"/>
          <w:sz w:val="24"/>
        </w:rPr>
        <w:t xml:space="preserve"> d</w:t>
      </w:r>
      <w:r w:rsidRPr="00F54559">
        <w:rPr>
          <w:rFonts w:eastAsia="Franklin Gothic Book" w:cstheme="minorHAnsi"/>
          <w:b/>
          <w:i/>
          <w:sz w:val="24"/>
        </w:rPr>
        <w:t>i</w:t>
      </w:r>
      <w:r w:rsidRPr="00F54559">
        <w:rPr>
          <w:rFonts w:eastAsia="Franklin Gothic Book" w:cstheme="minorHAnsi"/>
          <w:b/>
          <w:i/>
          <w:spacing w:val="-1"/>
          <w:sz w:val="24"/>
        </w:rPr>
        <w:t>sc</w:t>
      </w:r>
      <w:r w:rsidRPr="00F54559">
        <w:rPr>
          <w:rFonts w:eastAsia="Franklin Gothic Book" w:cstheme="minorHAnsi"/>
          <w:b/>
          <w:i/>
          <w:sz w:val="24"/>
        </w:rPr>
        <w:t>ou</w:t>
      </w:r>
      <w:r w:rsidRPr="00F54559">
        <w:rPr>
          <w:rFonts w:eastAsia="Franklin Gothic Book" w:cstheme="minorHAnsi"/>
          <w:b/>
          <w:i/>
          <w:spacing w:val="-2"/>
          <w:sz w:val="24"/>
        </w:rPr>
        <w:t>n</w:t>
      </w:r>
      <w:r w:rsidRPr="00F54559">
        <w:rPr>
          <w:rFonts w:eastAsia="Franklin Gothic Book" w:cstheme="minorHAnsi"/>
          <w:b/>
          <w:i/>
          <w:sz w:val="24"/>
        </w:rPr>
        <w:t>t</w:t>
      </w:r>
      <w:r w:rsidRPr="00F54559">
        <w:rPr>
          <w:rFonts w:eastAsia="Franklin Gothic Book" w:cstheme="minorHAnsi"/>
          <w:b/>
          <w:i/>
          <w:spacing w:val="-6"/>
          <w:sz w:val="24"/>
        </w:rPr>
        <w:t xml:space="preserve"> </w:t>
      </w:r>
      <w:r w:rsidRPr="00F54559">
        <w:rPr>
          <w:rFonts w:eastAsia="Franklin Gothic Book" w:cstheme="minorHAnsi"/>
          <w:b/>
          <w:i/>
          <w:sz w:val="24"/>
        </w:rPr>
        <w:t>r</w:t>
      </w:r>
      <w:r w:rsidRPr="00F54559">
        <w:rPr>
          <w:rFonts w:eastAsia="Franklin Gothic Book" w:cstheme="minorHAnsi"/>
          <w:b/>
          <w:i/>
          <w:spacing w:val="-2"/>
          <w:sz w:val="24"/>
        </w:rPr>
        <w:t>at</w:t>
      </w:r>
      <w:r w:rsidRPr="00F54559">
        <w:rPr>
          <w:rFonts w:eastAsia="Franklin Gothic Book" w:cstheme="minorHAnsi"/>
          <w:b/>
          <w:i/>
          <w:sz w:val="24"/>
        </w:rPr>
        <w:t xml:space="preserve">e: </w:t>
      </w:r>
      <w:r w:rsidRPr="00F54559">
        <w:rPr>
          <w:rFonts w:eastAsia="Franklin Gothic Book" w:cstheme="minorHAnsi"/>
          <w:i/>
          <w:sz w:val="24"/>
        </w:rPr>
        <w:t xml:space="preserve">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9"/>
          <w:sz w:val="24"/>
        </w:rPr>
        <w:t xml:space="preserve"> </w:t>
      </w:r>
      <w:r w:rsidRPr="00F54559">
        <w:rPr>
          <w:rFonts w:eastAsia="Times New Roman" w:cstheme="minorHAnsi"/>
          <w:sz w:val="24"/>
        </w:rPr>
        <w:t>foll</w:t>
      </w:r>
      <w:r w:rsidRPr="00F54559">
        <w:rPr>
          <w:rFonts w:eastAsia="Times New Roman" w:cstheme="minorHAnsi"/>
          <w:spacing w:val="-1"/>
          <w:sz w:val="24"/>
        </w:rPr>
        <w:t>o</w:t>
      </w:r>
      <w:r w:rsidRPr="00F54559">
        <w:rPr>
          <w:rFonts w:eastAsia="Times New Roman" w:cstheme="minorHAnsi"/>
          <w:sz w:val="24"/>
        </w:rPr>
        <w:t>wing</w:t>
      </w:r>
      <w:r w:rsidRPr="00F54559">
        <w:rPr>
          <w:rFonts w:eastAsia="Times New Roman" w:cstheme="minorHAnsi"/>
          <w:spacing w:val="11"/>
          <w:sz w:val="24"/>
        </w:rPr>
        <w:t xml:space="preserve"> table </w:t>
      </w:r>
      <w:r w:rsidRPr="00F54559">
        <w:rPr>
          <w:rFonts w:eastAsia="Times New Roman" w:cstheme="minorHAnsi"/>
          <w:spacing w:val="-1"/>
          <w:sz w:val="24"/>
        </w:rPr>
        <w:t>pr</w:t>
      </w:r>
      <w:r w:rsidRPr="00F54559">
        <w:rPr>
          <w:rFonts w:eastAsia="Times New Roman" w:cstheme="minorHAnsi"/>
          <w:sz w:val="24"/>
        </w:rPr>
        <w:t>esen</w:t>
      </w:r>
      <w:r w:rsidRPr="00F54559">
        <w:rPr>
          <w:rFonts w:eastAsia="Times New Roman" w:cstheme="minorHAnsi"/>
          <w:spacing w:val="1"/>
          <w:sz w:val="24"/>
        </w:rPr>
        <w:t>t</w:t>
      </w:r>
      <w:r w:rsidRPr="00F54559">
        <w:rPr>
          <w:rFonts w:eastAsia="Times New Roman" w:cstheme="minorHAnsi"/>
          <w:sz w:val="24"/>
        </w:rPr>
        <w:t>s</w:t>
      </w:r>
      <w:r w:rsidRPr="00F54559">
        <w:rPr>
          <w:rFonts w:eastAsia="Times New Roman" w:cstheme="minorHAnsi"/>
          <w:spacing w:val="12"/>
          <w:sz w:val="24"/>
        </w:rPr>
        <w:t xml:space="preserve"> </w:t>
      </w:r>
      <w:r w:rsidRPr="00F54559">
        <w:rPr>
          <w:rFonts w:eastAsia="Times New Roman" w:cstheme="minorHAnsi"/>
          <w:sz w:val="24"/>
        </w:rPr>
        <w:t>the</w:t>
      </w:r>
      <w:r w:rsidRPr="00F54559">
        <w:rPr>
          <w:rFonts w:eastAsia="Times New Roman" w:cstheme="minorHAnsi"/>
          <w:spacing w:val="10"/>
          <w:sz w:val="24"/>
        </w:rPr>
        <w:t xml:space="preserve"> </w:t>
      </w:r>
      <w:r w:rsidRPr="00F54559">
        <w:rPr>
          <w:rFonts w:eastAsia="Times New Roman" w:cstheme="minorHAnsi"/>
          <w:sz w:val="24"/>
        </w:rPr>
        <w:t>total</w:t>
      </w:r>
      <w:r w:rsidRPr="00F54559">
        <w:rPr>
          <w:rFonts w:eastAsia="Times New Roman" w:cstheme="minorHAnsi"/>
          <w:spacing w:val="11"/>
          <w:sz w:val="24"/>
        </w:rPr>
        <w:t xml:space="preserve"> </w:t>
      </w:r>
      <w:r w:rsidRPr="00F54559">
        <w:rPr>
          <w:rFonts w:eastAsia="Times New Roman" w:cstheme="minorHAnsi"/>
          <w:spacing w:val="-1"/>
          <w:sz w:val="24"/>
        </w:rPr>
        <w:t>p</w:t>
      </w:r>
      <w:r w:rsidRPr="00F54559">
        <w:rPr>
          <w:rFonts w:eastAsia="Times New Roman" w:cstheme="minorHAnsi"/>
          <w:sz w:val="24"/>
        </w:rPr>
        <w:t>ension</w:t>
      </w:r>
      <w:r w:rsidRPr="00F54559">
        <w:rPr>
          <w:rFonts w:eastAsia="Times New Roman" w:cstheme="minorHAnsi"/>
          <w:spacing w:val="11"/>
          <w:sz w:val="24"/>
        </w:rPr>
        <w:t xml:space="preserve"> </w:t>
      </w:r>
      <w:r w:rsidRPr="00F54559">
        <w:rPr>
          <w:rFonts w:eastAsia="Times New Roman" w:cstheme="minorHAnsi"/>
          <w:sz w:val="24"/>
        </w:rPr>
        <w:t>liability</w:t>
      </w:r>
      <w:r w:rsidRPr="00F54559">
        <w:rPr>
          <w:rFonts w:eastAsia="Times New Roman" w:cstheme="minorHAnsi"/>
          <w:spacing w:val="10"/>
          <w:sz w:val="24"/>
        </w:rPr>
        <w:t xml:space="preserve"> as of June 30, </w:t>
      </w:r>
      <w:r w:rsidRPr="00F54559">
        <w:rPr>
          <w:rFonts w:eastAsia="Times New Roman" w:cstheme="minorHAnsi"/>
          <w:sz w:val="24"/>
        </w:rPr>
        <w:t>calcula</w:t>
      </w:r>
      <w:r w:rsidRPr="00F54559">
        <w:rPr>
          <w:rFonts w:eastAsia="Times New Roman" w:cstheme="minorHAnsi"/>
          <w:spacing w:val="1"/>
          <w:sz w:val="24"/>
        </w:rPr>
        <w:t>t</w:t>
      </w:r>
      <w:r w:rsidRPr="00F54559">
        <w:rPr>
          <w:rFonts w:eastAsia="Times New Roman" w:cstheme="minorHAnsi"/>
          <w:sz w:val="24"/>
        </w:rPr>
        <w:t>ed</w:t>
      </w:r>
      <w:r w:rsidRPr="00F54559">
        <w:rPr>
          <w:rFonts w:eastAsia="Times New Roman" w:cstheme="minorHAnsi"/>
          <w:spacing w:val="13"/>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w:t>
      </w:r>
      <w:r w:rsidRPr="00F54559">
        <w:rPr>
          <w:rFonts w:eastAsia="Times New Roman" w:cstheme="minorHAnsi"/>
          <w:spacing w:val="11"/>
          <w:sz w:val="24"/>
        </w:rPr>
        <w:t xml:space="preserve"> </w:t>
      </w:r>
      <w:r w:rsidRPr="00F54559">
        <w:rPr>
          <w:rFonts w:eastAsia="Times New Roman" w:cstheme="minorHAnsi"/>
          <w:sz w:val="24"/>
        </w:rPr>
        <w:t>the</w:t>
      </w:r>
      <w:r w:rsidRPr="00E431F9">
        <w:rPr>
          <w:rFonts w:eastAsia="Times New Roman" w:cstheme="minorHAnsi"/>
          <w:sz w:val="24"/>
        </w:rPr>
        <w:t xml:space="preserve"> respective current</w:t>
      </w:r>
      <w:r w:rsidRPr="00F54559">
        <w:rPr>
          <w:rFonts w:eastAsia="Times New Roman" w:cstheme="minorHAnsi"/>
          <w:spacing w:val="12"/>
          <w:sz w:val="24"/>
        </w:rPr>
        <w:t xml:space="preserve"> </w:t>
      </w:r>
      <w:r w:rsidRPr="00F54559">
        <w:rPr>
          <w:rFonts w:eastAsia="Times New Roman" w:cstheme="minorHAnsi"/>
          <w:sz w:val="24"/>
        </w:rPr>
        <w:t>discount</w:t>
      </w:r>
      <w:r w:rsidRPr="00F54559">
        <w:rPr>
          <w:rFonts w:eastAsia="Times New Roman" w:cstheme="minorHAnsi"/>
          <w:spacing w:val="12"/>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13"/>
          <w:sz w:val="24"/>
        </w:rPr>
        <w:t xml:space="preserve"> </w:t>
      </w:r>
      <w:r w:rsidRPr="00F54559">
        <w:rPr>
          <w:rFonts w:eastAsia="Times New Roman" w:cstheme="minorHAnsi"/>
          <w:sz w:val="24"/>
        </w:rPr>
        <w:t>as</w:t>
      </w:r>
      <w:r w:rsidRPr="00F54559">
        <w:rPr>
          <w:rFonts w:eastAsia="Times New Roman" w:cstheme="minorHAnsi"/>
          <w:spacing w:val="12"/>
          <w:sz w:val="24"/>
        </w:rPr>
        <w:t xml:space="preserve"> </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ll</w:t>
      </w:r>
      <w:r w:rsidRPr="00F54559">
        <w:rPr>
          <w:rFonts w:eastAsia="Times New Roman" w:cstheme="minorHAnsi"/>
          <w:spacing w:val="12"/>
          <w:sz w:val="24"/>
        </w:rPr>
        <w:t xml:space="preserve"> </w:t>
      </w:r>
      <w:r w:rsidRPr="00F54559">
        <w:rPr>
          <w:rFonts w:eastAsia="Times New Roman" w:cstheme="minorHAnsi"/>
          <w:sz w:val="24"/>
        </w:rPr>
        <w:t>as</w:t>
      </w:r>
      <w:r w:rsidRPr="00F54559">
        <w:rPr>
          <w:rFonts w:eastAsia="Times New Roman" w:cstheme="minorHAnsi"/>
          <w:spacing w:val="11"/>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w:t>
      </w:r>
      <w:r w:rsidRPr="00F54559">
        <w:rPr>
          <w:rFonts w:eastAsia="Times New Roman" w:cstheme="minorHAnsi"/>
          <w:spacing w:val="6"/>
          <w:sz w:val="24"/>
        </w:rPr>
        <w:t xml:space="preserve"> </w:t>
      </w:r>
      <w:r w:rsidRPr="00F54559">
        <w:rPr>
          <w:rFonts w:eastAsia="Times New Roman" w:cstheme="minorHAnsi"/>
          <w:sz w:val="24"/>
        </w:rPr>
        <w:t>a</w:t>
      </w:r>
      <w:r w:rsidRPr="00F54559">
        <w:rPr>
          <w:rFonts w:eastAsia="Times New Roman" w:cstheme="minorHAnsi"/>
          <w:spacing w:val="8"/>
          <w:sz w:val="24"/>
        </w:rPr>
        <w:t xml:space="preserve"> </w:t>
      </w:r>
      <w:r w:rsidRPr="00F54559">
        <w:rPr>
          <w:rFonts w:eastAsia="Times New Roman" w:cstheme="minorHAnsi"/>
          <w:sz w:val="24"/>
        </w:rPr>
        <w:t>discount</w:t>
      </w:r>
      <w:r w:rsidRPr="00F54559">
        <w:rPr>
          <w:rFonts w:eastAsia="Times New Roman" w:cstheme="minorHAnsi"/>
          <w:spacing w:val="6"/>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7"/>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7"/>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8"/>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r</w:t>
      </w:r>
      <w:r w:rsidRPr="00F54559">
        <w:rPr>
          <w:rFonts w:eastAsia="Times New Roman" w:cstheme="minorHAnsi"/>
          <w:spacing w:val="5"/>
          <w:sz w:val="24"/>
        </w:rPr>
        <w:t xml:space="preserve"> </w:t>
      </w:r>
      <w:r w:rsidRPr="00F54559">
        <w:rPr>
          <w:rFonts w:eastAsia="Times New Roman" w:cstheme="minorHAnsi"/>
          <w:sz w:val="24"/>
        </w:rPr>
        <w:t>or</w:t>
      </w:r>
      <w:r w:rsidRPr="00F54559">
        <w:rPr>
          <w:rFonts w:eastAsia="Times New Roman" w:cstheme="minorHAnsi"/>
          <w:spacing w:val="-8"/>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6"/>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6"/>
          <w:sz w:val="24"/>
        </w:rPr>
        <w:t xml:space="preserve"> </w:t>
      </w:r>
      <w:r w:rsidRPr="00F54559">
        <w:rPr>
          <w:rFonts w:eastAsia="Times New Roman" w:cstheme="minorHAnsi"/>
          <w:sz w:val="24"/>
        </w:rPr>
        <w:t>higher</w:t>
      </w:r>
      <w:r w:rsidRPr="00F54559">
        <w:rPr>
          <w:rFonts w:eastAsia="Times New Roman" w:cstheme="minorHAnsi"/>
          <w:spacing w:val="-6"/>
          <w:sz w:val="24"/>
        </w:rPr>
        <w:t xml:space="preserve"> </w:t>
      </w:r>
      <w:r w:rsidRPr="00F54559">
        <w:rPr>
          <w:rFonts w:eastAsia="Times New Roman" w:cstheme="minorHAnsi"/>
          <w:spacing w:val="1"/>
          <w:sz w:val="24"/>
        </w:rPr>
        <w:t>t</w:t>
      </w:r>
      <w:r w:rsidRPr="00F54559">
        <w:rPr>
          <w:rFonts w:eastAsia="Times New Roman" w:cstheme="minorHAnsi"/>
          <w:sz w:val="24"/>
        </w:rPr>
        <w:t>han</w:t>
      </w:r>
      <w:r w:rsidRPr="00F54559">
        <w:rPr>
          <w:rFonts w:eastAsia="Times New Roman" w:cstheme="minorHAnsi"/>
          <w:spacing w:val="-6"/>
          <w:sz w:val="24"/>
        </w:rPr>
        <w:t xml:space="preserve"> </w:t>
      </w:r>
      <w:r w:rsidRPr="00F54559">
        <w:rPr>
          <w:rFonts w:eastAsia="Times New Roman" w:cstheme="minorHAnsi"/>
          <w:sz w:val="24"/>
        </w:rPr>
        <w:t>the</w:t>
      </w:r>
      <w:r w:rsidRPr="00F54559">
        <w:rPr>
          <w:rFonts w:eastAsia="Times New Roman" w:cstheme="minorHAnsi"/>
          <w:spacing w:val="-6"/>
          <w:sz w:val="24"/>
        </w:rPr>
        <w:t xml:space="preserve"> </w:t>
      </w:r>
      <w:r w:rsidRPr="00F54559">
        <w:rPr>
          <w:rFonts w:eastAsia="Times New Roman" w:cstheme="minorHAnsi"/>
          <w:spacing w:val="1"/>
          <w:sz w:val="24"/>
        </w:rPr>
        <w:t>c</w:t>
      </w:r>
      <w:r w:rsidRPr="00F54559">
        <w:rPr>
          <w:rFonts w:eastAsia="Times New Roman" w:cstheme="minorHAnsi"/>
          <w:sz w:val="24"/>
        </w:rPr>
        <w:t>u</w:t>
      </w:r>
      <w:r w:rsidRPr="00F54559">
        <w:rPr>
          <w:rFonts w:eastAsia="Times New Roman" w:cstheme="minorHAnsi"/>
          <w:spacing w:val="-1"/>
          <w:sz w:val="24"/>
        </w:rPr>
        <w:t>rr</w:t>
      </w:r>
      <w:r w:rsidRPr="00F54559">
        <w:rPr>
          <w:rFonts w:eastAsia="Times New Roman" w:cstheme="minorHAnsi"/>
          <w:sz w:val="24"/>
        </w:rPr>
        <w:t>ent</w:t>
      </w:r>
      <w:r w:rsidRPr="00F54559">
        <w:rPr>
          <w:rFonts w:eastAsia="Times New Roman" w:cstheme="minorHAnsi"/>
          <w:spacing w:val="-6"/>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Pr>
          <w:rFonts w:eastAsia="Franklin Gothic Book" w:cstheme="minorHAnsi"/>
          <w:spacing w:val="1"/>
          <w:sz w:val="24"/>
        </w:rPr>
        <w:fldChar w:fldCharType="begin"/>
      </w:r>
      <w:r>
        <w:rPr>
          <w:rFonts w:eastAsia="Franklin Gothic Book" w:cstheme="minorHAnsi"/>
          <w:spacing w:val="1"/>
          <w:sz w:val="24"/>
        </w:rPr>
        <w:fldChar w:fldCharType="end"/>
      </w:r>
    </w:p>
    <w:tbl>
      <w:tblPr>
        <w:tblW w:w="10005" w:type="dxa"/>
        <w:jc w:val="center"/>
        <w:tblLayout w:type="fixed"/>
        <w:tblLook w:val="04A0" w:firstRow="1" w:lastRow="0" w:firstColumn="1" w:lastColumn="0" w:noHBand="0" w:noVBand="1"/>
      </w:tblPr>
      <w:tblGrid>
        <w:gridCol w:w="2345"/>
        <w:gridCol w:w="1405"/>
        <w:gridCol w:w="1306"/>
        <w:gridCol w:w="1289"/>
        <w:gridCol w:w="1196"/>
        <w:gridCol w:w="1196"/>
        <w:gridCol w:w="1268"/>
      </w:tblGrid>
      <w:tr w:rsidR="00051D7E" w:rsidRPr="002942E7" w14:paraId="47A694F1" w14:textId="77777777" w:rsidTr="007531FB">
        <w:trPr>
          <w:trHeight w:val="316"/>
          <w:tblHeader/>
          <w:jc w:val="center"/>
        </w:trPr>
        <w:tc>
          <w:tcPr>
            <w:tcW w:w="2345" w:type="dxa"/>
            <w:tcBorders>
              <w:top w:val="nil"/>
              <w:left w:val="nil"/>
              <w:bottom w:val="nil"/>
              <w:right w:val="nil"/>
            </w:tcBorders>
            <w:shd w:val="clear" w:color="auto" w:fill="auto"/>
            <w:noWrap/>
            <w:vAlign w:val="bottom"/>
            <w:hideMark/>
          </w:tcPr>
          <w:p w14:paraId="49FEBE87" w14:textId="77777777" w:rsidR="00051D7E" w:rsidRPr="002942E7" w:rsidRDefault="00051D7E" w:rsidP="007531FB">
            <w:pPr>
              <w:rPr>
                <w:rFonts w:ascii="Times New Roman" w:eastAsia="Times New Roman" w:hAnsi="Times New Roman" w:cs="Times New Roman"/>
                <w:sz w:val="24"/>
                <w:szCs w:val="24"/>
              </w:rPr>
            </w:pPr>
          </w:p>
        </w:tc>
        <w:tc>
          <w:tcPr>
            <w:tcW w:w="4000" w:type="dxa"/>
            <w:gridSpan w:val="3"/>
            <w:tcBorders>
              <w:top w:val="nil"/>
              <w:left w:val="nil"/>
              <w:bottom w:val="single" w:sz="4" w:space="0" w:color="auto"/>
              <w:right w:val="nil"/>
            </w:tcBorders>
            <w:shd w:val="clear" w:color="auto" w:fill="auto"/>
            <w:noWrap/>
            <w:vAlign w:val="bottom"/>
            <w:hideMark/>
          </w:tcPr>
          <w:p w14:paraId="4CE01915" w14:textId="77777777" w:rsidR="00051D7E" w:rsidRPr="002942E7" w:rsidRDefault="00051D7E" w:rsidP="007531FB">
            <w:pPr>
              <w:jc w:val="center"/>
              <w:rPr>
                <w:rFonts w:ascii="Calibri" w:eastAsia="Times New Roman" w:hAnsi="Calibri" w:cs="Calibri"/>
                <w:b/>
                <w:bCs/>
                <w:color w:val="0D0D0D"/>
              </w:rPr>
            </w:pPr>
            <w:r w:rsidRPr="002942E7">
              <w:rPr>
                <w:rFonts w:ascii="Calibri" w:eastAsia="Times New Roman" w:hAnsi="Calibri" w:cs="Calibri"/>
                <w:b/>
                <w:bCs/>
                <w:color w:val="0D0D0D"/>
              </w:rPr>
              <w:t>June 30, 202</w:t>
            </w:r>
            <w:r>
              <w:rPr>
                <w:rFonts w:ascii="Calibri" w:eastAsia="Times New Roman" w:hAnsi="Calibri" w:cs="Calibri"/>
                <w:b/>
                <w:bCs/>
                <w:color w:val="0D0D0D"/>
              </w:rPr>
              <w:t>1</w:t>
            </w:r>
          </w:p>
        </w:tc>
        <w:tc>
          <w:tcPr>
            <w:tcW w:w="3660" w:type="dxa"/>
            <w:gridSpan w:val="3"/>
            <w:tcBorders>
              <w:top w:val="nil"/>
              <w:left w:val="nil"/>
              <w:bottom w:val="single" w:sz="4" w:space="0" w:color="auto"/>
              <w:right w:val="nil"/>
            </w:tcBorders>
            <w:shd w:val="clear" w:color="auto" w:fill="D9D9D9" w:themeFill="background1" w:themeFillShade="D9"/>
            <w:noWrap/>
            <w:vAlign w:val="bottom"/>
            <w:hideMark/>
          </w:tcPr>
          <w:p w14:paraId="4C2F24E0" w14:textId="77777777" w:rsidR="00051D7E" w:rsidRPr="002942E7" w:rsidRDefault="00051D7E" w:rsidP="007531FB">
            <w:pPr>
              <w:jc w:val="center"/>
              <w:rPr>
                <w:rFonts w:ascii="Calibri" w:eastAsia="Times New Roman" w:hAnsi="Calibri" w:cs="Calibri"/>
                <w:b/>
                <w:bCs/>
                <w:color w:val="0D0D0D"/>
              </w:rPr>
            </w:pPr>
            <w:r w:rsidRPr="002942E7">
              <w:rPr>
                <w:rFonts w:ascii="Calibri" w:eastAsia="Times New Roman" w:hAnsi="Calibri" w:cs="Calibri"/>
                <w:b/>
                <w:bCs/>
                <w:color w:val="0D0D0D"/>
              </w:rPr>
              <w:t>June 30, 20</w:t>
            </w:r>
            <w:r>
              <w:rPr>
                <w:rFonts w:ascii="Calibri" w:eastAsia="Times New Roman" w:hAnsi="Calibri" w:cs="Calibri"/>
                <w:b/>
                <w:bCs/>
                <w:color w:val="0D0D0D"/>
              </w:rPr>
              <w:t>20</w:t>
            </w:r>
          </w:p>
        </w:tc>
      </w:tr>
      <w:tr w:rsidR="00051D7E" w:rsidRPr="008C14BF" w14:paraId="73EBAF97" w14:textId="77777777" w:rsidTr="007531FB">
        <w:trPr>
          <w:trHeight w:val="854"/>
          <w:tblHeader/>
          <w:jc w:val="center"/>
        </w:trPr>
        <w:tc>
          <w:tcPr>
            <w:tcW w:w="2345" w:type="dxa"/>
            <w:tcBorders>
              <w:top w:val="nil"/>
              <w:left w:val="nil"/>
              <w:bottom w:val="nil"/>
              <w:right w:val="nil"/>
            </w:tcBorders>
            <w:shd w:val="clear" w:color="000000" w:fill="FFFFFF"/>
            <w:noWrap/>
            <w:vAlign w:val="bottom"/>
            <w:hideMark/>
          </w:tcPr>
          <w:p w14:paraId="5CACCD25" w14:textId="77777777" w:rsidR="00051D7E" w:rsidRPr="002942E7" w:rsidRDefault="00051D7E" w:rsidP="007531FB">
            <w:pPr>
              <w:rPr>
                <w:rFonts w:ascii="Calibri" w:eastAsia="Times New Roman" w:hAnsi="Calibri" w:cs="Calibri"/>
                <w:b/>
                <w:bCs/>
                <w:color w:val="0D0D0D"/>
              </w:rPr>
            </w:pPr>
            <w:r w:rsidRPr="002942E7">
              <w:rPr>
                <w:rFonts w:ascii="Calibri" w:eastAsia="Times New Roman" w:hAnsi="Calibri" w:cs="Calibri"/>
                <w:b/>
                <w:bCs/>
                <w:color w:val="0D0D0D"/>
              </w:rPr>
              <w:t> </w:t>
            </w:r>
          </w:p>
        </w:tc>
        <w:tc>
          <w:tcPr>
            <w:tcW w:w="1405" w:type="dxa"/>
            <w:tcBorders>
              <w:top w:val="nil"/>
              <w:left w:val="nil"/>
              <w:bottom w:val="nil"/>
              <w:right w:val="nil"/>
            </w:tcBorders>
            <w:shd w:val="clear" w:color="000000" w:fill="FFFFFF"/>
            <w:vAlign w:val="bottom"/>
            <w:hideMark/>
          </w:tcPr>
          <w:p w14:paraId="6C46FE59" w14:textId="77777777" w:rsidR="00051D7E" w:rsidRDefault="00051D7E" w:rsidP="007531FB">
            <w:pPr>
              <w:jc w:val="center"/>
              <w:rPr>
                <w:rFonts w:ascii="Calibri" w:hAnsi="Calibri" w:cs="Calibri"/>
                <w:bCs/>
              </w:rPr>
            </w:pPr>
            <w:r w:rsidRPr="00806680">
              <w:rPr>
                <w:rFonts w:ascii="Calibri" w:hAnsi="Calibri" w:cs="Calibri"/>
                <w:bCs/>
              </w:rPr>
              <w:t>1%</w:t>
            </w:r>
          </w:p>
          <w:p w14:paraId="7A988A79" w14:textId="77777777" w:rsidR="00051D7E" w:rsidRPr="00806680" w:rsidRDefault="00051D7E" w:rsidP="007531FB">
            <w:pPr>
              <w:jc w:val="center"/>
              <w:rPr>
                <w:rFonts w:ascii="Calibri" w:eastAsia="Times New Roman" w:hAnsi="Calibri" w:cs="Calibri"/>
                <w:bCs/>
                <w:color w:val="0D0D0D"/>
              </w:rPr>
            </w:pPr>
            <w:r w:rsidRPr="00806680">
              <w:rPr>
                <w:rFonts w:ascii="Calibri" w:hAnsi="Calibri" w:cs="Calibri"/>
                <w:bCs/>
              </w:rPr>
              <w:t>Decrease</w:t>
            </w:r>
          </w:p>
        </w:tc>
        <w:tc>
          <w:tcPr>
            <w:tcW w:w="1306" w:type="dxa"/>
            <w:tcBorders>
              <w:top w:val="nil"/>
              <w:left w:val="nil"/>
              <w:bottom w:val="nil"/>
              <w:right w:val="nil"/>
            </w:tcBorders>
            <w:shd w:val="clear" w:color="000000" w:fill="FFFFFF"/>
            <w:vAlign w:val="bottom"/>
            <w:hideMark/>
          </w:tcPr>
          <w:p w14:paraId="490544C2" w14:textId="77777777" w:rsidR="00051D7E" w:rsidRPr="00806680" w:rsidRDefault="00051D7E" w:rsidP="007531FB">
            <w:pPr>
              <w:jc w:val="center"/>
              <w:rPr>
                <w:rFonts w:ascii="Calibri" w:hAnsi="Calibri" w:cs="Calibri"/>
                <w:bCs/>
              </w:rPr>
            </w:pPr>
            <w:r w:rsidRPr="00806680">
              <w:rPr>
                <w:rFonts w:ascii="Calibri" w:hAnsi="Calibri" w:cs="Calibri"/>
                <w:bCs/>
              </w:rPr>
              <w:t xml:space="preserve">Current Discount </w:t>
            </w:r>
            <w:r w:rsidRPr="00806680">
              <w:rPr>
                <w:rFonts w:ascii="Calibri" w:hAnsi="Calibri" w:cs="Calibri"/>
                <w:bCs/>
              </w:rPr>
              <w:br/>
              <w:t>Rate</w:t>
            </w:r>
          </w:p>
        </w:tc>
        <w:tc>
          <w:tcPr>
            <w:tcW w:w="1288" w:type="dxa"/>
            <w:tcBorders>
              <w:top w:val="nil"/>
              <w:left w:val="nil"/>
              <w:bottom w:val="nil"/>
              <w:right w:val="nil"/>
            </w:tcBorders>
            <w:shd w:val="clear" w:color="000000" w:fill="FFFFFF"/>
            <w:vAlign w:val="bottom"/>
            <w:hideMark/>
          </w:tcPr>
          <w:p w14:paraId="6A2BA99B" w14:textId="77777777" w:rsidR="00051D7E" w:rsidRDefault="00051D7E" w:rsidP="007531FB">
            <w:pPr>
              <w:jc w:val="center"/>
              <w:rPr>
                <w:rFonts w:ascii="Calibri" w:hAnsi="Calibri" w:cs="Calibri"/>
                <w:bCs/>
              </w:rPr>
            </w:pPr>
            <w:r w:rsidRPr="00806680">
              <w:rPr>
                <w:rFonts w:ascii="Calibri" w:hAnsi="Calibri" w:cs="Calibri"/>
                <w:bCs/>
              </w:rPr>
              <w:t xml:space="preserve">1% </w:t>
            </w:r>
          </w:p>
          <w:p w14:paraId="28168510" w14:textId="77777777" w:rsidR="00051D7E" w:rsidRPr="00806680" w:rsidRDefault="00051D7E" w:rsidP="007531FB">
            <w:pPr>
              <w:jc w:val="center"/>
              <w:rPr>
                <w:rFonts w:ascii="Calibri" w:eastAsia="Times New Roman" w:hAnsi="Calibri" w:cs="Calibri"/>
                <w:bCs/>
                <w:color w:val="0D0D0D"/>
              </w:rPr>
            </w:pPr>
            <w:r w:rsidRPr="00806680">
              <w:rPr>
                <w:rFonts w:ascii="Calibri" w:hAnsi="Calibri" w:cs="Calibri"/>
                <w:bCs/>
              </w:rPr>
              <w:t>Increase</w:t>
            </w:r>
          </w:p>
        </w:tc>
        <w:tc>
          <w:tcPr>
            <w:tcW w:w="1196" w:type="dxa"/>
            <w:tcBorders>
              <w:top w:val="nil"/>
              <w:left w:val="nil"/>
              <w:bottom w:val="nil"/>
              <w:right w:val="nil"/>
            </w:tcBorders>
            <w:shd w:val="clear" w:color="auto" w:fill="D9D9D9" w:themeFill="background1" w:themeFillShade="D9"/>
            <w:vAlign w:val="bottom"/>
            <w:hideMark/>
          </w:tcPr>
          <w:p w14:paraId="02FB83EB" w14:textId="77777777" w:rsidR="00051D7E" w:rsidRPr="00806680" w:rsidRDefault="00051D7E" w:rsidP="007531FB">
            <w:pPr>
              <w:jc w:val="center"/>
              <w:rPr>
                <w:rFonts w:ascii="Calibri" w:eastAsia="Times New Roman" w:hAnsi="Calibri" w:cs="Calibri"/>
                <w:bCs/>
                <w:color w:val="0D0D0D"/>
              </w:rPr>
            </w:pPr>
            <w:r w:rsidRPr="00806680">
              <w:rPr>
                <w:rFonts w:ascii="Calibri" w:eastAsia="Times New Roman" w:hAnsi="Calibri" w:cs="Calibri"/>
                <w:bCs/>
                <w:color w:val="0D0D0D"/>
              </w:rPr>
              <w:t>1% Decrease</w:t>
            </w:r>
          </w:p>
        </w:tc>
        <w:tc>
          <w:tcPr>
            <w:tcW w:w="1196" w:type="dxa"/>
            <w:tcBorders>
              <w:top w:val="nil"/>
              <w:left w:val="nil"/>
              <w:bottom w:val="nil"/>
              <w:right w:val="nil"/>
            </w:tcBorders>
            <w:shd w:val="clear" w:color="auto" w:fill="D9D9D9" w:themeFill="background1" w:themeFillShade="D9"/>
            <w:vAlign w:val="bottom"/>
            <w:hideMark/>
          </w:tcPr>
          <w:p w14:paraId="06007E54" w14:textId="77777777" w:rsidR="00051D7E" w:rsidRPr="00806680" w:rsidRDefault="00051D7E" w:rsidP="007531FB">
            <w:pPr>
              <w:jc w:val="center"/>
              <w:rPr>
                <w:rFonts w:ascii="Calibri" w:eastAsia="Times New Roman" w:hAnsi="Calibri" w:cs="Calibri"/>
                <w:bCs/>
                <w:color w:val="0D0D0D"/>
              </w:rPr>
            </w:pPr>
            <w:r w:rsidRPr="00806680">
              <w:rPr>
                <w:rFonts w:ascii="Calibri" w:eastAsia="Times New Roman" w:hAnsi="Calibri" w:cs="Calibri"/>
                <w:bCs/>
                <w:color w:val="0D0D0D"/>
              </w:rPr>
              <w:t xml:space="preserve">Current Discount </w:t>
            </w:r>
            <w:r w:rsidRPr="00806680">
              <w:rPr>
                <w:rFonts w:ascii="Calibri" w:eastAsia="Times New Roman" w:hAnsi="Calibri" w:cs="Calibri"/>
                <w:bCs/>
                <w:color w:val="0D0D0D"/>
              </w:rPr>
              <w:br/>
              <w:t>Rate</w:t>
            </w:r>
          </w:p>
        </w:tc>
        <w:tc>
          <w:tcPr>
            <w:tcW w:w="1268" w:type="dxa"/>
            <w:tcBorders>
              <w:top w:val="nil"/>
              <w:left w:val="nil"/>
              <w:bottom w:val="nil"/>
              <w:right w:val="nil"/>
            </w:tcBorders>
            <w:shd w:val="clear" w:color="auto" w:fill="D9D9D9" w:themeFill="background1" w:themeFillShade="D9"/>
            <w:vAlign w:val="bottom"/>
            <w:hideMark/>
          </w:tcPr>
          <w:p w14:paraId="5BFB1995" w14:textId="77777777" w:rsidR="00051D7E" w:rsidRPr="00806680" w:rsidRDefault="00051D7E" w:rsidP="007531FB">
            <w:pPr>
              <w:jc w:val="center"/>
              <w:rPr>
                <w:rFonts w:ascii="Calibri" w:eastAsia="Times New Roman" w:hAnsi="Calibri" w:cs="Calibri"/>
                <w:bCs/>
                <w:color w:val="0D0D0D"/>
              </w:rPr>
            </w:pPr>
            <w:r w:rsidRPr="00806680">
              <w:rPr>
                <w:rFonts w:ascii="Calibri" w:eastAsia="Times New Roman" w:hAnsi="Calibri" w:cs="Calibri"/>
                <w:bCs/>
                <w:color w:val="0D0D0D"/>
              </w:rPr>
              <w:t>1%</w:t>
            </w:r>
          </w:p>
          <w:p w14:paraId="4B115B63" w14:textId="77777777" w:rsidR="00051D7E" w:rsidRPr="00806680" w:rsidRDefault="00051D7E" w:rsidP="007531FB">
            <w:pPr>
              <w:jc w:val="center"/>
              <w:rPr>
                <w:rFonts w:ascii="Calibri" w:eastAsia="Times New Roman" w:hAnsi="Calibri" w:cs="Calibri"/>
                <w:bCs/>
                <w:color w:val="0D0D0D"/>
              </w:rPr>
            </w:pPr>
            <w:r w:rsidRPr="00806680">
              <w:rPr>
                <w:rFonts w:ascii="Calibri" w:eastAsia="Times New Roman" w:hAnsi="Calibri" w:cs="Calibri"/>
                <w:bCs/>
                <w:color w:val="0D0D0D"/>
              </w:rPr>
              <w:t>Increase</w:t>
            </w:r>
          </w:p>
        </w:tc>
      </w:tr>
      <w:tr w:rsidR="00051D7E" w:rsidRPr="00806680" w14:paraId="2F541B2D" w14:textId="77777777" w:rsidTr="007531FB">
        <w:trPr>
          <w:trHeight w:val="177"/>
          <w:tblHeader/>
          <w:jc w:val="center"/>
        </w:trPr>
        <w:tc>
          <w:tcPr>
            <w:tcW w:w="2345" w:type="dxa"/>
            <w:tcBorders>
              <w:top w:val="nil"/>
              <w:left w:val="nil"/>
              <w:bottom w:val="nil"/>
              <w:right w:val="nil"/>
            </w:tcBorders>
            <w:shd w:val="clear" w:color="000000" w:fill="FFFFFF"/>
            <w:noWrap/>
            <w:vAlign w:val="bottom"/>
          </w:tcPr>
          <w:p w14:paraId="33BC30C3" w14:textId="77777777" w:rsidR="00051D7E" w:rsidRPr="002942E7" w:rsidRDefault="00051D7E" w:rsidP="007531FB">
            <w:pPr>
              <w:rPr>
                <w:rFonts w:ascii="Calibri" w:eastAsia="Times New Roman" w:hAnsi="Calibri" w:cs="Calibri"/>
                <w:b/>
                <w:bCs/>
                <w:color w:val="0D0D0D"/>
              </w:rPr>
            </w:pPr>
          </w:p>
        </w:tc>
        <w:tc>
          <w:tcPr>
            <w:tcW w:w="1405" w:type="dxa"/>
            <w:tcBorders>
              <w:top w:val="nil"/>
              <w:left w:val="nil"/>
              <w:bottom w:val="nil"/>
              <w:right w:val="nil"/>
            </w:tcBorders>
            <w:shd w:val="clear" w:color="000000" w:fill="FFFFFF"/>
            <w:vAlign w:val="bottom"/>
          </w:tcPr>
          <w:p w14:paraId="55A77AE3" w14:textId="77777777" w:rsidR="00051D7E" w:rsidRPr="00806680" w:rsidRDefault="00051D7E" w:rsidP="007531FB">
            <w:pPr>
              <w:jc w:val="center"/>
              <w:rPr>
                <w:rFonts w:ascii="Calibri" w:hAnsi="Calibri" w:cs="Calibri"/>
                <w:bCs/>
              </w:rPr>
            </w:pPr>
            <w:r w:rsidRPr="00806680">
              <w:rPr>
                <w:rFonts w:ascii="Calibri" w:hAnsi="Calibri" w:cs="Calibri"/>
                <w:bCs/>
              </w:rPr>
              <w:t>(1.16%)</w:t>
            </w:r>
          </w:p>
        </w:tc>
        <w:tc>
          <w:tcPr>
            <w:tcW w:w="1306" w:type="dxa"/>
            <w:tcBorders>
              <w:top w:val="nil"/>
              <w:left w:val="nil"/>
              <w:bottom w:val="nil"/>
              <w:right w:val="nil"/>
            </w:tcBorders>
            <w:shd w:val="clear" w:color="000000" w:fill="FFFFFF"/>
            <w:vAlign w:val="bottom"/>
          </w:tcPr>
          <w:p w14:paraId="15222C56" w14:textId="77777777" w:rsidR="00051D7E" w:rsidRPr="00806680" w:rsidRDefault="00051D7E" w:rsidP="007531FB">
            <w:pPr>
              <w:jc w:val="center"/>
              <w:rPr>
                <w:rFonts w:ascii="Calibri" w:hAnsi="Calibri" w:cs="Calibri"/>
                <w:bCs/>
              </w:rPr>
            </w:pPr>
            <w:r w:rsidRPr="00806680">
              <w:rPr>
                <w:rFonts w:ascii="Calibri" w:hAnsi="Calibri" w:cs="Calibri"/>
                <w:bCs/>
              </w:rPr>
              <w:t>(2.16%)</w:t>
            </w:r>
          </w:p>
        </w:tc>
        <w:tc>
          <w:tcPr>
            <w:tcW w:w="1288" w:type="dxa"/>
            <w:tcBorders>
              <w:top w:val="nil"/>
              <w:left w:val="nil"/>
              <w:bottom w:val="nil"/>
              <w:right w:val="nil"/>
            </w:tcBorders>
            <w:shd w:val="clear" w:color="000000" w:fill="FFFFFF"/>
            <w:vAlign w:val="bottom"/>
          </w:tcPr>
          <w:p w14:paraId="5B0B98DC" w14:textId="48CFC86F" w:rsidR="00051D7E" w:rsidRPr="00806680" w:rsidRDefault="00051D7E" w:rsidP="007531FB">
            <w:pPr>
              <w:jc w:val="center"/>
              <w:rPr>
                <w:rFonts w:ascii="Calibri" w:hAnsi="Calibri" w:cs="Calibri"/>
                <w:bCs/>
              </w:rPr>
            </w:pPr>
            <w:r w:rsidRPr="00806680">
              <w:rPr>
                <w:rFonts w:ascii="Calibri" w:hAnsi="Calibri" w:cs="Calibri"/>
                <w:bCs/>
              </w:rPr>
              <w:t>(3.16%</w:t>
            </w:r>
            <w:r w:rsidR="00204B35">
              <w:rPr>
                <w:rFonts w:ascii="Calibri" w:hAnsi="Calibri" w:cs="Calibri"/>
                <w:bCs/>
              </w:rPr>
              <w:t>)</w:t>
            </w:r>
          </w:p>
        </w:tc>
        <w:tc>
          <w:tcPr>
            <w:tcW w:w="1196" w:type="dxa"/>
            <w:tcBorders>
              <w:top w:val="nil"/>
              <w:left w:val="nil"/>
              <w:bottom w:val="nil"/>
              <w:right w:val="nil"/>
            </w:tcBorders>
            <w:shd w:val="clear" w:color="auto" w:fill="D9D9D9" w:themeFill="background1" w:themeFillShade="D9"/>
            <w:vAlign w:val="bottom"/>
          </w:tcPr>
          <w:p w14:paraId="66F423E9" w14:textId="77777777" w:rsidR="00051D7E" w:rsidRPr="00806680" w:rsidRDefault="00051D7E" w:rsidP="007531FB">
            <w:pPr>
              <w:jc w:val="center"/>
              <w:rPr>
                <w:rFonts w:ascii="Calibri" w:eastAsia="Times New Roman" w:hAnsi="Calibri" w:cs="Calibri"/>
                <w:bCs/>
                <w:color w:val="0D0D0D"/>
              </w:rPr>
            </w:pPr>
            <w:r w:rsidRPr="00806680">
              <w:rPr>
                <w:rFonts w:ascii="Calibri" w:eastAsia="Times New Roman" w:hAnsi="Calibri" w:cs="Calibri"/>
                <w:bCs/>
                <w:color w:val="0D0D0D"/>
              </w:rPr>
              <w:t>(1.21%)</w:t>
            </w:r>
          </w:p>
        </w:tc>
        <w:tc>
          <w:tcPr>
            <w:tcW w:w="1196" w:type="dxa"/>
            <w:tcBorders>
              <w:top w:val="nil"/>
              <w:left w:val="nil"/>
              <w:bottom w:val="nil"/>
              <w:right w:val="nil"/>
            </w:tcBorders>
            <w:shd w:val="clear" w:color="auto" w:fill="D9D9D9" w:themeFill="background1" w:themeFillShade="D9"/>
            <w:vAlign w:val="bottom"/>
          </w:tcPr>
          <w:p w14:paraId="3F128261" w14:textId="77777777" w:rsidR="00051D7E" w:rsidRPr="00806680" w:rsidRDefault="00051D7E" w:rsidP="007531FB">
            <w:pPr>
              <w:jc w:val="center"/>
              <w:rPr>
                <w:rFonts w:ascii="Calibri" w:eastAsia="Times New Roman" w:hAnsi="Calibri" w:cs="Calibri"/>
                <w:bCs/>
                <w:color w:val="0D0D0D"/>
              </w:rPr>
            </w:pPr>
            <w:r w:rsidRPr="00806680">
              <w:rPr>
                <w:rFonts w:ascii="Calibri" w:eastAsia="Times New Roman" w:hAnsi="Calibri" w:cs="Calibri"/>
                <w:bCs/>
                <w:color w:val="0D0D0D"/>
              </w:rPr>
              <w:t>(2.21)</w:t>
            </w:r>
          </w:p>
        </w:tc>
        <w:tc>
          <w:tcPr>
            <w:tcW w:w="1268" w:type="dxa"/>
            <w:tcBorders>
              <w:top w:val="nil"/>
              <w:left w:val="nil"/>
              <w:bottom w:val="nil"/>
              <w:right w:val="nil"/>
            </w:tcBorders>
            <w:shd w:val="clear" w:color="auto" w:fill="D9D9D9" w:themeFill="background1" w:themeFillShade="D9"/>
            <w:vAlign w:val="bottom"/>
          </w:tcPr>
          <w:p w14:paraId="442089D2" w14:textId="77777777" w:rsidR="00051D7E" w:rsidRPr="00806680" w:rsidRDefault="00051D7E" w:rsidP="007531FB">
            <w:pPr>
              <w:jc w:val="center"/>
              <w:rPr>
                <w:rFonts w:ascii="Calibri" w:eastAsia="Times New Roman" w:hAnsi="Calibri" w:cs="Calibri"/>
                <w:bCs/>
                <w:color w:val="0D0D0D"/>
              </w:rPr>
            </w:pPr>
            <w:r w:rsidRPr="00806680">
              <w:rPr>
                <w:rFonts w:ascii="Calibri" w:eastAsia="Times New Roman" w:hAnsi="Calibri" w:cs="Calibri"/>
                <w:bCs/>
                <w:color w:val="0D0D0D"/>
              </w:rPr>
              <w:t>(3.21%)</w:t>
            </w:r>
          </w:p>
        </w:tc>
      </w:tr>
      <w:tr w:rsidR="00051D7E" w:rsidRPr="002942E7" w14:paraId="5282A143" w14:textId="77777777" w:rsidTr="007531FB">
        <w:trPr>
          <w:trHeight w:val="451"/>
          <w:jc w:val="center"/>
        </w:trPr>
        <w:tc>
          <w:tcPr>
            <w:tcW w:w="2345" w:type="dxa"/>
            <w:tcBorders>
              <w:top w:val="single" w:sz="12" w:space="0" w:color="00688D"/>
              <w:left w:val="nil"/>
              <w:bottom w:val="double" w:sz="6" w:space="0" w:color="00688D"/>
              <w:right w:val="nil"/>
            </w:tcBorders>
            <w:shd w:val="clear" w:color="000000" w:fill="FFFFFF"/>
            <w:noWrap/>
            <w:vAlign w:val="bottom"/>
            <w:hideMark/>
          </w:tcPr>
          <w:p w14:paraId="48A357AD"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 xml:space="preserve">Total </w:t>
            </w:r>
            <w:r>
              <w:rPr>
                <w:rFonts w:ascii="Calibri" w:eastAsia="Times New Roman" w:hAnsi="Calibri" w:cs="Calibri"/>
                <w:color w:val="0D0D0D"/>
              </w:rPr>
              <w:t>p</w:t>
            </w:r>
            <w:r w:rsidRPr="002942E7">
              <w:rPr>
                <w:rFonts w:ascii="Calibri" w:eastAsia="Times New Roman" w:hAnsi="Calibri" w:cs="Calibri"/>
                <w:color w:val="0D0D0D"/>
              </w:rPr>
              <w:t xml:space="preserve">ension </w:t>
            </w:r>
            <w:r>
              <w:rPr>
                <w:rFonts w:ascii="Calibri" w:eastAsia="Times New Roman" w:hAnsi="Calibri" w:cs="Calibri"/>
                <w:color w:val="0D0D0D"/>
              </w:rPr>
              <w:t>l</w:t>
            </w:r>
            <w:r w:rsidRPr="002942E7">
              <w:rPr>
                <w:rFonts w:ascii="Calibri" w:eastAsia="Times New Roman" w:hAnsi="Calibri" w:cs="Calibri"/>
                <w:color w:val="0D0D0D"/>
              </w:rPr>
              <w:t>iability</w:t>
            </w:r>
          </w:p>
        </w:tc>
        <w:tc>
          <w:tcPr>
            <w:tcW w:w="1405" w:type="dxa"/>
            <w:tcBorders>
              <w:top w:val="single" w:sz="12" w:space="0" w:color="00688D"/>
              <w:left w:val="nil"/>
              <w:bottom w:val="double" w:sz="6" w:space="0" w:color="00688D"/>
              <w:right w:val="nil"/>
            </w:tcBorders>
            <w:shd w:val="clear" w:color="000000" w:fill="FFFFFF"/>
            <w:noWrap/>
            <w:vAlign w:val="bottom"/>
            <w:hideMark/>
          </w:tcPr>
          <w:p w14:paraId="3D6768E1" w14:textId="77777777" w:rsidR="00051D7E" w:rsidRPr="002942E7" w:rsidRDefault="00051D7E" w:rsidP="007531FB">
            <w:pPr>
              <w:ind w:firstLineChars="100" w:firstLine="220"/>
              <w:jc w:val="center"/>
              <w:rPr>
                <w:rFonts w:ascii="Calibri" w:eastAsia="Times New Roman" w:hAnsi="Calibri" w:cs="Calibri"/>
                <w:color w:val="0D0D0D"/>
              </w:rPr>
            </w:pPr>
            <w:r>
              <w:rPr>
                <w:rFonts w:ascii="Calibri" w:hAnsi="Calibri" w:cs="Calibri"/>
              </w:rPr>
              <w:t xml:space="preserve">$ 21,844 </w:t>
            </w:r>
          </w:p>
        </w:tc>
        <w:tc>
          <w:tcPr>
            <w:tcW w:w="1306" w:type="dxa"/>
            <w:tcBorders>
              <w:top w:val="single" w:sz="12" w:space="0" w:color="00688D"/>
              <w:left w:val="nil"/>
              <w:bottom w:val="double" w:sz="6" w:space="0" w:color="00688D"/>
              <w:right w:val="nil"/>
            </w:tcBorders>
            <w:shd w:val="clear" w:color="000000" w:fill="FFFFFF"/>
            <w:noWrap/>
            <w:vAlign w:val="bottom"/>
            <w:hideMark/>
          </w:tcPr>
          <w:p w14:paraId="432F6232" w14:textId="77777777" w:rsidR="00051D7E" w:rsidRPr="002942E7" w:rsidRDefault="00051D7E" w:rsidP="007531FB">
            <w:pPr>
              <w:ind w:firstLineChars="100" w:firstLine="220"/>
              <w:jc w:val="center"/>
              <w:rPr>
                <w:rFonts w:ascii="Calibri" w:eastAsia="Times New Roman" w:hAnsi="Calibri" w:cs="Calibri"/>
                <w:color w:val="0D0D0D"/>
              </w:rPr>
            </w:pPr>
            <w:r>
              <w:rPr>
                <w:rFonts w:ascii="Calibri" w:hAnsi="Calibri" w:cs="Calibri"/>
              </w:rPr>
              <w:t xml:space="preserve">$ 21,208 </w:t>
            </w:r>
          </w:p>
        </w:tc>
        <w:tc>
          <w:tcPr>
            <w:tcW w:w="1288" w:type="dxa"/>
            <w:tcBorders>
              <w:top w:val="single" w:sz="12" w:space="0" w:color="00688D"/>
              <w:left w:val="nil"/>
              <w:bottom w:val="double" w:sz="6" w:space="0" w:color="00688D"/>
              <w:right w:val="nil"/>
            </w:tcBorders>
            <w:shd w:val="clear" w:color="000000" w:fill="FFFFFF"/>
            <w:noWrap/>
            <w:vAlign w:val="bottom"/>
            <w:hideMark/>
          </w:tcPr>
          <w:p w14:paraId="0BD6E592" w14:textId="77777777" w:rsidR="00051D7E" w:rsidRPr="002942E7" w:rsidRDefault="00051D7E" w:rsidP="007531FB">
            <w:pPr>
              <w:ind w:firstLineChars="100" w:firstLine="220"/>
              <w:jc w:val="center"/>
              <w:rPr>
                <w:rFonts w:ascii="Calibri" w:eastAsia="Times New Roman" w:hAnsi="Calibri" w:cs="Calibri"/>
                <w:color w:val="0D0D0D"/>
              </w:rPr>
            </w:pPr>
            <w:r>
              <w:rPr>
                <w:rFonts w:ascii="Calibri" w:hAnsi="Calibri" w:cs="Calibri"/>
              </w:rPr>
              <w:t xml:space="preserve">$ 20,552 </w:t>
            </w:r>
          </w:p>
        </w:tc>
        <w:tc>
          <w:tcPr>
            <w:tcW w:w="1196" w:type="dxa"/>
            <w:tcBorders>
              <w:top w:val="single" w:sz="12" w:space="0" w:color="00688D"/>
              <w:left w:val="nil"/>
              <w:bottom w:val="double" w:sz="6" w:space="0" w:color="00688D"/>
              <w:right w:val="nil"/>
            </w:tcBorders>
            <w:shd w:val="clear" w:color="auto" w:fill="D9D9D9" w:themeFill="background1" w:themeFillShade="D9"/>
            <w:noWrap/>
            <w:vAlign w:val="bottom"/>
            <w:hideMark/>
          </w:tcPr>
          <w:p w14:paraId="4E31B781" w14:textId="77777777" w:rsidR="00051D7E" w:rsidRPr="002942E7" w:rsidRDefault="00051D7E" w:rsidP="007531FB">
            <w:pPr>
              <w:ind w:firstLineChars="100" w:firstLine="220"/>
              <w:jc w:val="center"/>
              <w:rPr>
                <w:rFonts w:ascii="Calibri" w:eastAsia="Times New Roman" w:hAnsi="Calibri" w:cs="Calibri"/>
                <w:color w:val="0D0D0D"/>
              </w:rPr>
            </w:pPr>
            <w:r w:rsidRPr="002942E7">
              <w:rPr>
                <w:rFonts w:ascii="Calibri" w:eastAsia="Times New Roman" w:hAnsi="Calibri" w:cs="Calibri"/>
                <w:color w:val="0D0D0D"/>
              </w:rPr>
              <w:t>$21,</w:t>
            </w:r>
            <w:r>
              <w:rPr>
                <w:rFonts w:ascii="Calibri" w:eastAsia="Times New Roman" w:hAnsi="Calibri" w:cs="Calibri"/>
                <w:color w:val="0D0D0D"/>
              </w:rPr>
              <w:t>689</w:t>
            </w:r>
          </w:p>
        </w:tc>
        <w:tc>
          <w:tcPr>
            <w:tcW w:w="1196" w:type="dxa"/>
            <w:tcBorders>
              <w:top w:val="single" w:sz="12" w:space="0" w:color="00688D"/>
              <w:left w:val="nil"/>
              <w:bottom w:val="double" w:sz="6" w:space="0" w:color="00688D"/>
              <w:right w:val="nil"/>
            </w:tcBorders>
            <w:shd w:val="clear" w:color="auto" w:fill="D9D9D9" w:themeFill="background1" w:themeFillShade="D9"/>
            <w:noWrap/>
            <w:vAlign w:val="bottom"/>
            <w:hideMark/>
          </w:tcPr>
          <w:p w14:paraId="6459A2CF" w14:textId="77777777" w:rsidR="00051D7E" w:rsidRPr="002942E7" w:rsidRDefault="00051D7E" w:rsidP="007531FB">
            <w:pPr>
              <w:ind w:firstLineChars="100" w:firstLine="220"/>
              <w:jc w:val="center"/>
              <w:rPr>
                <w:rFonts w:ascii="Calibri" w:eastAsia="Times New Roman" w:hAnsi="Calibri" w:cs="Calibri"/>
                <w:color w:val="0D0D0D"/>
              </w:rPr>
            </w:pPr>
            <w:r w:rsidRPr="002942E7">
              <w:rPr>
                <w:rFonts w:ascii="Calibri" w:eastAsia="Times New Roman" w:hAnsi="Calibri" w:cs="Calibri"/>
                <w:color w:val="0D0D0D"/>
              </w:rPr>
              <w:t>$21,0</w:t>
            </w:r>
            <w:r>
              <w:rPr>
                <w:rFonts w:ascii="Calibri" w:eastAsia="Times New Roman" w:hAnsi="Calibri" w:cs="Calibri"/>
                <w:color w:val="0D0D0D"/>
              </w:rPr>
              <w:t>49</w:t>
            </w:r>
          </w:p>
        </w:tc>
        <w:tc>
          <w:tcPr>
            <w:tcW w:w="1268" w:type="dxa"/>
            <w:tcBorders>
              <w:top w:val="single" w:sz="12" w:space="0" w:color="00688D"/>
              <w:left w:val="nil"/>
              <w:bottom w:val="double" w:sz="6" w:space="0" w:color="00688D"/>
              <w:right w:val="nil"/>
            </w:tcBorders>
            <w:shd w:val="clear" w:color="auto" w:fill="D9D9D9" w:themeFill="background1" w:themeFillShade="D9"/>
            <w:noWrap/>
            <w:vAlign w:val="bottom"/>
            <w:hideMark/>
          </w:tcPr>
          <w:p w14:paraId="5DC7BBF5" w14:textId="77777777" w:rsidR="00051D7E" w:rsidRPr="002942E7" w:rsidRDefault="00051D7E" w:rsidP="007531FB">
            <w:pPr>
              <w:ind w:firstLineChars="100" w:firstLine="220"/>
              <w:jc w:val="center"/>
              <w:rPr>
                <w:rFonts w:ascii="Calibri" w:eastAsia="Times New Roman" w:hAnsi="Calibri" w:cs="Calibri"/>
                <w:color w:val="0D0D0D"/>
              </w:rPr>
            </w:pPr>
            <w:r w:rsidRPr="002942E7">
              <w:rPr>
                <w:rFonts w:ascii="Calibri" w:eastAsia="Times New Roman" w:hAnsi="Calibri" w:cs="Calibri"/>
                <w:color w:val="0D0D0D"/>
              </w:rPr>
              <w:t>$20,3</w:t>
            </w:r>
            <w:r>
              <w:rPr>
                <w:rFonts w:ascii="Calibri" w:eastAsia="Times New Roman" w:hAnsi="Calibri" w:cs="Calibri"/>
                <w:color w:val="0D0D0D"/>
              </w:rPr>
              <w:t>90</w:t>
            </w:r>
          </w:p>
        </w:tc>
      </w:tr>
    </w:tbl>
    <w:p w14:paraId="78715975" w14:textId="77777777" w:rsidR="00051D7E" w:rsidRPr="00F54559" w:rsidRDefault="00051D7E" w:rsidP="00051D7E">
      <w:pPr>
        <w:tabs>
          <w:tab w:val="left" w:pos="6390"/>
        </w:tabs>
        <w:spacing w:before="120" w:after="120"/>
        <w:rPr>
          <w:rFonts w:eastAsia="Franklin Gothic Book" w:cstheme="minorHAnsi"/>
          <w:spacing w:val="1"/>
          <w:sz w:val="24"/>
        </w:rPr>
      </w:pPr>
      <w:r w:rsidRPr="00F54559">
        <w:rPr>
          <w:rFonts w:eastAsia="Franklin Gothic Book" w:cstheme="minorHAnsi"/>
          <w:spacing w:val="1"/>
          <w:sz w:val="24"/>
        </w:rPr>
        <w:br w:type="page"/>
      </w:r>
    </w:p>
    <w:p w14:paraId="2F81E0B4" w14:textId="77777777" w:rsidR="00051D7E" w:rsidRPr="00F54559" w:rsidRDefault="00051D7E" w:rsidP="009014A7">
      <w:pPr>
        <w:widowControl w:val="0"/>
        <w:spacing w:before="240" w:after="120"/>
        <w:rPr>
          <w:rFonts w:eastAsiaTheme="majorEastAsia" w:cstheme="minorHAnsi"/>
          <w:b/>
          <w:i/>
          <w:iCs/>
          <w:smallCaps/>
          <w:noProof/>
          <w:color w:val="000000" w:themeColor="text1"/>
          <w:sz w:val="26"/>
          <w:szCs w:val="26"/>
          <w:u w:color="5B9BD5"/>
        </w:rPr>
      </w:pPr>
      <w:r w:rsidRPr="00F54559">
        <w:rPr>
          <w:rFonts w:cstheme="minorHAnsi"/>
          <w:b/>
          <w:i/>
          <w:sz w:val="26"/>
          <w:u w:val="single" w:color="000000" w:themeColor="text1"/>
        </w:rPr>
        <w:lastRenderedPageBreak/>
        <w:t>13b. Incentive Retirement Plan – Faculty and Professional Employees - continued</w:t>
      </w:r>
    </w:p>
    <w:p w14:paraId="24963554" w14:textId="77777777" w:rsidR="00051D7E" w:rsidRDefault="00051D7E" w:rsidP="00051D7E">
      <w:pPr>
        <w:widowControl w:val="0"/>
        <w:spacing w:after="240"/>
        <w:rPr>
          <w:rFonts w:eastAsia="Franklin Gothic Book" w:cstheme="minorHAnsi"/>
          <w:sz w:val="24"/>
        </w:rPr>
      </w:pPr>
      <w:r w:rsidRPr="00F54559">
        <w:rPr>
          <w:rFonts w:eastAsia="Franklin Gothic Book" w:cstheme="minorHAnsi"/>
          <w:spacing w:val="1"/>
          <w:sz w:val="24"/>
        </w:rPr>
        <w:t>C</w:t>
      </w:r>
      <w:r w:rsidRPr="00F54559">
        <w:rPr>
          <w:rFonts w:eastAsia="Franklin Gothic Book" w:cstheme="minorHAnsi"/>
          <w:spacing w:val="2"/>
          <w:sz w:val="24"/>
        </w:rPr>
        <w:t>hang</w:t>
      </w:r>
      <w:r w:rsidRPr="00F54559">
        <w:rPr>
          <w:rFonts w:eastAsia="Franklin Gothic Book" w:cstheme="minorHAnsi"/>
          <w:spacing w:val="1"/>
          <w:sz w:val="24"/>
        </w:rPr>
        <w:t>e</w:t>
      </w:r>
      <w:r w:rsidRPr="00F54559">
        <w:rPr>
          <w:rFonts w:eastAsia="Franklin Gothic Book" w:cstheme="minorHAnsi"/>
          <w:sz w:val="24"/>
        </w:rPr>
        <w:t>s</w:t>
      </w:r>
      <w:r w:rsidRPr="00F54559">
        <w:rPr>
          <w:rFonts w:eastAsia="Franklin Gothic Book" w:cstheme="minorHAnsi"/>
          <w:spacing w:val="1"/>
          <w:sz w:val="24"/>
        </w:rPr>
        <w:t xml:space="preserve"> </w:t>
      </w:r>
      <w:r w:rsidRPr="00F54559">
        <w:rPr>
          <w:rFonts w:eastAsia="Franklin Gothic Book" w:cstheme="minorHAnsi"/>
          <w:spacing w:val="2"/>
          <w:sz w:val="24"/>
        </w:rPr>
        <w:t>i</w:t>
      </w:r>
      <w:r w:rsidRPr="00F54559">
        <w:rPr>
          <w:rFonts w:eastAsia="Franklin Gothic Book" w:cstheme="minorHAnsi"/>
          <w:sz w:val="24"/>
        </w:rPr>
        <w:t>n</w:t>
      </w:r>
      <w:r w:rsidRPr="00F54559">
        <w:rPr>
          <w:rFonts w:eastAsia="Franklin Gothic Book" w:cstheme="minorHAnsi"/>
          <w:spacing w:val="-1"/>
          <w:sz w:val="24"/>
        </w:rPr>
        <w:t xml:space="preserve"> </w:t>
      </w:r>
      <w:r w:rsidRPr="00F54559">
        <w:rPr>
          <w:rFonts w:eastAsia="Franklin Gothic Book" w:cstheme="minorHAnsi"/>
          <w:spacing w:val="3"/>
          <w:sz w:val="24"/>
        </w:rPr>
        <w:t>Total</w:t>
      </w:r>
      <w:r w:rsidRPr="00F54559">
        <w:rPr>
          <w:rFonts w:eastAsia="Franklin Gothic Book" w:cstheme="minorHAnsi"/>
          <w:sz w:val="24"/>
        </w:rPr>
        <w:t xml:space="preserve"> </w:t>
      </w:r>
      <w:r w:rsidRPr="00F54559">
        <w:rPr>
          <w:rFonts w:eastAsia="Franklin Gothic Book" w:cstheme="minorHAnsi"/>
          <w:spacing w:val="1"/>
          <w:sz w:val="24"/>
        </w:rPr>
        <w:t>Pe</w:t>
      </w:r>
      <w:r w:rsidRPr="00F54559">
        <w:rPr>
          <w:rFonts w:eastAsia="Franklin Gothic Book" w:cstheme="minorHAnsi"/>
          <w:spacing w:val="2"/>
          <w:sz w:val="24"/>
        </w:rPr>
        <w:t>n</w:t>
      </w:r>
      <w:r w:rsidRPr="00F54559">
        <w:rPr>
          <w:rFonts w:eastAsia="Franklin Gothic Book" w:cstheme="minorHAnsi"/>
          <w:spacing w:val="3"/>
          <w:sz w:val="24"/>
        </w:rPr>
        <w:t>s</w:t>
      </w:r>
      <w:r w:rsidRPr="00F54559">
        <w:rPr>
          <w:rFonts w:eastAsia="Franklin Gothic Book" w:cstheme="minorHAnsi"/>
          <w:spacing w:val="2"/>
          <w:sz w:val="24"/>
        </w:rPr>
        <w:t>i</w:t>
      </w:r>
      <w:r w:rsidRPr="00F54559">
        <w:rPr>
          <w:rFonts w:eastAsia="Franklin Gothic Book" w:cstheme="minorHAnsi"/>
          <w:spacing w:val="1"/>
          <w:sz w:val="24"/>
        </w:rPr>
        <w:t>o</w:t>
      </w:r>
      <w:r w:rsidRPr="00F54559">
        <w:rPr>
          <w:rFonts w:eastAsia="Franklin Gothic Book" w:cstheme="minorHAnsi"/>
          <w:sz w:val="24"/>
        </w:rPr>
        <w:t xml:space="preserve">n Liability for the </w:t>
      </w:r>
      <w:r w:rsidRPr="00F54559">
        <w:rPr>
          <w:rFonts w:eastAsia="Franklin Gothic Book" w:cstheme="minorHAnsi"/>
          <w:b/>
          <w:sz w:val="24"/>
        </w:rPr>
        <w:t>Incentive Retirement Plan</w:t>
      </w:r>
      <w:r w:rsidRPr="00F54559">
        <w:rPr>
          <w:rFonts w:eastAsia="Franklin Gothic Book" w:cstheme="minorHAnsi"/>
          <w:sz w:val="24"/>
        </w:rPr>
        <w:t>:</w:t>
      </w:r>
    </w:p>
    <w:p w14:paraId="3188AC7C" w14:textId="77777777" w:rsidR="00051D7E" w:rsidRPr="00F54559" w:rsidRDefault="00051D7E" w:rsidP="00C96CEF">
      <w:pPr>
        <w:widowControl w:val="0"/>
        <w:rPr>
          <w:rFonts w:cstheme="minorHAnsi"/>
        </w:rPr>
      </w:pPr>
      <w:r>
        <w:rPr>
          <w:rFonts w:cstheme="minorHAnsi"/>
        </w:rPr>
        <w:fldChar w:fldCharType="begin"/>
      </w:r>
      <w:r>
        <w:rPr>
          <w:rFonts w:cstheme="minorHAnsi"/>
        </w:rPr>
        <w:fldChar w:fldCharType="end"/>
      </w:r>
    </w:p>
    <w:tbl>
      <w:tblPr>
        <w:tblW w:w="9125" w:type="dxa"/>
        <w:jc w:val="center"/>
        <w:tblLook w:val="04A0" w:firstRow="1" w:lastRow="0" w:firstColumn="1" w:lastColumn="0" w:noHBand="0" w:noVBand="1"/>
      </w:tblPr>
      <w:tblGrid>
        <w:gridCol w:w="6840"/>
        <w:gridCol w:w="1170"/>
        <w:gridCol w:w="1115"/>
      </w:tblGrid>
      <w:tr w:rsidR="00051D7E" w:rsidRPr="002942E7" w14:paraId="42520802" w14:textId="77777777" w:rsidTr="007531FB">
        <w:trPr>
          <w:trHeight w:val="324"/>
          <w:tblHeader/>
          <w:jc w:val="center"/>
        </w:trPr>
        <w:tc>
          <w:tcPr>
            <w:tcW w:w="6840" w:type="dxa"/>
            <w:tcBorders>
              <w:top w:val="nil"/>
              <w:left w:val="nil"/>
              <w:bottom w:val="single" w:sz="12" w:space="0" w:color="00688D"/>
              <w:right w:val="nil"/>
            </w:tcBorders>
            <w:shd w:val="clear" w:color="000000" w:fill="FFFFFF"/>
            <w:noWrap/>
            <w:vAlign w:val="bottom"/>
            <w:hideMark/>
          </w:tcPr>
          <w:p w14:paraId="634DEA23" w14:textId="77777777" w:rsidR="00051D7E" w:rsidRPr="002942E7" w:rsidRDefault="00051D7E" w:rsidP="007531FB">
            <w:pPr>
              <w:rPr>
                <w:rFonts w:ascii="Calibri" w:eastAsia="Times New Roman" w:hAnsi="Calibri" w:cs="Calibri"/>
                <w:b/>
                <w:bCs/>
                <w:color w:val="0D0D0D"/>
              </w:rPr>
            </w:pPr>
            <w:r w:rsidRPr="002942E7">
              <w:rPr>
                <w:rFonts w:ascii="Calibri" w:eastAsia="Times New Roman" w:hAnsi="Calibri" w:cs="Calibri"/>
                <w:b/>
                <w:bCs/>
                <w:color w:val="0D0D0D"/>
              </w:rPr>
              <w:t>Fiscal Year Ended June 30</w:t>
            </w:r>
          </w:p>
        </w:tc>
        <w:tc>
          <w:tcPr>
            <w:tcW w:w="1170" w:type="dxa"/>
            <w:tcBorders>
              <w:top w:val="nil"/>
              <w:left w:val="nil"/>
              <w:bottom w:val="single" w:sz="12" w:space="0" w:color="00688D"/>
              <w:right w:val="nil"/>
            </w:tcBorders>
            <w:shd w:val="clear" w:color="000000" w:fill="FFFFFF"/>
            <w:noWrap/>
            <w:vAlign w:val="bottom"/>
            <w:hideMark/>
          </w:tcPr>
          <w:p w14:paraId="3F1C196E" w14:textId="77777777" w:rsidR="00051D7E" w:rsidRPr="002942E7" w:rsidRDefault="00051D7E" w:rsidP="007531FB">
            <w:pPr>
              <w:jc w:val="center"/>
              <w:rPr>
                <w:rFonts w:ascii="Calibri" w:eastAsia="Times New Roman" w:hAnsi="Calibri" w:cs="Calibri"/>
                <w:b/>
                <w:bCs/>
                <w:color w:val="0D0D0D"/>
              </w:rPr>
            </w:pPr>
            <w:r w:rsidRPr="002942E7">
              <w:rPr>
                <w:rFonts w:ascii="Calibri" w:eastAsia="Times New Roman" w:hAnsi="Calibri" w:cs="Calibri"/>
                <w:b/>
                <w:bCs/>
                <w:color w:val="0D0D0D"/>
              </w:rPr>
              <w:t>202</w:t>
            </w:r>
            <w:r>
              <w:rPr>
                <w:rFonts w:ascii="Calibri" w:eastAsia="Times New Roman" w:hAnsi="Calibri" w:cs="Calibri"/>
                <w:b/>
                <w:bCs/>
                <w:color w:val="0D0D0D"/>
              </w:rPr>
              <w:t>1</w:t>
            </w:r>
          </w:p>
        </w:tc>
        <w:tc>
          <w:tcPr>
            <w:tcW w:w="1115" w:type="dxa"/>
            <w:tcBorders>
              <w:top w:val="nil"/>
              <w:left w:val="nil"/>
              <w:bottom w:val="single" w:sz="12" w:space="0" w:color="00688D"/>
              <w:right w:val="nil"/>
            </w:tcBorders>
            <w:shd w:val="clear" w:color="auto" w:fill="D9D9D9" w:themeFill="background1" w:themeFillShade="D9"/>
            <w:noWrap/>
            <w:vAlign w:val="bottom"/>
            <w:hideMark/>
          </w:tcPr>
          <w:p w14:paraId="34086D33" w14:textId="77777777" w:rsidR="00051D7E" w:rsidRPr="002942E7" w:rsidRDefault="00051D7E" w:rsidP="007531FB">
            <w:pPr>
              <w:jc w:val="center"/>
              <w:rPr>
                <w:rFonts w:ascii="Calibri" w:eastAsia="Times New Roman" w:hAnsi="Calibri" w:cs="Calibri"/>
                <w:b/>
                <w:bCs/>
                <w:color w:val="0D0D0D"/>
              </w:rPr>
            </w:pPr>
            <w:r w:rsidRPr="002942E7">
              <w:rPr>
                <w:rFonts w:ascii="Calibri" w:eastAsia="Times New Roman" w:hAnsi="Calibri" w:cs="Calibri"/>
                <w:b/>
                <w:bCs/>
                <w:color w:val="0D0D0D"/>
              </w:rPr>
              <w:t>20</w:t>
            </w:r>
            <w:r>
              <w:rPr>
                <w:rFonts w:ascii="Calibri" w:eastAsia="Times New Roman" w:hAnsi="Calibri" w:cs="Calibri"/>
                <w:b/>
                <w:bCs/>
                <w:color w:val="0D0D0D"/>
              </w:rPr>
              <w:t>20</w:t>
            </w:r>
          </w:p>
        </w:tc>
      </w:tr>
      <w:tr w:rsidR="00051D7E" w:rsidRPr="002942E7" w14:paraId="68B3BDDE" w14:textId="77777777" w:rsidTr="007531FB">
        <w:trPr>
          <w:trHeight w:val="360"/>
          <w:jc w:val="center"/>
        </w:trPr>
        <w:tc>
          <w:tcPr>
            <w:tcW w:w="6840" w:type="dxa"/>
            <w:tcBorders>
              <w:top w:val="nil"/>
              <w:left w:val="nil"/>
              <w:bottom w:val="nil"/>
              <w:right w:val="nil"/>
            </w:tcBorders>
            <w:shd w:val="clear" w:color="000000" w:fill="FFFFFF"/>
            <w:noWrap/>
            <w:vAlign w:val="bottom"/>
            <w:hideMark/>
          </w:tcPr>
          <w:p w14:paraId="6009FD55"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 xml:space="preserve">Total pension liability – beginning </w:t>
            </w:r>
          </w:p>
        </w:tc>
        <w:tc>
          <w:tcPr>
            <w:tcW w:w="1170" w:type="dxa"/>
            <w:tcBorders>
              <w:top w:val="nil"/>
              <w:left w:val="nil"/>
              <w:bottom w:val="nil"/>
              <w:right w:val="nil"/>
            </w:tcBorders>
            <w:shd w:val="clear" w:color="000000" w:fill="FFFFFF"/>
            <w:noWrap/>
            <w:vAlign w:val="bottom"/>
            <w:hideMark/>
          </w:tcPr>
          <w:p w14:paraId="7A488017" w14:textId="77777777" w:rsidR="00051D7E" w:rsidRPr="002942E7" w:rsidRDefault="00051D7E" w:rsidP="007531FB">
            <w:pPr>
              <w:jc w:val="right"/>
              <w:rPr>
                <w:rFonts w:ascii="Calibri" w:eastAsia="Times New Roman" w:hAnsi="Calibri" w:cs="Calibri"/>
                <w:color w:val="0D0D0D"/>
              </w:rPr>
            </w:pPr>
            <w:r>
              <w:rPr>
                <w:rFonts w:ascii="Calibri" w:hAnsi="Calibri" w:cs="Calibri"/>
              </w:rPr>
              <w:t xml:space="preserve"> $ 21,049 </w:t>
            </w:r>
          </w:p>
        </w:tc>
        <w:tc>
          <w:tcPr>
            <w:tcW w:w="1115" w:type="dxa"/>
            <w:tcBorders>
              <w:top w:val="nil"/>
              <w:left w:val="nil"/>
              <w:bottom w:val="nil"/>
              <w:right w:val="nil"/>
            </w:tcBorders>
            <w:shd w:val="clear" w:color="auto" w:fill="D9D9D9" w:themeFill="background1" w:themeFillShade="D9"/>
            <w:noWrap/>
            <w:vAlign w:val="bottom"/>
            <w:hideMark/>
          </w:tcPr>
          <w:p w14:paraId="4A66E6DE" w14:textId="77777777" w:rsidR="00051D7E" w:rsidRPr="002942E7" w:rsidRDefault="00051D7E" w:rsidP="007531FB">
            <w:pPr>
              <w:jc w:val="right"/>
              <w:rPr>
                <w:rFonts w:ascii="Calibri" w:eastAsia="Times New Roman" w:hAnsi="Calibri" w:cs="Calibri"/>
                <w:color w:val="0D0D0D"/>
              </w:rPr>
            </w:pPr>
            <w:r>
              <w:rPr>
                <w:rFonts w:ascii="Calibri" w:eastAsia="Times New Roman" w:hAnsi="Calibri" w:cs="Calibri"/>
                <w:color w:val="0D0D0D"/>
              </w:rPr>
              <w:t>$ 21,082</w:t>
            </w:r>
          </w:p>
        </w:tc>
      </w:tr>
      <w:tr w:rsidR="00051D7E" w:rsidRPr="002942E7" w14:paraId="6D4D995A" w14:textId="77777777" w:rsidTr="007531FB">
        <w:trPr>
          <w:trHeight w:val="312"/>
          <w:jc w:val="center"/>
        </w:trPr>
        <w:tc>
          <w:tcPr>
            <w:tcW w:w="6840" w:type="dxa"/>
            <w:tcBorders>
              <w:top w:val="nil"/>
              <w:left w:val="nil"/>
              <w:bottom w:val="nil"/>
              <w:right w:val="nil"/>
            </w:tcBorders>
            <w:shd w:val="clear" w:color="000000" w:fill="FFFFFF"/>
            <w:noWrap/>
            <w:vAlign w:val="bottom"/>
            <w:hideMark/>
          </w:tcPr>
          <w:p w14:paraId="5287EB14"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Changes for the year:</w:t>
            </w:r>
          </w:p>
        </w:tc>
        <w:tc>
          <w:tcPr>
            <w:tcW w:w="1170" w:type="dxa"/>
            <w:tcBorders>
              <w:top w:val="nil"/>
              <w:left w:val="nil"/>
              <w:bottom w:val="nil"/>
              <w:right w:val="nil"/>
            </w:tcBorders>
            <w:shd w:val="clear" w:color="000000" w:fill="FFFFFF"/>
            <w:noWrap/>
            <w:vAlign w:val="bottom"/>
            <w:hideMark/>
          </w:tcPr>
          <w:p w14:paraId="43523AA7" w14:textId="77777777" w:rsidR="00051D7E" w:rsidRPr="002942E7" w:rsidRDefault="00051D7E" w:rsidP="007531FB">
            <w:pPr>
              <w:jc w:val="right"/>
              <w:rPr>
                <w:rFonts w:ascii="Calibri" w:eastAsia="Times New Roman" w:hAnsi="Calibri" w:cs="Calibri"/>
                <w:color w:val="0D0D0D"/>
              </w:rPr>
            </w:pPr>
            <w:r>
              <w:rPr>
                <w:rFonts w:ascii="Calibri" w:hAnsi="Calibri" w:cs="Calibri"/>
                <w:color w:val="FF0000"/>
              </w:rPr>
              <w:t> </w:t>
            </w:r>
          </w:p>
        </w:tc>
        <w:tc>
          <w:tcPr>
            <w:tcW w:w="1115" w:type="dxa"/>
            <w:tcBorders>
              <w:top w:val="nil"/>
              <w:left w:val="nil"/>
              <w:bottom w:val="nil"/>
              <w:right w:val="nil"/>
            </w:tcBorders>
            <w:shd w:val="clear" w:color="auto" w:fill="D9D9D9" w:themeFill="background1" w:themeFillShade="D9"/>
            <w:noWrap/>
            <w:vAlign w:val="bottom"/>
            <w:hideMark/>
          </w:tcPr>
          <w:p w14:paraId="44A0F115"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 </w:t>
            </w:r>
          </w:p>
        </w:tc>
      </w:tr>
      <w:tr w:rsidR="00051D7E" w:rsidRPr="002942E7" w14:paraId="6BC5CBEA" w14:textId="77777777" w:rsidTr="007531FB">
        <w:trPr>
          <w:trHeight w:val="312"/>
          <w:jc w:val="center"/>
        </w:trPr>
        <w:tc>
          <w:tcPr>
            <w:tcW w:w="6840" w:type="dxa"/>
            <w:tcBorders>
              <w:top w:val="nil"/>
              <w:left w:val="nil"/>
              <w:bottom w:val="nil"/>
              <w:right w:val="nil"/>
            </w:tcBorders>
            <w:shd w:val="clear" w:color="000000" w:fill="FFFFFF"/>
            <w:vAlign w:val="bottom"/>
            <w:hideMark/>
          </w:tcPr>
          <w:p w14:paraId="55011305" w14:textId="77777777" w:rsidR="00051D7E" w:rsidRPr="002942E7" w:rsidRDefault="00051D7E" w:rsidP="007531FB">
            <w:pPr>
              <w:ind w:firstLineChars="200" w:firstLine="440"/>
              <w:rPr>
                <w:rFonts w:ascii="Calibri" w:eastAsia="Times New Roman" w:hAnsi="Calibri" w:cs="Calibri"/>
                <w:color w:val="0D0D0D"/>
              </w:rPr>
            </w:pPr>
            <w:r w:rsidRPr="002942E7">
              <w:rPr>
                <w:rFonts w:ascii="Calibri" w:eastAsia="Times New Roman" w:hAnsi="Calibri" w:cs="Calibri"/>
                <w:color w:val="0D0D0D"/>
              </w:rPr>
              <w:t>Service cost</w:t>
            </w:r>
          </w:p>
        </w:tc>
        <w:tc>
          <w:tcPr>
            <w:tcW w:w="1170" w:type="dxa"/>
            <w:tcBorders>
              <w:top w:val="nil"/>
              <w:left w:val="nil"/>
              <w:bottom w:val="nil"/>
              <w:right w:val="nil"/>
            </w:tcBorders>
            <w:shd w:val="clear" w:color="000000" w:fill="FFFFFF"/>
            <w:noWrap/>
            <w:vAlign w:val="bottom"/>
            <w:hideMark/>
          </w:tcPr>
          <w:p w14:paraId="25439470" w14:textId="77777777" w:rsidR="00051D7E" w:rsidRPr="002942E7" w:rsidRDefault="00051D7E" w:rsidP="007531FB">
            <w:pPr>
              <w:jc w:val="right"/>
              <w:rPr>
                <w:rFonts w:ascii="Calibri" w:eastAsia="Times New Roman" w:hAnsi="Calibri" w:cs="Calibri"/>
                <w:color w:val="0D0D0D"/>
              </w:rPr>
            </w:pPr>
            <w:r>
              <w:rPr>
                <w:rFonts w:ascii="Calibri" w:hAnsi="Calibri" w:cs="Calibri"/>
              </w:rPr>
              <w:t xml:space="preserve">         692 </w:t>
            </w:r>
          </w:p>
        </w:tc>
        <w:tc>
          <w:tcPr>
            <w:tcW w:w="1115" w:type="dxa"/>
            <w:tcBorders>
              <w:top w:val="nil"/>
              <w:left w:val="nil"/>
              <w:bottom w:val="nil"/>
              <w:right w:val="nil"/>
            </w:tcBorders>
            <w:shd w:val="clear" w:color="auto" w:fill="D9D9D9" w:themeFill="background1" w:themeFillShade="D9"/>
            <w:noWrap/>
            <w:vAlign w:val="bottom"/>
            <w:hideMark/>
          </w:tcPr>
          <w:p w14:paraId="2CA25C90"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538</w:t>
            </w:r>
          </w:p>
        </w:tc>
      </w:tr>
      <w:tr w:rsidR="00051D7E" w:rsidRPr="002942E7" w14:paraId="4CA1416E" w14:textId="77777777" w:rsidTr="007531FB">
        <w:trPr>
          <w:trHeight w:val="312"/>
          <w:jc w:val="center"/>
        </w:trPr>
        <w:tc>
          <w:tcPr>
            <w:tcW w:w="6840" w:type="dxa"/>
            <w:tcBorders>
              <w:top w:val="nil"/>
              <w:left w:val="nil"/>
              <w:bottom w:val="nil"/>
              <w:right w:val="nil"/>
            </w:tcBorders>
            <w:shd w:val="clear" w:color="000000" w:fill="FFFFFF"/>
            <w:vAlign w:val="bottom"/>
            <w:hideMark/>
          </w:tcPr>
          <w:p w14:paraId="1E2CB46A" w14:textId="77777777" w:rsidR="00051D7E" w:rsidRPr="002942E7" w:rsidRDefault="00051D7E" w:rsidP="007531FB">
            <w:pPr>
              <w:ind w:firstLineChars="200" w:firstLine="440"/>
              <w:rPr>
                <w:rFonts w:ascii="Calibri" w:eastAsia="Times New Roman" w:hAnsi="Calibri" w:cs="Calibri"/>
                <w:color w:val="0D0D0D"/>
              </w:rPr>
            </w:pPr>
            <w:r w:rsidRPr="002942E7">
              <w:rPr>
                <w:rFonts w:ascii="Calibri" w:eastAsia="Times New Roman" w:hAnsi="Calibri" w:cs="Calibri"/>
                <w:color w:val="0D0D0D"/>
              </w:rPr>
              <w:t>Interest</w:t>
            </w:r>
          </w:p>
        </w:tc>
        <w:tc>
          <w:tcPr>
            <w:tcW w:w="1170" w:type="dxa"/>
            <w:tcBorders>
              <w:top w:val="nil"/>
              <w:left w:val="nil"/>
              <w:bottom w:val="nil"/>
              <w:right w:val="nil"/>
            </w:tcBorders>
            <w:shd w:val="clear" w:color="000000" w:fill="FFFFFF"/>
            <w:noWrap/>
            <w:vAlign w:val="bottom"/>
            <w:hideMark/>
          </w:tcPr>
          <w:p w14:paraId="34120945" w14:textId="77777777" w:rsidR="00051D7E" w:rsidRPr="002942E7" w:rsidRDefault="00051D7E" w:rsidP="007531FB">
            <w:pPr>
              <w:jc w:val="right"/>
              <w:rPr>
                <w:rFonts w:ascii="Calibri" w:eastAsia="Times New Roman" w:hAnsi="Calibri" w:cs="Calibri"/>
                <w:color w:val="0D0D0D"/>
              </w:rPr>
            </w:pPr>
            <w:r>
              <w:rPr>
                <w:rFonts w:ascii="Calibri" w:hAnsi="Calibri" w:cs="Calibri"/>
              </w:rPr>
              <w:t xml:space="preserve">         456 </w:t>
            </w:r>
          </w:p>
        </w:tc>
        <w:tc>
          <w:tcPr>
            <w:tcW w:w="1115" w:type="dxa"/>
            <w:tcBorders>
              <w:top w:val="nil"/>
              <w:left w:val="nil"/>
              <w:bottom w:val="nil"/>
              <w:right w:val="nil"/>
            </w:tcBorders>
            <w:shd w:val="clear" w:color="auto" w:fill="D9D9D9" w:themeFill="background1" w:themeFillShade="D9"/>
            <w:noWrap/>
            <w:vAlign w:val="bottom"/>
            <w:hideMark/>
          </w:tcPr>
          <w:p w14:paraId="32FA6FD6"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719</w:t>
            </w:r>
          </w:p>
        </w:tc>
      </w:tr>
      <w:tr w:rsidR="00051D7E" w:rsidRPr="002942E7" w14:paraId="2126515E" w14:textId="77777777" w:rsidTr="007531FB">
        <w:trPr>
          <w:trHeight w:val="315"/>
          <w:jc w:val="center"/>
        </w:trPr>
        <w:tc>
          <w:tcPr>
            <w:tcW w:w="6840" w:type="dxa"/>
            <w:tcBorders>
              <w:top w:val="nil"/>
              <w:left w:val="nil"/>
              <w:bottom w:val="nil"/>
              <w:right w:val="nil"/>
            </w:tcBorders>
            <w:shd w:val="clear" w:color="000000" w:fill="FFFFFF"/>
            <w:noWrap/>
            <w:vAlign w:val="bottom"/>
            <w:hideMark/>
          </w:tcPr>
          <w:p w14:paraId="6157E6E2" w14:textId="77777777" w:rsidR="00051D7E" w:rsidRPr="002942E7" w:rsidRDefault="00051D7E" w:rsidP="007531FB">
            <w:pPr>
              <w:ind w:firstLineChars="200" w:firstLine="440"/>
              <w:rPr>
                <w:rFonts w:ascii="Calibri" w:eastAsia="Times New Roman" w:hAnsi="Calibri" w:cs="Calibri"/>
                <w:color w:val="0D0D0D"/>
              </w:rPr>
            </w:pPr>
            <w:r w:rsidRPr="002942E7">
              <w:rPr>
                <w:rFonts w:ascii="Calibri" w:eastAsia="Times New Roman" w:hAnsi="Calibri" w:cs="Calibri"/>
                <w:color w:val="0D0D0D"/>
              </w:rPr>
              <w:t xml:space="preserve">Differences between expected and actual experience </w:t>
            </w:r>
          </w:p>
        </w:tc>
        <w:tc>
          <w:tcPr>
            <w:tcW w:w="1170" w:type="dxa"/>
            <w:tcBorders>
              <w:top w:val="nil"/>
              <w:left w:val="nil"/>
              <w:bottom w:val="nil"/>
              <w:right w:val="nil"/>
            </w:tcBorders>
            <w:shd w:val="clear" w:color="000000" w:fill="FFFFFF"/>
            <w:noWrap/>
            <w:vAlign w:val="bottom"/>
            <w:hideMark/>
          </w:tcPr>
          <w:p w14:paraId="044168B6" w14:textId="77777777" w:rsidR="00051D7E" w:rsidRPr="002942E7" w:rsidRDefault="00051D7E" w:rsidP="007531FB">
            <w:pPr>
              <w:jc w:val="right"/>
              <w:rPr>
                <w:rFonts w:ascii="Calibri" w:eastAsia="Times New Roman" w:hAnsi="Calibri" w:cs="Calibri"/>
                <w:color w:val="0D0D0D"/>
              </w:rPr>
            </w:pPr>
            <w:r>
              <w:rPr>
                <w:rFonts w:ascii="Calibri" w:hAnsi="Calibri" w:cs="Calibri"/>
              </w:rPr>
              <w:t xml:space="preserve">         833 </w:t>
            </w:r>
          </w:p>
        </w:tc>
        <w:tc>
          <w:tcPr>
            <w:tcW w:w="1115" w:type="dxa"/>
            <w:tcBorders>
              <w:top w:val="nil"/>
              <w:left w:val="nil"/>
              <w:bottom w:val="nil"/>
              <w:right w:val="nil"/>
            </w:tcBorders>
            <w:shd w:val="clear" w:color="auto" w:fill="D9D9D9" w:themeFill="background1" w:themeFillShade="D9"/>
            <w:noWrap/>
            <w:vAlign w:val="bottom"/>
            <w:hideMark/>
          </w:tcPr>
          <w:p w14:paraId="5C5AC437"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w:t>
            </w:r>
          </w:p>
        </w:tc>
      </w:tr>
      <w:tr w:rsidR="00051D7E" w:rsidRPr="002942E7" w14:paraId="16D7F474" w14:textId="77777777" w:rsidTr="007531FB">
        <w:trPr>
          <w:trHeight w:val="312"/>
          <w:jc w:val="center"/>
        </w:trPr>
        <w:tc>
          <w:tcPr>
            <w:tcW w:w="6840" w:type="dxa"/>
            <w:tcBorders>
              <w:top w:val="nil"/>
              <w:left w:val="nil"/>
              <w:bottom w:val="nil"/>
              <w:right w:val="nil"/>
            </w:tcBorders>
            <w:shd w:val="clear" w:color="000000" w:fill="FFFFFF"/>
            <w:noWrap/>
            <w:vAlign w:val="bottom"/>
            <w:hideMark/>
          </w:tcPr>
          <w:p w14:paraId="560C3F64" w14:textId="77777777" w:rsidR="00051D7E" w:rsidRPr="002942E7" w:rsidRDefault="00051D7E" w:rsidP="007531FB">
            <w:pPr>
              <w:ind w:firstLineChars="200" w:firstLine="440"/>
              <w:rPr>
                <w:rFonts w:ascii="Calibri" w:eastAsia="Times New Roman" w:hAnsi="Calibri" w:cs="Calibri"/>
                <w:color w:val="0D0D0D"/>
              </w:rPr>
            </w:pPr>
            <w:r w:rsidRPr="002942E7">
              <w:rPr>
                <w:rFonts w:ascii="Calibri" w:eastAsia="Times New Roman" w:hAnsi="Calibri" w:cs="Calibri"/>
                <w:color w:val="0D0D0D"/>
              </w:rPr>
              <w:t>Changes of assumptions and other inputs</w:t>
            </w:r>
          </w:p>
        </w:tc>
        <w:tc>
          <w:tcPr>
            <w:tcW w:w="1170" w:type="dxa"/>
            <w:tcBorders>
              <w:top w:val="nil"/>
              <w:left w:val="nil"/>
              <w:bottom w:val="nil"/>
              <w:right w:val="nil"/>
            </w:tcBorders>
            <w:shd w:val="clear" w:color="000000" w:fill="FFFFFF"/>
            <w:noWrap/>
            <w:vAlign w:val="bottom"/>
            <w:hideMark/>
          </w:tcPr>
          <w:p w14:paraId="2EE8BAAB" w14:textId="77777777" w:rsidR="00051D7E" w:rsidRPr="002942E7" w:rsidRDefault="00051D7E" w:rsidP="007531FB">
            <w:pPr>
              <w:jc w:val="right"/>
              <w:rPr>
                <w:rFonts w:ascii="Calibri" w:eastAsia="Times New Roman" w:hAnsi="Calibri" w:cs="Calibri"/>
                <w:color w:val="0D0D0D"/>
              </w:rPr>
            </w:pPr>
            <w:r>
              <w:rPr>
                <w:rFonts w:ascii="Calibri" w:hAnsi="Calibri" w:cs="Calibri"/>
              </w:rPr>
              <w:t xml:space="preserve">         376 </w:t>
            </w:r>
          </w:p>
        </w:tc>
        <w:tc>
          <w:tcPr>
            <w:tcW w:w="1115" w:type="dxa"/>
            <w:tcBorders>
              <w:top w:val="nil"/>
              <w:left w:val="nil"/>
              <w:bottom w:val="nil"/>
              <w:right w:val="nil"/>
            </w:tcBorders>
            <w:shd w:val="clear" w:color="auto" w:fill="D9D9D9" w:themeFill="background1" w:themeFillShade="D9"/>
            <w:noWrap/>
            <w:vAlign w:val="bottom"/>
            <w:hideMark/>
          </w:tcPr>
          <w:p w14:paraId="314DF5B5"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851</w:t>
            </w:r>
          </w:p>
        </w:tc>
      </w:tr>
      <w:tr w:rsidR="00051D7E" w:rsidRPr="002942E7" w14:paraId="6BF8F067" w14:textId="77777777" w:rsidTr="007531FB">
        <w:trPr>
          <w:trHeight w:val="312"/>
          <w:jc w:val="center"/>
        </w:trPr>
        <w:tc>
          <w:tcPr>
            <w:tcW w:w="6840" w:type="dxa"/>
            <w:tcBorders>
              <w:top w:val="nil"/>
              <w:left w:val="nil"/>
              <w:bottom w:val="nil"/>
              <w:right w:val="nil"/>
            </w:tcBorders>
            <w:shd w:val="clear" w:color="000000" w:fill="FFFFFF"/>
            <w:vAlign w:val="bottom"/>
            <w:hideMark/>
          </w:tcPr>
          <w:p w14:paraId="75C9B57E" w14:textId="77777777" w:rsidR="00051D7E" w:rsidRPr="002942E7" w:rsidRDefault="00051D7E" w:rsidP="007531FB">
            <w:pPr>
              <w:ind w:firstLineChars="200" w:firstLine="440"/>
              <w:rPr>
                <w:rFonts w:ascii="Calibri" w:eastAsia="Times New Roman" w:hAnsi="Calibri" w:cs="Calibri"/>
                <w:color w:val="0D0D0D"/>
              </w:rPr>
            </w:pPr>
            <w:r w:rsidRPr="002942E7">
              <w:rPr>
                <w:rFonts w:ascii="Calibri" w:eastAsia="Times New Roman" w:hAnsi="Calibri" w:cs="Calibri"/>
                <w:color w:val="0D0D0D"/>
              </w:rPr>
              <w:t>Benefit payments</w:t>
            </w:r>
          </w:p>
        </w:tc>
        <w:tc>
          <w:tcPr>
            <w:tcW w:w="1170" w:type="dxa"/>
            <w:tcBorders>
              <w:top w:val="nil"/>
              <w:left w:val="nil"/>
              <w:bottom w:val="nil"/>
              <w:right w:val="nil"/>
            </w:tcBorders>
            <w:shd w:val="clear" w:color="000000" w:fill="FFFFFF"/>
            <w:noWrap/>
            <w:vAlign w:val="bottom"/>
            <w:hideMark/>
          </w:tcPr>
          <w:p w14:paraId="56449B2F" w14:textId="77777777" w:rsidR="00051D7E" w:rsidRPr="002942E7" w:rsidRDefault="00051D7E" w:rsidP="007531FB">
            <w:pPr>
              <w:jc w:val="right"/>
              <w:rPr>
                <w:rFonts w:ascii="Calibri" w:eastAsia="Times New Roman" w:hAnsi="Calibri" w:cs="Calibri"/>
                <w:color w:val="0D0D0D"/>
              </w:rPr>
            </w:pPr>
            <w:r>
              <w:rPr>
                <w:rFonts w:ascii="Calibri" w:hAnsi="Calibri" w:cs="Calibri"/>
              </w:rPr>
              <w:t xml:space="preserve">     (2,198)</w:t>
            </w:r>
          </w:p>
        </w:tc>
        <w:tc>
          <w:tcPr>
            <w:tcW w:w="1115" w:type="dxa"/>
            <w:tcBorders>
              <w:top w:val="nil"/>
              <w:left w:val="nil"/>
              <w:bottom w:val="nil"/>
              <w:right w:val="nil"/>
            </w:tcBorders>
            <w:shd w:val="clear" w:color="auto" w:fill="D9D9D9" w:themeFill="background1" w:themeFillShade="D9"/>
            <w:noWrap/>
            <w:vAlign w:val="bottom"/>
            <w:hideMark/>
          </w:tcPr>
          <w:p w14:paraId="21023005"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(2,141)</w:t>
            </w:r>
          </w:p>
        </w:tc>
      </w:tr>
      <w:tr w:rsidR="00051D7E" w:rsidRPr="002942E7" w14:paraId="7712AF64" w14:textId="77777777" w:rsidTr="007531FB">
        <w:trPr>
          <w:trHeight w:val="312"/>
          <w:jc w:val="center"/>
        </w:trPr>
        <w:tc>
          <w:tcPr>
            <w:tcW w:w="6840" w:type="dxa"/>
            <w:tcBorders>
              <w:top w:val="single" w:sz="4" w:space="0" w:color="00688D"/>
              <w:left w:val="nil"/>
              <w:bottom w:val="single" w:sz="4" w:space="0" w:color="00688D"/>
              <w:right w:val="nil"/>
            </w:tcBorders>
            <w:shd w:val="clear" w:color="000000" w:fill="FFFFFF"/>
            <w:noWrap/>
            <w:vAlign w:val="bottom"/>
            <w:hideMark/>
          </w:tcPr>
          <w:p w14:paraId="482B8F49"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Total pension liability – ending (a)</w:t>
            </w:r>
          </w:p>
        </w:tc>
        <w:tc>
          <w:tcPr>
            <w:tcW w:w="1170" w:type="dxa"/>
            <w:tcBorders>
              <w:top w:val="single" w:sz="4" w:space="0" w:color="00688D"/>
              <w:left w:val="nil"/>
              <w:bottom w:val="single" w:sz="4" w:space="0" w:color="00688D"/>
              <w:right w:val="nil"/>
            </w:tcBorders>
            <w:shd w:val="clear" w:color="000000" w:fill="FFFFFF"/>
            <w:noWrap/>
            <w:vAlign w:val="bottom"/>
            <w:hideMark/>
          </w:tcPr>
          <w:p w14:paraId="4A24C4B4" w14:textId="77777777" w:rsidR="00051D7E" w:rsidRPr="002942E7" w:rsidRDefault="00051D7E" w:rsidP="007531FB">
            <w:pPr>
              <w:jc w:val="right"/>
              <w:rPr>
                <w:rFonts w:ascii="Calibri" w:eastAsia="Times New Roman" w:hAnsi="Calibri" w:cs="Calibri"/>
                <w:color w:val="0D0D0D"/>
              </w:rPr>
            </w:pPr>
            <w:r>
              <w:rPr>
                <w:rFonts w:ascii="Calibri" w:hAnsi="Calibri" w:cs="Calibri"/>
              </w:rPr>
              <w:t xml:space="preserve">    21,208 </w:t>
            </w:r>
          </w:p>
        </w:tc>
        <w:tc>
          <w:tcPr>
            <w:tcW w:w="1115" w:type="dxa"/>
            <w:tcBorders>
              <w:top w:val="single" w:sz="4" w:space="0" w:color="00688D"/>
              <w:left w:val="nil"/>
              <w:bottom w:val="single" w:sz="4" w:space="0" w:color="00688D"/>
              <w:right w:val="nil"/>
            </w:tcBorders>
            <w:shd w:val="clear" w:color="auto" w:fill="D9D9D9" w:themeFill="background1" w:themeFillShade="D9"/>
            <w:noWrap/>
            <w:vAlign w:val="bottom"/>
            <w:hideMark/>
          </w:tcPr>
          <w:p w14:paraId="7F9AF76B"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21,049</w:t>
            </w:r>
          </w:p>
        </w:tc>
      </w:tr>
      <w:tr w:rsidR="00051D7E" w:rsidRPr="002942E7" w14:paraId="03948F9D" w14:textId="77777777" w:rsidTr="007531FB">
        <w:trPr>
          <w:trHeight w:val="420"/>
          <w:jc w:val="center"/>
        </w:trPr>
        <w:tc>
          <w:tcPr>
            <w:tcW w:w="6840" w:type="dxa"/>
            <w:tcBorders>
              <w:top w:val="nil"/>
              <w:left w:val="nil"/>
              <w:bottom w:val="nil"/>
              <w:right w:val="nil"/>
            </w:tcBorders>
            <w:shd w:val="clear" w:color="000000" w:fill="FFFFFF"/>
            <w:noWrap/>
            <w:vAlign w:val="bottom"/>
            <w:hideMark/>
          </w:tcPr>
          <w:p w14:paraId="22DF8258"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 xml:space="preserve">Fiduciary net position – beginning </w:t>
            </w:r>
          </w:p>
        </w:tc>
        <w:tc>
          <w:tcPr>
            <w:tcW w:w="1170" w:type="dxa"/>
            <w:tcBorders>
              <w:top w:val="nil"/>
              <w:left w:val="nil"/>
              <w:bottom w:val="nil"/>
              <w:right w:val="nil"/>
            </w:tcBorders>
            <w:shd w:val="clear" w:color="000000" w:fill="FFFFFF"/>
            <w:noWrap/>
            <w:vAlign w:val="bottom"/>
            <w:hideMark/>
          </w:tcPr>
          <w:p w14:paraId="73983CE9" w14:textId="77777777" w:rsidR="00051D7E" w:rsidRPr="002942E7" w:rsidRDefault="00051D7E" w:rsidP="007531FB">
            <w:pPr>
              <w:jc w:val="right"/>
              <w:rPr>
                <w:rFonts w:ascii="Calibri" w:eastAsia="Times New Roman" w:hAnsi="Calibri" w:cs="Calibri"/>
                <w:color w:val="0D0D0D"/>
              </w:rPr>
            </w:pPr>
            <w:r>
              <w:rPr>
                <w:rFonts w:ascii="Calibri" w:hAnsi="Calibri" w:cs="Calibri"/>
              </w:rPr>
              <w:t xml:space="preserve">               - </w:t>
            </w:r>
          </w:p>
        </w:tc>
        <w:tc>
          <w:tcPr>
            <w:tcW w:w="1115" w:type="dxa"/>
            <w:tcBorders>
              <w:top w:val="nil"/>
              <w:left w:val="nil"/>
              <w:bottom w:val="nil"/>
              <w:right w:val="nil"/>
            </w:tcBorders>
            <w:shd w:val="clear" w:color="auto" w:fill="D9D9D9" w:themeFill="background1" w:themeFillShade="D9"/>
            <w:noWrap/>
            <w:vAlign w:val="bottom"/>
            <w:hideMark/>
          </w:tcPr>
          <w:p w14:paraId="3265B9C5"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w:t>
            </w:r>
          </w:p>
        </w:tc>
      </w:tr>
      <w:tr w:rsidR="00051D7E" w:rsidRPr="002942E7" w14:paraId="2D2457DC" w14:textId="77777777" w:rsidTr="007531FB">
        <w:trPr>
          <w:trHeight w:val="312"/>
          <w:jc w:val="center"/>
        </w:trPr>
        <w:tc>
          <w:tcPr>
            <w:tcW w:w="6840" w:type="dxa"/>
            <w:tcBorders>
              <w:top w:val="nil"/>
              <w:left w:val="nil"/>
              <w:bottom w:val="nil"/>
              <w:right w:val="nil"/>
            </w:tcBorders>
            <w:shd w:val="clear" w:color="000000" w:fill="FFFFFF"/>
            <w:vAlign w:val="bottom"/>
            <w:hideMark/>
          </w:tcPr>
          <w:p w14:paraId="755633BA" w14:textId="77777777" w:rsidR="00051D7E" w:rsidRPr="002942E7" w:rsidRDefault="00051D7E" w:rsidP="007531FB">
            <w:pPr>
              <w:ind w:firstLineChars="200" w:firstLine="440"/>
              <w:rPr>
                <w:rFonts w:ascii="Calibri" w:eastAsia="Times New Roman" w:hAnsi="Calibri" w:cs="Calibri"/>
                <w:color w:val="0D0D0D"/>
              </w:rPr>
            </w:pPr>
            <w:r w:rsidRPr="002942E7">
              <w:rPr>
                <w:rFonts w:ascii="Calibri" w:eastAsia="Times New Roman" w:hAnsi="Calibri" w:cs="Calibri"/>
                <w:color w:val="0D0D0D"/>
              </w:rPr>
              <w:t>Contributions – employer</w:t>
            </w:r>
          </w:p>
        </w:tc>
        <w:tc>
          <w:tcPr>
            <w:tcW w:w="1170" w:type="dxa"/>
            <w:tcBorders>
              <w:top w:val="nil"/>
              <w:left w:val="nil"/>
              <w:bottom w:val="nil"/>
              <w:right w:val="nil"/>
            </w:tcBorders>
            <w:shd w:val="clear" w:color="000000" w:fill="FFFFFF"/>
            <w:noWrap/>
            <w:vAlign w:val="bottom"/>
            <w:hideMark/>
          </w:tcPr>
          <w:p w14:paraId="070B6188" w14:textId="77777777" w:rsidR="00051D7E" w:rsidRPr="002942E7" w:rsidRDefault="00051D7E" w:rsidP="007531FB">
            <w:pPr>
              <w:jc w:val="right"/>
              <w:rPr>
                <w:rFonts w:ascii="Calibri" w:eastAsia="Times New Roman" w:hAnsi="Calibri" w:cs="Calibri"/>
                <w:color w:val="0D0D0D"/>
              </w:rPr>
            </w:pPr>
            <w:r>
              <w:rPr>
                <w:rFonts w:ascii="Calibri" w:hAnsi="Calibri" w:cs="Calibri"/>
              </w:rPr>
              <w:t xml:space="preserve">      2,198 </w:t>
            </w:r>
          </w:p>
        </w:tc>
        <w:tc>
          <w:tcPr>
            <w:tcW w:w="1115" w:type="dxa"/>
            <w:tcBorders>
              <w:top w:val="nil"/>
              <w:left w:val="nil"/>
              <w:bottom w:val="nil"/>
              <w:right w:val="nil"/>
            </w:tcBorders>
            <w:shd w:val="clear" w:color="auto" w:fill="D9D9D9" w:themeFill="background1" w:themeFillShade="D9"/>
            <w:noWrap/>
            <w:vAlign w:val="bottom"/>
            <w:hideMark/>
          </w:tcPr>
          <w:p w14:paraId="5AA954BA"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2,141</w:t>
            </w:r>
          </w:p>
        </w:tc>
      </w:tr>
      <w:tr w:rsidR="00051D7E" w:rsidRPr="002942E7" w14:paraId="6D08A9C0" w14:textId="77777777" w:rsidTr="007531FB">
        <w:trPr>
          <w:trHeight w:val="312"/>
          <w:jc w:val="center"/>
        </w:trPr>
        <w:tc>
          <w:tcPr>
            <w:tcW w:w="6840" w:type="dxa"/>
            <w:tcBorders>
              <w:top w:val="nil"/>
              <w:left w:val="nil"/>
              <w:bottom w:val="nil"/>
              <w:right w:val="nil"/>
            </w:tcBorders>
            <w:shd w:val="clear" w:color="000000" w:fill="FFFFFF"/>
            <w:vAlign w:val="bottom"/>
            <w:hideMark/>
          </w:tcPr>
          <w:p w14:paraId="664B692A" w14:textId="77777777" w:rsidR="00051D7E" w:rsidRPr="002942E7" w:rsidRDefault="00051D7E" w:rsidP="007531FB">
            <w:pPr>
              <w:ind w:firstLineChars="200" w:firstLine="440"/>
              <w:rPr>
                <w:rFonts w:ascii="Calibri" w:eastAsia="Times New Roman" w:hAnsi="Calibri" w:cs="Calibri"/>
                <w:color w:val="0D0D0D"/>
              </w:rPr>
            </w:pPr>
            <w:r w:rsidRPr="002942E7">
              <w:rPr>
                <w:rFonts w:ascii="Calibri" w:eastAsia="Times New Roman" w:hAnsi="Calibri" w:cs="Calibri"/>
                <w:color w:val="0D0D0D"/>
              </w:rPr>
              <w:t>Benefit payments</w:t>
            </w:r>
          </w:p>
        </w:tc>
        <w:tc>
          <w:tcPr>
            <w:tcW w:w="1170" w:type="dxa"/>
            <w:tcBorders>
              <w:top w:val="nil"/>
              <w:left w:val="nil"/>
              <w:bottom w:val="nil"/>
              <w:right w:val="nil"/>
            </w:tcBorders>
            <w:shd w:val="clear" w:color="000000" w:fill="FFFFFF"/>
            <w:noWrap/>
            <w:vAlign w:val="bottom"/>
            <w:hideMark/>
          </w:tcPr>
          <w:p w14:paraId="760E4CB7" w14:textId="77777777" w:rsidR="00051D7E" w:rsidRPr="002942E7" w:rsidRDefault="00051D7E" w:rsidP="007531FB">
            <w:pPr>
              <w:jc w:val="right"/>
              <w:rPr>
                <w:rFonts w:ascii="Calibri" w:eastAsia="Times New Roman" w:hAnsi="Calibri" w:cs="Calibri"/>
                <w:color w:val="0D0D0D"/>
              </w:rPr>
            </w:pPr>
            <w:r>
              <w:rPr>
                <w:rFonts w:ascii="Calibri" w:hAnsi="Calibri" w:cs="Calibri"/>
              </w:rPr>
              <w:t xml:space="preserve">     (2,198)</w:t>
            </w:r>
          </w:p>
        </w:tc>
        <w:tc>
          <w:tcPr>
            <w:tcW w:w="1115" w:type="dxa"/>
            <w:tcBorders>
              <w:top w:val="nil"/>
              <w:left w:val="nil"/>
              <w:bottom w:val="nil"/>
              <w:right w:val="nil"/>
            </w:tcBorders>
            <w:shd w:val="clear" w:color="auto" w:fill="D9D9D9" w:themeFill="background1" w:themeFillShade="D9"/>
            <w:noWrap/>
            <w:vAlign w:val="bottom"/>
            <w:hideMark/>
          </w:tcPr>
          <w:p w14:paraId="1DA20E3B"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(2,141)</w:t>
            </w:r>
          </w:p>
        </w:tc>
      </w:tr>
      <w:tr w:rsidR="00051D7E" w:rsidRPr="002942E7" w14:paraId="14E0BFDA" w14:textId="77777777" w:rsidTr="007531FB">
        <w:trPr>
          <w:trHeight w:val="312"/>
          <w:jc w:val="center"/>
        </w:trPr>
        <w:tc>
          <w:tcPr>
            <w:tcW w:w="6840" w:type="dxa"/>
            <w:tcBorders>
              <w:top w:val="single" w:sz="4" w:space="0" w:color="00688D"/>
              <w:left w:val="nil"/>
              <w:bottom w:val="single" w:sz="4" w:space="0" w:color="00688D"/>
              <w:right w:val="nil"/>
            </w:tcBorders>
            <w:shd w:val="clear" w:color="000000" w:fill="FFFFFF"/>
            <w:noWrap/>
            <w:vAlign w:val="bottom"/>
            <w:hideMark/>
          </w:tcPr>
          <w:p w14:paraId="00650D0F"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Fiduciary net position – ending (b)</w:t>
            </w:r>
          </w:p>
        </w:tc>
        <w:tc>
          <w:tcPr>
            <w:tcW w:w="1170" w:type="dxa"/>
            <w:tcBorders>
              <w:top w:val="single" w:sz="4" w:space="0" w:color="00688D"/>
              <w:left w:val="nil"/>
              <w:bottom w:val="single" w:sz="4" w:space="0" w:color="00688D"/>
              <w:right w:val="nil"/>
            </w:tcBorders>
            <w:shd w:val="clear" w:color="000000" w:fill="FFFFFF"/>
            <w:noWrap/>
            <w:vAlign w:val="bottom"/>
            <w:hideMark/>
          </w:tcPr>
          <w:p w14:paraId="3FB2B7EA" w14:textId="77777777" w:rsidR="00051D7E" w:rsidRPr="002942E7" w:rsidRDefault="00051D7E" w:rsidP="007531FB">
            <w:pPr>
              <w:jc w:val="right"/>
              <w:rPr>
                <w:rFonts w:ascii="Calibri" w:eastAsia="Times New Roman" w:hAnsi="Calibri" w:cs="Calibri"/>
                <w:color w:val="0D0D0D"/>
              </w:rPr>
            </w:pPr>
            <w:r>
              <w:rPr>
                <w:rFonts w:ascii="Calibri" w:hAnsi="Calibri" w:cs="Calibri"/>
              </w:rPr>
              <w:t xml:space="preserve">               - </w:t>
            </w:r>
          </w:p>
        </w:tc>
        <w:tc>
          <w:tcPr>
            <w:tcW w:w="1115" w:type="dxa"/>
            <w:tcBorders>
              <w:top w:val="single" w:sz="4" w:space="0" w:color="00688D"/>
              <w:left w:val="nil"/>
              <w:bottom w:val="single" w:sz="4" w:space="0" w:color="00688D"/>
              <w:right w:val="nil"/>
            </w:tcBorders>
            <w:shd w:val="clear" w:color="auto" w:fill="D9D9D9" w:themeFill="background1" w:themeFillShade="D9"/>
            <w:noWrap/>
            <w:vAlign w:val="bottom"/>
            <w:hideMark/>
          </w:tcPr>
          <w:p w14:paraId="46466014"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w:t>
            </w:r>
          </w:p>
        </w:tc>
      </w:tr>
      <w:tr w:rsidR="00051D7E" w:rsidRPr="002942E7" w14:paraId="23B101F4" w14:textId="77777777" w:rsidTr="007531FB">
        <w:trPr>
          <w:trHeight w:val="444"/>
          <w:jc w:val="center"/>
        </w:trPr>
        <w:tc>
          <w:tcPr>
            <w:tcW w:w="6840" w:type="dxa"/>
            <w:tcBorders>
              <w:top w:val="nil"/>
              <w:left w:val="nil"/>
              <w:bottom w:val="double" w:sz="6" w:space="0" w:color="00688D"/>
              <w:right w:val="nil"/>
            </w:tcBorders>
            <w:shd w:val="clear" w:color="000000" w:fill="FFFFFF"/>
            <w:noWrap/>
            <w:vAlign w:val="bottom"/>
            <w:hideMark/>
          </w:tcPr>
          <w:p w14:paraId="0D2CC6D8"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Net pension liability – ending (a)-(b)</w:t>
            </w:r>
          </w:p>
        </w:tc>
        <w:tc>
          <w:tcPr>
            <w:tcW w:w="1170" w:type="dxa"/>
            <w:tcBorders>
              <w:top w:val="nil"/>
              <w:left w:val="nil"/>
              <w:bottom w:val="double" w:sz="6" w:space="0" w:color="00688D"/>
              <w:right w:val="nil"/>
            </w:tcBorders>
            <w:shd w:val="clear" w:color="000000" w:fill="FFFFFF"/>
            <w:noWrap/>
            <w:vAlign w:val="bottom"/>
            <w:hideMark/>
          </w:tcPr>
          <w:p w14:paraId="09D50C3D" w14:textId="77777777" w:rsidR="00051D7E" w:rsidRPr="002942E7" w:rsidRDefault="00051D7E" w:rsidP="007531FB">
            <w:pPr>
              <w:jc w:val="right"/>
              <w:rPr>
                <w:rFonts w:ascii="Calibri" w:eastAsia="Times New Roman" w:hAnsi="Calibri" w:cs="Calibri"/>
                <w:color w:val="0D0D0D"/>
              </w:rPr>
            </w:pPr>
            <w:r>
              <w:rPr>
                <w:rFonts w:ascii="Calibri" w:hAnsi="Calibri" w:cs="Calibri"/>
              </w:rPr>
              <w:t xml:space="preserve"> $ 21,208 </w:t>
            </w:r>
          </w:p>
        </w:tc>
        <w:tc>
          <w:tcPr>
            <w:tcW w:w="1115" w:type="dxa"/>
            <w:tcBorders>
              <w:top w:val="nil"/>
              <w:left w:val="nil"/>
              <w:bottom w:val="double" w:sz="6" w:space="0" w:color="00688D"/>
              <w:right w:val="nil"/>
            </w:tcBorders>
            <w:shd w:val="clear" w:color="auto" w:fill="D9D9D9" w:themeFill="background1" w:themeFillShade="D9"/>
            <w:noWrap/>
            <w:vAlign w:val="bottom"/>
            <w:hideMark/>
          </w:tcPr>
          <w:p w14:paraId="4D432360" w14:textId="77777777" w:rsidR="00051D7E" w:rsidRPr="002942E7" w:rsidRDefault="00051D7E" w:rsidP="007531FB">
            <w:pPr>
              <w:jc w:val="center"/>
              <w:rPr>
                <w:rFonts w:ascii="Calibri" w:eastAsia="Times New Roman" w:hAnsi="Calibri" w:cs="Calibri"/>
                <w:color w:val="0D0D0D"/>
              </w:rPr>
            </w:pPr>
            <w:r w:rsidRPr="002942E7">
              <w:rPr>
                <w:rFonts w:ascii="Calibri" w:eastAsia="Times New Roman" w:hAnsi="Calibri" w:cs="Calibri"/>
                <w:color w:val="0D0D0D"/>
              </w:rPr>
              <w:t>$ 21,049</w:t>
            </w:r>
          </w:p>
        </w:tc>
      </w:tr>
      <w:tr w:rsidR="00051D7E" w:rsidRPr="002942E7" w14:paraId="5B99C035" w14:textId="77777777" w:rsidTr="007531FB">
        <w:trPr>
          <w:trHeight w:val="324"/>
          <w:jc w:val="center"/>
        </w:trPr>
        <w:tc>
          <w:tcPr>
            <w:tcW w:w="6840" w:type="dxa"/>
            <w:tcBorders>
              <w:top w:val="nil"/>
              <w:left w:val="nil"/>
              <w:bottom w:val="nil"/>
              <w:right w:val="nil"/>
            </w:tcBorders>
            <w:shd w:val="clear" w:color="000000" w:fill="FFFFFF"/>
            <w:noWrap/>
            <w:vAlign w:val="bottom"/>
            <w:hideMark/>
          </w:tcPr>
          <w:p w14:paraId="58A4AC94"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Plan fiduciary net position as a percentage of the total pension liability</w:t>
            </w:r>
          </w:p>
        </w:tc>
        <w:tc>
          <w:tcPr>
            <w:tcW w:w="1170" w:type="dxa"/>
            <w:tcBorders>
              <w:top w:val="nil"/>
              <w:left w:val="nil"/>
              <w:bottom w:val="nil"/>
              <w:right w:val="nil"/>
            </w:tcBorders>
            <w:shd w:val="clear" w:color="000000" w:fill="FFFFFF"/>
            <w:noWrap/>
            <w:vAlign w:val="bottom"/>
            <w:hideMark/>
          </w:tcPr>
          <w:p w14:paraId="407D99C9" w14:textId="77777777" w:rsidR="00051D7E" w:rsidRPr="002942E7" w:rsidRDefault="00051D7E" w:rsidP="007531FB">
            <w:pPr>
              <w:jc w:val="right"/>
              <w:rPr>
                <w:rFonts w:ascii="Calibri" w:eastAsia="Times New Roman" w:hAnsi="Calibri" w:cs="Calibri"/>
                <w:color w:val="0D0D0D"/>
              </w:rPr>
            </w:pPr>
            <w:r>
              <w:rPr>
                <w:rFonts w:ascii="Calibri" w:hAnsi="Calibri" w:cs="Calibri"/>
              </w:rPr>
              <w:t>0.00%</w:t>
            </w:r>
          </w:p>
        </w:tc>
        <w:tc>
          <w:tcPr>
            <w:tcW w:w="1115" w:type="dxa"/>
            <w:tcBorders>
              <w:top w:val="nil"/>
              <w:left w:val="nil"/>
              <w:bottom w:val="nil"/>
              <w:right w:val="nil"/>
            </w:tcBorders>
            <w:shd w:val="clear" w:color="auto" w:fill="D9D9D9" w:themeFill="background1" w:themeFillShade="D9"/>
            <w:noWrap/>
            <w:vAlign w:val="bottom"/>
            <w:hideMark/>
          </w:tcPr>
          <w:p w14:paraId="2D817CB4"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0.00%</w:t>
            </w:r>
          </w:p>
        </w:tc>
      </w:tr>
      <w:tr w:rsidR="00051D7E" w:rsidRPr="002942E7" w14:paraId="2688001A" w14:textId="77777777" w:rsidTr="007531FB">
        <w:trPr>
          <w:trHeight w:val="312"/>
          <w:jc w:val="center"/>
        </w:trPr>
        <w:tc>
          <w:tcPr>
            <w:tcW w:w="6840" w:type="dxa"/>
            <w:tcBorders>
              <w:top w:val="nil"/>
              <w:left w:val="nil"/>
              <w:bottom w:val="nil"/>
              <w:right w:val="nil"/>
            </w:tcBorders>
            <w:shd w:val="clear" w:color="000000" w:fill="FFFFFF"/>
            <w:noWrap/>
            <w:vAlign w:val="bottom"/>
            <w:hideMark/>
          </w:tcPr>
          <w:p w14:paraId="346FA1A6"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Covered payroll</w:t>
            </w:r>
          </w:p>
        </w:tc>
        <w:tc>
          <w:tcPr>
            <w:tcW w:w="1170" w:type="dxa"/>
            <w:tcBorders>
              <w:top w:val="nil"/>
              <w:left w:val="nil"/>
              <w:bottom w:val="nil"/>
              <w:right w:val="nil"/>
            </w:tcBorders>
            <w:shd w:val="clear" w:color="000000" w:fill="FFFFFF"/>
            <w:noWrap/>
            <w:vAlign w:val="bottom"/>
            <w:hideMark/>
          </w:tcPr>
          <w:p w14:paraId="39992277" w14:textId="77777777" w:rsidR="00051D7E" w:rsidRPr="002942E7" w:rsidRDefault="00051D7E" w:rsidP="007531FB">
            <w:pPr>
              <w:jc w:val="right"/>
              <w:rPr>
                <w:rFonts w:ascii="Calibri" w:eastAsia="Times New Roman" w:hAnsi="Calibri" w:cs="Calibri"/>
                <w:color w:val="0D0D0D"/>
              </w:rPr>
            </w:pPr>
            <w:r>
              <w:rPr>
                <w:rFonts w:ascii="Calibri" w:hAnsi="Calibri" w:cs="Calibri"/>
              </w:rPr>
              <w:t xml:space="preserve"> $ 62,646 </w:t>
            </w:r>
          </w:p>
        </w:tc>
        <w:tc>
          <w:tcPr>
            <w:tcW w:w="1115" w:type="dxa"/>
            <w:tcBorders>
              <w:top w:val="nil"/>
              <w:left w:val="nil"/>
              <w:bottom w:val="nil"/>
              <w:right w:val="nil"/>
            </w:tcBorders>
            <w:shd w:val="clear" w:color="auto" w:fill="D9D9D9" w:themeFill="background1" w:themeFillShade="D9"/>
            <w:noWrap/>
            <w:vAlign w:val="bottom"/>
            <w:hideMark/>
          </w:tcPr>
          <w:p w14:paraId="42CBFBCF"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$ 67,303</w:t>
            </w:r>
          </w:p>
        </w:tc>
      </w:tr>
      <w:tr w:rsidR="00051D7E" w:rsidRPr="002942E7" w14:paraId="3871503B" w14:textId="77777777" w:rsidTr="007531FB">
        <w:trPr>
          <w:trHeight w:val="312"/>
          <w:jc w:val="center"/>
        </w:trPr>
        <w:tc>
          <w:tcPr>
            <w:tcW w:w="6840" w:type="dxa"/>
            <w:tcBorders>
              <w:top w:val="nil"/>
              <w:left w:val="nil"/>
              <w:bottom w:val="nil"/>
              <w:right w:val="nil"/>
            </w:tcBorders>
            <w:shd w:val="clear" w:color="000000" w:fill="FFFFFF"/>
            <w:noWrap/>
            <w:vAlign w:val="bottom"/>
            <w:hideMark/>
          </w:tcPr>
          <w:p w14:paraId="4A78BF5C"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Net pension liability as a percentage of covered payroll</w:t>
            </w:r>
          </w:p>
        </w:tc>
        <w:tc>
          <w:tcPr>
            <w:tcW w:w="1170" w:type="dxa"/>
            <w:tcBorders>
              <w:top w:val="nil"/>
              <w:left w:val="nil"/>
              <w:bottom w:val="nil"/>
              <w:right w:val="nil"/>
            </w:tcBorders>
            <w:shd w:val="clear" w:color="000000" w:fill="FFFFFF"/>
            <w:noWrap/>
            <w:vAlign w:val="bottom"/>
            <w:hideMark/>
          </w:tcPr>
          <w:p w14:paraId="15520511" w14:textId="77777777" w:rsidR="00051D7E" w:rsidRPr="002942E7" w:rsidRDefault="00051D7E" w:rsidP="007531FB">
            <w:pPr>
              <w:jc w:val="right"/>
              <w:rPr>
                <w:rFonts w:ascii="Calibri" w:eastAsia="Times New Roman" w:hAnsi="Calibri" w:cs="Calibri"/>
                <w:color w:val="0D0D0D"/>
              </w:rPr>
            </w:pPr>
            <w:r>
              <w:rPr>
                <w:rFonts w:ascii="Calibri" w:hAnsi="Calibri" w:cs="Calibri"/>
              </w:rPr>
              <w:t>33.85%</w:t>
            </w:r>
          </w:p>
        </w:tc>
        <w:tc>
          <w:tcPr>
            <w:tcW w:w="1115" w:type="dxa"/>
            <w:tcBorders>
              <w:top w:val="nil"/>
              <w:left w:val="nil"/>
              <w:bottom w:val="nil"/>
              <w:right w:val="nil"/>
            </w:tcBorders>
            <w:shd w:val="clear" w:color="auto" w:fill="D9D9D9" w:themeFill="background1" w:themeFillShade="D9"/>
            <w:noWrap/>
            <w:vAlign w:val="bottom"/>
            <w:hideMark/>
          </w:tcPr>
          <w:p w14:paraId="06990C16"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31.27%</w:t>
            </w:r>
          </w:p>
        </w:tc>
      </w:tr>
      <w:tr w:rsidR="00051D7E" w:rsidRPr="002942E7" w14:paraId="5971F230" w14:textId="77777777" w:rsidTr="007531FB">
        <w:trPr>
          <w:trHeight w:val="312"/>
          <w:jc w:val="center"/>
        </w:trPr>
        <w:tc>
          <w:tcPr>
            <w:tcW w:w="6840" w:type="dxa"/>
            <w:tcBorders>
              <w:top w:val="nil"/>
              <w:left w:val="nil"/>
              <w:bottom w:val="nil"/>
              <w:right w:val="nil"/>
            </w:tcBorders>
            <w:shd w:val="clear" w:color="000000" w:fill="FFFFFF"/>
            <w:noWrap/>
            <w:vAlign w:val="bottom"/>
            <w:hideMark/>
          </w:tcPr>
          <w:p w14:paraId="6E1FAFA9" w14:textId="77777777" w:rsidR="00051D7E" w:rsidRPr="002942E7" w:rsidRDefault="00051D7E" w:rsidP="007531FB">
            <w:pPr>
              <w:rPr>
                <w:rFonts w:ascii="Calibri" w:eastAsia="Times New Roman" w:hAnsi="Calibri" w:cs="Calibri"/>
                <w:color w:val="0D0D0D"/>
              </w:rPr>
            </w:pPr>
            <w:r w:rsidRPr="002942E7">
              <w:rPr>
                <w:rFonts w:ascii="Calibri" w:eastAsia="Times New Roman" w:hAnsi="Calibri" w:cs="Calibri"/>
                <w:color w:val="0D0D0D"/>
              </w:rPr>
              <w:t>Contributions as a percentage of covered payroll</w:t>
            </w:r>
          </w:p>
        </w:tc>
        <w:tc>
          <w:tcPr>
            <w:tcW w:w="1170" w:type="dxa"/>
            <w:tcBorders>
              <w:top w:val="nil"/>
              <w:left w:val="nil"/>
              <w:bottom w:val="nil"/>
              <w:right w:val="nil"/>
            </w:tcBorders>
            <w:shd w:val="clear" w:color="000000" w:fill="FFFFFF"/>
            <w:noWrap/>
            <w:vAlign w:val="bottom"/>
            <w:hideMark/>
          </w:tcPr>
          <w:p w14:paraId="50A2EA7E" w14:textId="77777777" w:rsidR="00051D7E" w:rsidRPr="002942E7" w:rsidRDefault="00051D7E" w:rsidP="007531FB">
            <w:pPr>
              <w:jc w:val="right"/>
              <w:rPr>
                <w:rFonts w:ascii="Calibri" w:eastAsia="Times New Roman" w:hAnsi="Calibri" w:cs="Calibri"/>
                <w:color w:val="0D0D0D"/>
              </w:rPr>
            </w:pPr>
            <w:r>
              <w:rPr>
                <w:rFonts w:ascii="Calibri" w:hAnsi="Calibri" w:cs="Calibri"/>
              </w:rPr>
              <w:t>3.51%</w:t>
            </w:r>
          </w:p>
        </w:tc>
        <w:tc>
          <w:tcPr>
            <w:tcW w:w="1115" w:type="dxa"/>
            <w:tcBorders>
              <w:top w:val="nil"/>
              <w:left w:val="nil"/>
              <w:bottom w:val="nil"/>
              <w:right w:val="nil"/>
            </w:tcBorders>
            <w:shd w:val="clear" w:color="auto" w:fill="D9D9D9" w:themeFill="background1" w:themeFillShade="D9"/>
            <w:noWrap/>
            <w:vAlign w:val="bottom"/>
            <w:hideMark/>
          </w:tcPr>
          <w:p w14:paraId="150AC69B" w14:textId="77777777" w:rsidR="00051D7E" w:rsidRPr="002942E7" w:rsidRDefault="00051D7E" w:rsidP="007531FB">
            <w:pPr>
              <w:jc w:val="right"/>
              <w:rPr>
                <w:rFonts w:ascii="Calibri" w:eastAsia="Times New Roman" w:hAnsi="Calibri" w:cs="Calibri"/>
                <w:color w:val="0D0D0D"/>
              </w:rPr>
            </w:pPr>
            <w:r w:rsidRPr="002942E7">
              <w:rPr>
                <w:rFonts w:ascii="Calibri" w:eastAsia="Times New Roman" w:hAnsi="Calibri" w:cs="Calibri"/>
                <w:color w:val="0D0D0D"/>
              </w:rPr>
              <w:t>3.18%</w:t>
            </w:r>
          </w:p>
        </w:tc>
      </w:tr>
      <w:tr w:rsidR="00051D7E" w:rsidRPr="002942E7" w14:paraId="6932281F" w14:textId="77777777" w:rsidTr="007531FB">
        <w:trPr>
          <w:trHeight w:val="84"/>
          <w:jc w:val="center"/>
        </w:trPr>
        <w:tc>
          <w:tcPr>
            <w:tcW w:w="6840" w:type="dxa"/>
            <w:tcBorders>
              <w:top w:val="nil"/>
              <w:left w:val="nil"/>
              <w:bottom w:val="single" w:sz="4" w:space="0" w:color="00688D"/>
              <w:right w:val="nil"/>
            </w:tcBorders>
            <w:shd w:val="clear" w:color="000000" w:fill="FFFFFF"/>
            <w:vAlign w:val="bottom"/>
            <w:hideMark/>
          </w:tcPr>
          <w:p w14:paraId="0364F907" w14:textId="77777777" w:rsidR="00051D7E" w:rsidRPr="001A18A6" w:rsidRDefault="00051D7E" w:rsidP="007531FB">
            <w:pPr>
              <w:rPr>
                <w:rFonts w:ascii="Calibri" w:eastAsia="Times New Roman" w:hAnsi="Calibri" w:cs="Calibri"/>
                <w:color w:val="0D0D0D"/>
                <w:sz w:val="2"/>
              </w:rPr>
            </w:pPr>
            <w:r w:rsidRPr="001A18A6">
              <w:rPr>
                <w:rFonts w:ascii="Calibri" w:eastAsia="Times New Roman" w:hAnsi="Calibri" w:cs="Calibri"/>
                <w:color w:val="0D0D0D"/>
                <w:sz w:val="2"/>
              </w:rPr>
              <w:t> </w:t>
            </w:r>
          </w:p>
        </w:tc>
        <w:tc>
          <w:tcPr>
            <w:tcW w:w="1170" w:type="dxa"/>
            <w:tcBorders>
              <w:top w:val="nil"/>
              <w:left w:val="nil"/>
              <w:bottom w:val="single" w:sz="4" w:space="0" w:color="00688D"/>
              <w:right w:val="nil"/>
            </w:tcBorders>
            <w:shd w:val="clear" w:color="000000" w:fill="FFFFFF"/>
            <w:vAlign w:val="bottom"/>
            <w:hideMark/>
          </w:tcPr>
          <w:p w14:paraId="53B22FFF" w14:textId="77777777" w:rsidR="00051D7E" w:rsidRPr="001A18A6" w:rsidRDefault="00051D7E" w:rsidP="007531FB">
            <w:pPr>
              <w:rPr>
                <w:rFonts w:ascii="Calibri" w:eastAsia="Times New Roman" w:hAnsi="Calibri" w:cs="Calibri"/>
                <w:color w:val="0D0D0D"/>
                <w:sz w:val="2"/>
              </w:rPr>
            </w:pPr>
            <w:r w:rsidRPr="001A18A6">
              <w:rPr>
                <w:rFonts w:ascii="Calibri" w:eastAsia="Times New Roman" w:hAnsi="Calibri" w:cs="Calibri"/>
                <w:color w:val="0D0D0D"/>
                <w:sz w:val="2"/>
              </w:rPr>
              <w:t> </w:t>
            </w:r>
          </w:p>
        </w:tc>
        <w:tc>
          <w:tcPr>
            <w:tcW w:w="1115" w:type="dxa"/>
            <w:tcBorders>
              <w:top w:val="nil"/>
              <w:left w:val="nil"/>
              <w:bottom w:val="single" w:sz="4" w:space="0" w:color="00688D"/>
              <w:right w:val="nil"/>
            </w:tcBorders>
            <w:shd w:val="clear" w:color="000000" w:fill="F2F2F2"/>
            <w:vAlign w:val="bottom"/>
            <w:hideMark/>
          </w:tcPr>
          <w:p w14:paraId="75E83B26" w14:textId="77777777" w:rsidR="00051D7E" w:rsidRPr="001A18A6" w:rsidRDefault="00051D7E" w:rsidP="007531FB">
            <w:pPr>
              <w:rPr>
                <w:rFonts w:ascii="Calibri" w:eastAsia="Times New Roman" w:hAnsi="Calibri" w:cs="Calibri"/>
                <w:color w:val="0D0D0D"/>
                <w:sz w:val="2"/>
              </w:rPr>
            </w:pPr>
            <w:r w:rsidRPr="001A18A6">
              <w:rPr>
                <w:rFonts w:ascii="Calibri" w:eastAsia="Times New Roman" w:hAnsi="Calibri" w:cs="Calibri"/>
                <w:color w:val="0D0D0D"/>
                <w:sz w:val="2"/>
              </w:rPr>
              <w:t> </w:t>
            </w:r>
          </w:p>
        </w:tc>
      </w:tr>
    </w:tbl>
    <w:p w14:paraId="707607AE" w14:textId="77777777" w:rsidR="00051D7E" w:rsidRPr="00F54559" w:rsidRDefault="00051D7E" w:rsidP="00051D7E">
      <w:pPr>
        <w:pStyle w:val="AFR3"/>
        <w:rPr>
          <w:rFonts w:cstheme="minorHAnsi"/>
        </w:rPr>
      </w:pPr>
      <w:r w:rsidRPr="00F54559">
        <w:rPr>
          <w:rFonts w:cstheme="minorHAnsi"/>
        </w:rPr>
        <w:t>c. Basic Retirement Plan - Classified Employees</w:t>
      </w:r>
    </w:p>
    <w:p w14:paraId="7B119BCA" w14:textId="77777777" w:rsidR="00051D7E" w:rsidRPr="00F54559" w:rsidRDefault="00051D7E" w:rsidP="00051D7E">
      <w:pPr>
        <w:rPr>
          <w:rFonts w:eastAsia="Times New Roman" w:cstheme="minorHAnsi"/>
          <w:bCs/>
          <w:sz w:val="24"/>
          <w:szCs w:val="24"/>
        </w:rPr>
      </w:pPr>
      <w:r w:rsidRPr="00F54559">
        <w:rPr>
          <w:rFonts w:eastAsia="Times New Roman" w:cstheme="minorHAnsi"/>
          <w:sz w:val="24"/>
          <w:szCs w:val="20"/>
        </w:rPr>
        <w:t xml:space="preserve">The Basic Retirement Plan (Basic Plan) is a single employer defined contribution plan (DC Plan) administered by the System and does not issue standalone financial statements. This DC Plan </w:t>
      </w:r>
      <w:r w:rsidRPr="00F54559">
        <w:rPr>
          <w:rFonts w:eastAsia="Times New Roman" w:cstheme="minorHAnsi"/>
          <w:bCs/>
          <w:sz w:val="24"/>
          <w:szCs w:val="24"/>
        </w:rPr>
        <w:t>was created on July 1, 1998 in accordance with Section 403(b) of the Internal Revenue Code.  Classified employees hired July 1, 1998 or later participate in this DC Plan.</w:t>
      </w:r>
    </w:p>
    <w:p w14:paraId="6D927EB4" w14:textId="77777777" w:rsidR="00051D7E" w:rsidRPr="00F54559" w:rsidRDefault="00051D7E" w:rsidP="00051D7E">
      <w:pPr>
        <w:rPr>
          <w:rFonts w:eastAsia="Times New Roman" w:cstheme="minorHAnsi"/>
          <w:color w:val="222222"/>
          <w:sz w:val="24"/>
          <w:shd w:val="clear" w:color="auto" w:fill="FFFFFF"/>
        </w:rPr>
      </w:pPr>
    </w:p>
    <w:p w14:paraId="2813B601" w14:textId="77777777" w:rsidR="00051D7E" w:rsidRPr="00F54559" w:rsidRDefault="00051D7E" w:rsidP="00051D7E">
      <w:pPr>
        <w:rPr>
          <w:rFonts w:eastAsia="Times New Roman" w:cstheme="minorHAnsi"/>
          <w:bCs/>
          <w:sz w:val="24"/>
          <w:szCs w:val="24"/>
        </w:rPr>
      </w:pPr>
      <w:r w:rsidRPr="00F54559">
        <w:rPr>
          <w:rFonts w:eastAsia="Times New Roman" w:cstheme="minorHAnsi"/>
          <w:color w:val="222222"/>
          <w:sz w:val="24"/>
          <w:shd w:val="clear" w:color="auto" w:fill="FFFFFF"/>
        </w:rPr>
        <w:t>Eligible employees who were hired before July 1, 1998 could elect to roll over to the DC Plan the value of their accrued benefit in the Defined Benefit Retirement Plan for Classified Staff (DB Plan), as described further below, or remain in the DB Plan.  Eligible employees that remained in the DB Plan and were age 50 and over on June 30, 1998 would continue to accrue additional benefits while the value of the benefit for those under age 50 would remain static. The majority of those under age 50 chose to roll over the value of their accrued benefit to the DC Plan.</w:t>
      </w:r>
    </w:p>
    <w:p w14:paraId="173A0C86" w14:textId="77777777" w:rsidR="00051D7E" w:rsidRPr="00F54559" w:rsidRDefault="00051D7E" w:rsidP="00051D7E">
      <w:pPr>
        <w:tabs>
          <w:tab w:val="left" w:pos="1858"/>
          <w:tab w:val="left" w:pos="2570"/>
          <w:tab w:val="left" w:pos="3283"/>
          <w:tab w:val="left" w:pos="3996"/>
          <w:tab w:val="left" w:pos="4709"/>
          <w:tab w:val="left" w:pos="5472"/>
        </w:tabs>
        <w:rPr>
          <w:rFonts w:eastAsia="Times New Roman" w:cstheme="minorHAnsi"/>
          <w:spacing w:val="-3"/>
          <w:sz w:val="24"/>
          <w:szCs w:val="24"/>
        </w:rPr>
      </w:pPr>
    </w:p>
    <w:p w14:paraId="28FF2116" w14:textId="77777777" w:rsidR="00051D7E" w:rsidRPr="00F54559" w:rsidRDefault="00051D7E" w:rsidP="00051D7E">
      <w:pPr>
        <w:tabs>
          <w:tab w:val="left" w:pos="1858"/>
          <w:tab w:val="left" w:pos="2570"/>
          <w:tab w:val="left" w:pos="3283"/>
          <w:tab w:val="left" w:pos="3996"/>
          <w:tab w:val="left" w:pos="4709"/>
          <w:tab w:val="left" w:pos="5472"/>
        </w:tabs>
        <w:rPr>
          <w:rFonts w:eastAsia="Times New Roman" w:cstheme="minorHAnsi"/>
          <w:spacing w:val="-3"/>
          <w:sz w:val="24"/>
          <w:szCs w:val="24"/>
        </w:rPr>
      </w:pPr>
      <w:r w:rsidRPr="00F54559">
        <w:rPr>
          <w:rFonts w:eastAsia="Times New Roman" w:cstheme="minorHAnsi"/>
          <w:spacing w:val="-3"/>
          <w:sz w:val="24"/>
          <w:szCs w:val="24"/>
        </w:rPr>
        <w:t>Full-time employees are eligible to participate in the DC Plan once employment begins. Part-time employees are eligible once they have achieved the equivalent of five years of continuous, full-time regular service. Since June 1, 2014, all contributions have been directed to TIAA as the sole record-keeper.</w:t>
      </w:r>
    </w:p>
    <w:p w14:paraId="18641071" w14:textId="44BC506E" w:rsidR="009014A7" w:rsidRPr="00A74468" w:rsidRDefault="002942FC" w:rsidP="009014A7">
      <w:pPr>
        <w:pStyle w:val="AFR3"/>
        <w:rPr>
          <w:rFonts w:eastAsiaTheme="majorEastAsia" w:cstheme="minorHAnsi"/>
          <w:iCs/>
          <w:smallCaps/>
          <w:noProof/>
          <w:color w:val="000000" w:themeColor="text1"/>
          <w:szCs w:val="26"/>
          <w:u w:val="none" w:color="5B9BD5"/>
        </w:rPr>
      </w:pPr>
      <w:r w:rsidRPr="00F54559">
        <w:rPr>
          <w:rFonts w:cstheme="minorHAnsi"/>
        </w:rPr>
        <w:lastRenderedPageBreak/>
        <w:t>13</w:t>
      </w:r>
      <w:r>
        <w:rPr>
          <w:rFonts w:cstheme="minorHAnsi"/>
        </w:rPr>
        <w:t>c</w:t>
      </w:r>
      <w:r w:rsidRPr="00F54559">
        <w:rPr>
          <w:rFonts w:cstheme="minorHAnsi"/>
        </w:rPr>
        <w:t xml:space="preserve">. </w:t>
      </w:r>
      <w:r>
        <w:rPr>
          <w:rFonts w:cstheme="minorHAnsi"/>
        </w:rPr>
        <w:t>Basic</w:t>
      </w:r>
      <w:r w:rsidRPr="00F54559">
        <w:rPr>
          <w:rFonts w:cstheme="minorHAnsi"/>
        </w:rPr>
        <w:t xml:space="preserve"> Retirement Plan – </w:t>
      </w:r>
      <w:r>
        <w:rPr>
          <w:rFonts w:cstheme="minorHAnsi"/>
        </w:rPr>
        <w:t>Classified</w:t>
      </w:r>
      <w:r w:rsidRPr="00F54559">
        <w:rPr>
          <w:rFonts w:cstheme="minorHAnsi"/>
        </w:rPr>
        <w:t xml:space="preserve"> Employees - continued</w:t>
      </w:r>
    </w:p>
    <w:p w14:paraId="7C6A82C2" w14:textId="77777777" w:rsidR="00051D7E" w:rsidRPr="00F54559" w:rsidRDefault="00051D7E" w:rsidP="00051D7E">
      <w:pPr>
        <w:tabs>
          <w:tab w:val="left" w:pos="1858"/>
          <w:tab w:val="left" w:pos="2570"/>
          <w:tab w:val="left" w:pos="3283"/>
          <w:tab w:val="left" w:pos="3996"/>
          <w:tab w:val="left" w:pos="4709"/>
          <w:tab w:val="left" w:pos="5472"/>
        </w:tabs>
        <w:rPr>
          <w:rFonts w:eastAsia="Times New Roman" w:cstheme="minorHAnsi"/>
          <w:spacing w:val="-3"/>
          <w:sz w:val="24"/>
          <w:szCs w:val="24"/>
        </w:rPr>
      </w:pPr>
      <w:r w:rsidRPr="00F54559">
        <w:rPr>
          <w:rFonts w:eastAsia="Times New Roman" w:cstheme="minorHAnsi"/>
          <w:spacing w:val="-3"/>
          <w:sz w:val="24"/>
          <w:szCs w:val="24"/>
        </w:rPr>
        <w:t>Employees hired prior to July 1, 1998 and who have more than five years of completed service may voluntarily contribute up to 4% of base pay to the DC Plan and receive a 100% match from the System. Employees hired July 1, 1998 or later are required to contribute 1%. Employee contributions to the DC Plan of up to 4% of base pay are matched 100% by the System. In addition, employees who have four or more years of completed service and do not participate in the DB Plan, receive System contributions equal to 6% of their base pay, for a total maximum employer contribution of 10%.</w:t>
      </w:r>
    </w:p>
    <w:p w14:paraId="1D275812" w14:textId="77777777" w:rsidR="00051D7E" w:rsidRPr="00F54559" w:rsidRDefault="00051D7E" w:rsidP="00051D7E">
      <w:pPr>
        <w:tabs>
          <w:tab w:val="left" w:pos="1858"/>
          <w:tab w:val="left" w:pos="2570"/>
          <w:tab w:val="left" w:pos="3283"/>
          <w:tab w:val="left" w:pos="3996"/>
          <w:tab w:val="left" w:pos="4709"/>
          <w:tab w:val="left" w:pos="5472"/>
        </w:tabs>
        <w:ind w:left="180"/>
        <w:rPr>
          <w:rFonts w:eastAsia="Times New Roman" w:cstheme="minorHAnsi"/>
          <w:spacing w:val="-3"/>
          <w:sz w:val="24"/>
          <w:szCs w:val="24"/>
        </w:rPr>
      </w:pPr>
    </w:p>
    <w:p w14:paraId="096A6D4E" w14:textId="77777777" w:rsidR="00051D7E" w:rsidRPr="00F54559" w:rsidRDefault="00051D7E" w:rsidP="00051D7E">
      <w:pPr>
        <w:tabs>
          <w:tab w:val="left" w:pos="1858"/>
          <w:tab w:val="left" w:pos="2570"/>
          <w:tab w:val="left" w:pos="3283"/>
          <w:tab w:val="left" w:pos="3996"/>
          <w:tab w:val="left" w:pos="4709"/>
          <w:tab w:val="left" w:pos="5472"/>
        </w:tabs>
        <w:rPr>
          <w:rFonts w:eastAsia="Times New Roman" w:cstheme="minorHAnsi"/>
          <w:spacing w:val="-3"/>
          <w:sz w:val="24"/>
          <w:szCs w:val="24"/>
        </w:rPr>
      </w:pPr>
      <w:r w:rsidRPr="00F54559">
        <w:rPr>
          <w:rFonts w:eastAsia="Times New Roman" w:cstheme="minorHAnsi"/>
          <w:bCs/>
          <w:color w:val="000000"/>
          <w:spacing w:val="-3"/>
          <w:sz w:val="24"/>
          <w:szCs w:val="24"/>
        </w:rPr>
        <w:t xml:space="preserve">The System implemented </w:t>
      </w:r>
      <w:r w:rsidRPr="00F54559">
        <w:rPr>
          <w:rFonts w:eastAsia="Times New Roman" w:cstheme="minorHAnsi"/>
          <w:bCs/>
          <w:spacing w:val="-3"/>
          <w:sz w:val="24"/>
          <w:szCs w:val="24"/>
        </w:rPr>
        <w:t xml:space="preserve">a four-year vesting </w:t>
      </w:r>
      <w:r w:rsidRPr="00F54559">
        <w:rPr>
          <w:rFonts w:eastAsia="Times New Roman" w:cstheme="minorHAnsi"/>
          <w:bCs/>
          <w:color w:val="000000"/>
          <w:spacing w:val="-3"/>
          <w:sz w:val="24"/>
          <w:szCs w:val="24"/>
        </w:rPr>
        <w:t xml:space="preserve">schedule for the employer matching contribution for classified employees hired on or after January 1, 2010 and, on January 1, 2013, implemented a five-year vesting schedule for employer matching contributions. Employees hired before January 1, 2010 were </w:t>
      </w:r>
      <w:r w:rsidRPr="00F54559">
        <w:rPr>
          <w:rFonts w:eastAsia="Times New Roman" w:cstheme="minorHAnsi"/>
          <w:bCs/>
          <w:spacing w:val="-3"/>
          <w:sz w:val="24"/>
          <w:szCs w:val="24"/>
        </w:rPr>
        <w:t>fully and immediately vested in the employer matching contribution. All participant contributions are fully and immediately vested.</w:t>
      </w:r>
    </w:p>
    <w:p w14:paraId="52EFF6BE" w14:textId="77777777" w:rsidR="00051D7E" w:rsidRPr="00F54559" w:rsidRDefault="00051D7E" w:rsidP="00051D7E">
      <w:pPr>
        <w:tabs>
          <w:tab w:val="left" w:pos="1858"/>
          <w:tab w:val="left" w:pos="2570"/>
          <w:tab w:val="left" w:pos="3283"/>
          <w:tab w:val="left" w:pos="3996"/>
          <w:tab w:val="left" w:pos="4709"/>
          <w:tab w:val="left" w:pos="5472"/>
        </w:tabs>
        <w:ind w:left="180"/>
        <w:rPr>
          <w:rFonts w:eastAsia="Times New Roman" w:cstheme="minorHAnsi"/>
          <w:spacing w:val="-3"/>
          <w:sz w:val="24"/>
          <w:szCs w:val="24"/>
        </w:rPr>
      </w:pPr>
    </w:p>
    <w:p w14:paraId="5AD9B3B5" w14:textId="77777777" w:rsidR="00051D7E" w:rsidRPr="00F54559" w:rsidRDefault="00051D7E" w:rsidP="00051D7E">
      <w:pPr>
        <w:tabs>
          <w:tab w:val="left" w:pos="1858"/>
          <w:tab w:val="left" w:pos="2570"/>
          <w:tab w:val="left" w:pos="3283"/>
          <w:tab w:val="left" w:pos="3996"/>
          <w:tab w:val="left" w:pos="4709"/>
          <w:tab w:val="left" w:pos="5472"/>
        </w:tabs>
        <w:rPr>
          <w:rFonts w:eastAsia="Times New Roman" w:cstheme="minorHAnsi"/>
          <w:spacing w:val="-3"/>
          <w:sz w:val="24"/>
          <w:szCs w:val="24"/>
        </w:rPr>
      </w:pPr>
      <w:r w:rsidRPr="00F54559">
        <w:rPr>
          <w:rFonts w:eastAsia="Times New Roman" w:cstheme="minorHAnsi"/>
          <w:spacing w:val="-3"/>
          <w:sz w:val="24"/>
          <w:szCs w:val="24"/>
        </w:rPr>
        <w:t>Upon separation from the System, participants may withdraw up to 100% of their vested account balances or transfer funds to other investment alternatives subject to Internal Revenue Service limitations and the contractual provisions of the Basic Plan.</w:t>
      </w:r>
    </w:p>
    <w:p w14:paraId="6CD01B0A" w14:textId="77777777" w:rsidR="00051D7E" w:rsidRPr="00F54559" w:rsidRDefault="00051D7E" w:rsidP="00051D7E">
      <w:pPr>
        <w:spacing w:line="259" w:lineRule="auto"/>
        <w:rPr>
          <w:rFonts w:cstheme="minorHAnsi"/>
        </w:rPr>
      </w:pPr>
    </w:p>
    <w:p w14:paraId="06AA4B3E" w14:textId="51D7869B" w:rsidR="00051D7E" w:rsidRPr="00F54559" w:rsidRDefault="00051D7E" w:rsidP="00051D7E">
      <w:pPr>
        <w:spacing w:after="160" w:line="259" w:lineRule="auto"/>
        <w:rPr>
          <w:rFonts w:eastAsiaTheme="majorEastAsia" w:cstheme="minorHAnsi"/>
          <w:b/>
          <w:i/>
          <w:iCs/>
          <w:smallCaps/>
          <w:noProof/>
          <w:color w:val="000000" w:themeColor="text1"/>
          <w:sz w:val="26"/>
          <w:szCs w:val="26"/>
          <w:u w:color="5B9BD5"/>
        </w:rPr>
      </w:pPr>
      <w:r w:rsidRPr="00F54559">
        <w:rPr>
          <w:rFonts w:cstheme="minorHAnsi"/>
          <w:sz w:val="24"/>
          <w:szCs w:val="24"/>
        </w:rPr>
        <w:t>Employee contributions made to the Basic Plan were $</w:t>
      </w:r>
      <w:r w:rsidRPr="00935912">
        <w:rPr>
          <w:rFonts w:cstheme="minorHAnsi"/>
          <w:sz w:val="24"/>
          <w:szCs w:val="24"/>
        </w:rPr>
        <w:t>1,346</w:t>
      </w:r>
      <w:r w:rsidRPr="00CF2FCA">
        <w:rPr>
          <w:rFonts w:cstheme="minorHAnsi"/>
          <w:sz w:val="24"/>
          <w:szCs w:val="24"/>
        </w:rPr>
        <w:t xml:space="preserve"> </w:t>
      </w:r>
      <w:r w:rsidRPr="00F54559">
        <w:rPr>
          <w:rFonts w:cstheme="minorHAnsi"/>
          <w:sz w:val="24"/>
          <w:szCs w:val="24"/>
        </w:rPr>
        <w:t>in FY</w:t>
      </w:r>
      <w:r>
        <w:rPr>
          <w:rFonts w:cstheme="minorHAnsi"/>
          <w:sz w:val="24"/>
          <w:szCs w:val="24"/>
        </w:rPr>
        <w:t>21</w:t>
      </w:r>
      <w:r w:rsidRPr="00F54559">
        <w:rPr>
          <w:rFonts w:cstheme="minorHAnsi"/>
          <w:sz w:val="24"/>
          <w:szCs w:val="24"/>
        </w:rPr>
        <w:t xml:space="preserve"> and $1,3</w:t>
      </w:r>
      <w:r>
        <w:rPr>
          <w:rFonts w:cstheme="minorHAnsi"/>
          <w:sz w:val="24"/>
          <w:szCs w:val="24"/>
        </w:rPr>
        <w:t>40</w:t>
      </w:r>
      <w:r w:rsidRPr="00F54559">
        <w:rPr>
          <w:rFonts w:cstheme="minorHAnsi"/>
          <w:sz w:val="24"/>
          <w:szCs w:val="24"/>
        </w:rPr>
        <w:t xml:space="preserve"> in FY</w:t>
      </w:r>
      <w:r>
        <w:rPr>
          <w:rFonts w:cstheme="minorHAnsi"/>
          <w:sz w:val="24"/>
          <w:szCs w:val="24"/>
        </w:rPr>
        <w:t>20</w:t>
      </w:r>
      <w:r w:rsidRPr="00F54559">
        <w:rPr>
          <w:rFonts w:cstheme="minorHAnsi"/>
          <w:sz w:val="24"/>
          <w:szCs w:val="24"/>
        </w:rPr>
        <w:t>.</w:t>
      </w:r>
    </w:p>
    <w:p w14:paraId="20397605" w14:textId="77777777" w:rsidR="00051D7E" w:rsidRPr="00F54559" w:rsidRDefault="00051D7E" w:rsidP="00051D7E">
      <w:pPr>
        <w:pStyle w:val="AFR3"/>
        <w:spacing w:before="0"/>
        <w:rPr>
          <w:rFonts w:cstheme="minorHAnsi"/>
        </w:rPr>
      </w:pPr>
      <w:r w:rsidRPr="00F54559">
        <w:rPr>
          <w:rFonts w:cstheme="minorHAnsi"/>
        </w:rPr>
        <w:t>d. Defined Benefit Plan – Classified Employees</w:t>
      </w:r>
    </w:p>
    <w:p w14:paraId="577155F0" w14:textId="77777777" w:rsidR="00051D7E" w:rsidRPr="00F54559" w:rsidRDefault="00051D7E" w:rsidP="00051D7E">
      <w:pPr>
        <w:tabs>
          <w:tab w:val="left" w:pos="720"/>
          <w:tab w:val="left" w:pos="1440"/>
          <w:tab w:val="right" w:pos="4262"/>
          <w:tab w:val="right" w:pos="5220"/>
          <w:tab w:val="right" w:pos="6691"/>
          <w:tab w:val="right" w:pos="7621"/>
          <w:tab w:val="right" w:pos="9187"/>
        </w:tabs>
        <w:suppressAutoHyphens/>
        <w:spacing w:before="120" w:after="120"/>
        <w:rPr>
          <w:rFonts w:eastAsia="Times New Roman" w:cstheme="minorHAnsi"/>
          <w:b/>
          <w:sz w:val="26"/>
          <w:szCs w:val="26"/>
        </w:rPr>
      </w:pPr>
      <w:r w:rsidRPr="00F54559">
        <w:rPr>
          <w:rFonts w:eastAsia="Times New Roman" w:cstheme="minorHAnsi"/>
          <w:b/>
          <w:sz w:val="26"/>
          <w:szCs w:val="26"/>
        </w:rPr>
        <w:t>Plan Description</w:t>
      </w:r>
    </w:p>
    <w:p w14:paraId="31FAB3E7" w14:textId="77777777" w:rsidR="00051D7E" w:rsidRPr="00F54559" w:rsidRDefault="00051D7E" w:rsidP="00051D7E">
      <w:pPr>
        <w:tabs>
          <w:tab w:val="left" w:pos="1022"/>
          <w:tab w:val="left" w:pos="1858"/>
          <w:tab w:val="left" w:pos="2570"/>
          <w:tab w:val="left" w:pos="3283"/>
          <w:tab w:val="left" w:pos="3996"/>
          <w:tab w:val="left" w:pos="4709"/>
          <w:tab w:val="left" w:pos="5472"/>
        </w:tabs>
        <w:suppressAutoHyphens/>
        <w:rPr>
          <w:rFonts w:eastAsia="Times New Roman" w:cstheme="minorHAnsi"/>
          <w:sz w:val="24"/>
          <w:szCs w:val="24"/>
        </w:rPr>
      </w:pPr>
      <w:r w:rsidRPr="00F54559">
        <w:rPr>
          <w:rFonts w:eastAsia="Times New Roman" w:cstheme="minorHAnsi"/>
          <w:b/>
          <w:i/>
          <w:spacing w:val="-1"/>
          <w:sz w:val="24"/>
        </w:rPr>
        <w:t>Plan Administration:</w:t>
      </w:r>
      <w:r w:rsidRPr="00F54559">
        <w:rPr>
          <w:rFonts w:eastAsia="Times New Roman" w:cstheme="minorHAnsi"/>
          <w:color w:val="000000"/>
          <w:spacing w:val="-3"/>
          <w:sz w:val="24"/>
          <w:szCs w:val="24"/>
        </w:rPr>
        <w:t xml:space="preserve"> </w:t>
      </w:r>
      <w:r w:rsidRPr="00F54559">
        <w:rPr>
          <w:rFonts w:eastAsia="Times New Roman" w:cstheme="minorHAnsi"/>
          <w:sz w:val="24"/>
          <w:szCs w:val="20"/>
        </w:rPr>
        <w:t xml:space="preserve">The Defined Benefit Plan (the Plan) is a single employer plan administered by the System.  The Plan does not issue standalone financial statements. </w:t>
      </w:r>
      <w:r w:rsidRPr="00F54559">
        <w:rPr>
          <w:rFonts w:eastAsia="Times New Roman" w:cstheme="minorHAnsi"/>
          <w:sz w:val="24"/>
          <w:szCs w:val="24"/>
        </w:rPr>
        <w:t>The Plan is maintained for eligible classified employees who chose not to join the Basic Plan.</w:t>
      </w:r>
    </w:p>
    <w:p w14:paraId="79D464FA" w14:textId="77777777" w:rsidR="00051D7E" w:rsidRPr="00F54559" w:rsidRDefault="00051D7E" w:rsidP="00051D7E">
      <w:pPr>
        <w:tabs>
          <w:tab w:val="left" w:pos="1022"/>
          <w:tab w:val="left" w:pos="1858"/>
          <w:tab w:val="left" w:pos="2570"/>
          <w:tab w:val="left" w:pos="3283"/>
          <w:tab w:val="left" w:pos="3996"/>
          <w:tab w:val="left" w:pos="4709"/>
          <w:tab w:val="left" w:pos="5472"/>
        </w:tabs>
        <w:suppressAutoHyphens/>
        <w:rPr>
          <w:rFonts w:eastAsia="Times New Roman" w:cstheme="minorHAnsi"/>
          <w:sz w:val="24"/>
          <w:szCs w:val="24"/>
        </w:rPr>
      </w:pPr>
    </w:p>
    <w:p w14:paraId="6432D6A2" w14:textId="77777777" w:rsidR="00051D7E" w:rsidRPr="00F54559" w:rsidRDefault="00051D7E" w:rsidP="00051D7E">
      <w:pPr>
        <w:tabs>
          <w:tab w:val="left" w:pos="1022"/>
          <w:tab w:val="left" w:pos="1858"/>
          <w:tab w:val="left" w:pos="2570"/>
          <w:tab w:val="left" w:pos="3283"/>
          <w:tab w:val="left" w:pos="3996"/>
          <w:tab w:val="left" w:pos="4709"/>
          <w:tab w:val="left" w:pos="5472"/>
        </w:tabs>
        <w:suppressAutoHyphens/>
        <w:rPr>
          <w:rFonts w:eastAsia="Times New Roman" w:cstheme="minorHAnsi"/>
          <w:sz w:val="24"/>
          <w:szCs w:val="24"/>
        </w:rPr>
      </w:pPr>
      <w:r w:rsidRPr="00F54559">
        <w:rPr>
          <w:rFonts w:eastAsia="Times New Roman" w:cstheme="minorHAnsi"/>
          <w:color w:val="000000"/>
          <w:spacing w:val="-3"/>
          <w:sz w:val="24"/>
          <w:szCs w:val="24"/>
        </w:rPr>
        <w:t>The System’s Board of Trustees has authority to establish or amend provisions of all classified employee plans, including contribution requirements, subject to collective bargaining agreements.</w:t>
      </w:r>
    </w:p>
    <w:p w14:paraId="0D6102F6" w14:textId="77777777" w:rsidR="00051D7E" w:rsidRPr="00F54559" w:rsidRDefault="00051D7E" w:rsidP="00051D7E">
      <w:pPr>
        <w:tabs>
          <w:tab w:val="left" w:pos="720"/>
          <w:tab w:val="left" w:pos="1440"/>
          <w:tab w:val="right" w:pos="4262"/>
          <w:tab w:val="right" w:pos="5220"/>
          <w:tab w:val="right" w:pos="6691"/>
          <w:tab w:val="right" w:pos="7621"/>
          <w:tab w:val="right" w:pos="9187"/>
        </w:tabs>
        <w:suppressAutoHyphens/>
        <w:rPr>
          <w:rFonts w:eastAsia="Times New Roman" w:cstheme="minorHAnsi"/>
          <w:sz w:val="24"/>
          <w:szCs w:val="24"/>
        </w:rPr>
      </w:pPr>
    </w:p>
    <w:p w14:paraId="5DBB3F61" w14:textId="77777777" w:rsidR="00051D7E" w:rsidRPr="00F54559" w:rsidRDefault="00051D7E" w:rsidP="00051D7E">
      <w:pPr>
        <w:tabs>
          <w:tab w:val="left" w:pos="720"/>
          <w:tab w:val="left" w:pos="1440"/>
          <w:tab w:val="right" w:pos="4262"/>
          <w:tab w:val="right" w:pos="5220"/>
          <w:tab w:val="right" w:pos="6691"/>
          <w:tab w:val="right" w:pos="7621"/>
          <w:tab w:val="right" w:pos="9187"/>
        </w:tabs>
        <w:suppressAutoHyphens/>
        <w:rPr>
          <w:rFonts w:eastAsia="Times New Roman" w:cstheme="minorHAnsi"/>
          <w:sz w:val="24"/>
          <w:szCs w:val="20"/>
        </w:rPr>
      </w:pPr>
      <w:r w:rsidRPr="00F54559">
        <w:rPr>
          <w:rFonts w:eastAsia="Times New Roman" w:cstheme="minorHAnsi"/>
          <w:b/>
          <w:i/>
          <w:spacing w:val="-1"/>
          <w:sz w:val="24"/>
        </w:rPr>
        <w:t>Benefits Provided:</w:t>
      </w:r>
      <w:r w:rsidRPr="00F54559">
        <w:rPr>
          <w:rFonts w:eastAsia="Times New Roman" w:cstheme="minorHAnsi"/>
          <w:sz w:val="24"/>
          <w:szCs w:val="20"/>
        </w:rPr>
        <w:t xml:space="preserve"> Participants are eligible for normal retirement benefits upon attaining age 65 and retirement. The monthly retirement benefit is based on a formula specified by policy in collective bargaining agreements. Eligible employees receive the sum of:</w:t>
      </w:r>
    </w:p>
    <w:p w14:paraId="737B45ED" w14:textId="77777777" w:rsidR="00051D7E" w:rsidRPr="00F54559" w:rsidRDefault="00051D7E" w:rsidP="00051D7E">
      <w:pPr>
        <w:tabs>
          <w:tab w:val="left" w:pos="720"/>
          <w:tab w:val="left" w:pos="1440"/>
          <w:tab w:val="right" w:pos="4262"/>
          <w:tab w:val="right" w:pos="5220"/>
          <w:tab w:val="right" w:pos="6691"/>
          <w:tab w:val="right" w:pos="7621"/>
          <w:tab w:val="right" w:pos="9187"/>
        </w:tabs>
        <w:suppressAutoHyphens/>
        <w:rPr>
          <w:rFonts w:eastAsia="Times New Roman" w:cstheme="minorHAnsi"/>
          <w:sz w:val="24"/>
          <w:szCs w:val="20"/>
        </w:rPr>
      </w:pPr>
    </w:p>
    <w:p w14:paraId="5B367F32" w14:textId="77777777" w:rsidR="00051D7E" w:rsidRPr="00F54559" w:rsidRDefault="00051D7E" w:rsidP="00051D7E">
      <w:pPr>
        <w:numPr>
          <w:ilvl w:val="0"/>
          <w:numId w:val="11"/>
        </w:numPr>
        <w:tabs>
          <w:tab w:val="left" w:pos="720"/>
          <w:tab w:val="left" w:pos="1440"/>
          <w:tab w:val="right" w:pos="4262"/>
          <w:tab w:val="right" w:pos="5220"/>
          <w:tab w:val="right" w:pos="6691"/>
          <w:tab w:val="right" w:pos="7621"/>
          <w:tab w:val="right" w:pos="9187"/>
        </w:tabs>
        <w:suppressAutoHyphens/>
        <w:spacing w:after="120"/>
        <w:ind w:left="720" w:hanging="450"/>
        <w:rPr>
          <w:rFonts w:eastAsia="Times New Roman" w:cstheme="minorHAnsi"/>
          <w:sz w:val="24"/>
          <w:szCs w:val="20"/>
        </w:rPr>
      </w:pPr>
      <w:r w:rsidRPr="00F54559">
        <w:rPr>
          <w:rFonts w:eastAsia="Times New Roman" w:cstheme="minorHAnsi"/>
          <w:sz w:val="24"/>
          <w:szCs w:val="20"/>
        </w:rPr>
        <w:t xml:space="preserve">1.25% or 1.50% (based on years of service) of the participant’s average annual compensation times credited service (up to a maximum of 30 years); plus </w:t>
      </w:r>
    </w:p>
    <w:p w14:paraId="54BA82CB" w14:textId="77777777" w:rsidR="00051D7E" w:rsidRPr="00F54559" w:rsidRDefault="00051D7E" w:rsidP="00051D7E">
      <w:pPr>
        <w:numPr>
          <w:ilvl w:val="0"/>
          <w:numId w:val="11"/>
        </w:numPr>
        <w:tabs>
          <w:tab w:val="left" w:pos="720"/>
          <w:tab w:val="left" w:pos="1440"/>
          <w:tab w:val="right" w:pos="4262"/>
          <w:tab w:val="right" w:pos="5220"/>
          <w:tab w:val="right" w:pos="6691"/>
          <w:tab w:val="right" w:pos="7621"/>
          <w:tab w:val="right" w:pos="9187"/>
        </w:tabs>
        <w:suppressAutoHyphens/>
        <w:ind w:left="720" w:hanging="450"/>
        <w:rPr>
          <w:rFonts w:eastAsia="Times New Roman" w:cstheme="minorHAnsi"/>
          <w:sz w:val="24"/>
          <w:szCs w:val="20"/>
        </w:rPr>
      </w:pPr>
      <w:r w:rsidRPr="00F54559">
        <w:rPr>
          <w:rFonts w:eastAsia="Times New Roman" w:cstheme="minorHAnsi"/>
          <w:sz w:val="24"/>
          <w:szCs w:val="20"/>
        </w:rPr>
        <w:t>1.25% or 1.50% (based on years of service) of the participant’s unused sick leave.</w:t>
      </w:r>
    </w:p>
    <w:p w14:paraId="12389997" w14:textId="77777777" w:rsidR="00051D7E" w:rsidRPr="00F54559" w:rsidRDefault="00051D7E" w:rsidP="00051D7E">
      <w:pPr>
        <w:tabs>
          <w:tab w:val="left" w:pos="720"/>
          <w:tab w:val="left" w:pos="1022"/>
          <w:tab w:val="left" w:pos="1440"/>
          <w:tab w:val="right" w:pos="4262"/>
          <w:tab w:val="right" w:pos="5220"/>
          <w:tab w:val="right" w:pos="6691"/>
          <w:tab w:val="right" w:pos="7621"/>
          <w:tab w:val="right" w:pos="9187"/>
        </w:tabs>
        <w:suppressAutoHyphens/>
        <w:ind w:left="180"/>
        <w:rPr>
          <w:rFonts w:cstheme="minorHAnsi"/>
          <w:bCs/>
          <w:spacing w:val="-3"/>
        </w:rPr>
      </w:pPr>
    </w:p>
    <w:p w14:paraId="4D0E96CE" w14:textId="77777777" w:rsidR="009014A7" w:rsidRPr="009014A7" w:rsidRDefault="00051D7E" w:rsidP="009014A7">
      <w:pPr>
        <w:pStyle w:val="AFR3"/>
        <w:spacing w:before="0" w:after="0"/>
        <w:rPr>
          <w:rFonts w:eastAsia="Times New Roman" w:cstheme="minorHAnsi"/>
          <w:b w:val="0"/>
          <w:bCs/>
          <w:i w:val="0"/>
          <w:sz w:val="24"/>
          <w:szCs w:val="24"/>
          <w:u w:val="none"/>
        </w:rPr>
      </w:pPr>
      <w:r w:rsidRPr="009014A7">
        <w:rPr>
          <w:rFonts w:eastAsia="Times New Roman" w:cstheme="minorHAnsi"/>
          <w:b w:val="0"/>
          <w:bCs/>
          <w:i w:val="0"/>
          <w:sz w:val="24"/>
          <w:szCs w:val="24"/>
          <w:u w:val="none"/>
        </w:rPr>
        <w:t xml:space="preserve">Participants are eligible for early retirement benefits upon the attainment of age 55 and completion of five years of continuous service. The benefit is computed in accordance with the normal retirement age benefit, but is reduced by an actuarial factor because benefits will be paid over a longer period of time. No reduction is made if an employee retires after attaining 62 </w:t>
      </w:r>
    </w:p>
    <w:p w14:paraId="2EFAFE92" w14:textId="0B6ADC4C" w:rsidR="009014A7" w:rsidRPr="00F54559" w:rsidRDefault="002942FC" w:rsidP="009014A7">
      <w:pPr>
        <w:pStyle w:val="AFR3"/>
        <w:rPr>
          <w:rFonts w:eastAsiaTheme="majorEastAsia" w:cstheme="minorHAnsi"/>
          <w:iCs/>
          <w:smallCaps/>
          <w:noProof/>
          <w:color w:val="000000" w:themeColor="text1"/>
          <w:szCs w:val="26"/>
          <w:u w:val="none" w:color="5B9BD5"/>
        </w:rPr>
      </w:pPr>
      <w:r w:rsidRPr="00F54559">
        <w:rPr>
          <w:rFonts w:cstheme="minorHAnsi"/>
        </w:rPr>
        <w:lastRenderedPageBreak/>
        <w:t>13d. Defined Benefit Plan – Classified Employees – continued</w:t>
      </w:r>
    </w:p>
    <w:p w14:paraId="2068E24A" w14:textId="77777777" w:rsidR="00051D7E" w:rsidRPr="00F54559" w:rsidRDefault="00051D7E" w:rsidP="00051D7E">
      <w:pPr>
        <w:rPr>
          <w:rFonts w:eastAsia="Times New Roman" w:cstheme="minorHAnsi"/>
          <w:bCs/>
          <w:sz w:val="24"/>
          <w:szCs w:val="24"/>
        </w:rPr>
      </w:pPr>
      <w:r w:rsidRPr="00F54559">
        <w:rPr>
          <w:rFonts w:eastAsia="Times New Roman" w:cstheme="minorHAnsi"/>
          <w:bCs/>
          <w:sz w:val="24"/>
          <w:szCs w:val="24"/>
        </w:rPr>
        <w:t>years of age with 25 or more years of service.  Participants are also eligible for disability and death benefits.</w:t>
      </w:r>
    </w:p>
    <w:p w14:paraId="72BDFFB4" w14:textId="77777777" w:rsidR="00051D7E" w:rsidRPr="00F54559" w:rsidRDefault="00051D7E" w:rsidP="00051D7E">
      <w:pPr>
        <w:tabs>
          <w:tab w:val="left" w:pos="1858"/>
          <w:tab w:val="left" w:pos="2570"/>
          <w:tab w:val="left" w:pos="3283"/>
          <w:tab w:val="left" w:pos="3996"/>
          <w:tab w:val="left" w:pos="4709"/>
          <w:tab w:val="left" w:pos="5472"/>
        </w:tabs>
        <w:suppressAutoHyphens/>
        <w:ind w:left="180"/>
        <w:rPr>
          <w:rFonts w:eastAsia="Times New Roman" w:cstheme="minorHAnsi"/>
          <w:bCs/>
        </w:rPr>
      </w:pPr>
    </w:p>
    <w:p w14:paraId="7E079FE3" w14:textId="77777777" w:rsidR="00051D7E" w:rsidRPr="00F54559" w:rsidRDefault="00051D7E" w:rsidP="00051D7E">
      <w:pPr>
        <w:tabs>
          <w:tab w:val="left" w:pos="1022"/>
          <w:tab w:val="left" w:pos="1858"/>
          <w:tab w:val="left" w:pos="2570"/>
          <w:tab w:val="left" w:pos="3283"/>
          <w:tab w:val="left" w:pos="3996"/>
          <w:tab w:val="left" w:pos="4709"/>
          <w:tab w:val="left" w:pos="5472"/>
        </w:tabs>
        <w:suppressAutoHyphens/>
        <w:rPr>
          <w:rFonts w:eastAsia="Times New Roman" w:cstheme="minorHAnsi"/>
          <w:sz w:val="24"/>
          <w:szCs w:val="24"/>
        </w:rPr>
      </w:pPr>
      <w:r w:rsidRPr="00F54559">
        <w:rPr>
          <w:rFonts w:eastAsia="Times New Roman" w:cstheme="minorHAnsi"/>
          <w:sz w:val="24"/>
          <w:szCs w:val="24"/>
        </w:rPr>
        <w:t>Employees who participate in the Plan may also participate in the Optional Retirement Savings Plan (ORSP). The ORSP is a voluntary, employee-funded defined contribution plan. Employees may contribute up to 4% of their base pay and receive a 100% match from the System. The ORSP is administered by TIAA.</w:t>
      </w:r>
    </w:p>
    <w:p w14:paraId="058DBF47" w14:textId="77777777" w:rsidR="00051D7E" w:rsidRPr="00F54559" w:rsidRDefault="00051D7E" w:rsidP="00051D7E">
      <w:pPr>
        <w:tabs>
          <w:tab w:val="left" w:pos="1022"/>
          <w:tab w:val="left" w:pos="1858"/>
          <w:tab w:val="left" w:pos="2570"/>
          <w:tab w:val="left" w:pos="3283"/>
          <w:tab w:val="left" w:pos="3996"/>
          <w:tab w:val="left" w:pos="4709"/>
          <w:tab w:val="left" w:pos="5472"/>
        </w:tabs>
        <w:suppressAutoHyphens/>
        <w:rPr>
          <w:rFonts w:eastAsia="Times New Roman" w:cstheme="minorHAnsi"/>
          <w:color w:val="000000"/>
          <w:spacing w:val="-3"/>
          <w:sz w:val="24"/>
          <w:szCs w:val="24"/>
        </w:rPr>
      </w:pPr>
    </w:p>
    <w:p w14:paraId="29EFCB5B" w14:textId="77777777" w:rsidR="00051D7E" w:rsidRDefault="00051D7E" w:rsidP="00051D7E">
      <w:pPr>
        <w:rPr>
          <w:rFonts w:eastAsia="Times New Roman" w:cstheme="minorHAnsi"/>
          <w:sz w:val="24"/>
        </w:rPr>
      </w:pPr>
      <w:r w:rsidRPr="00F54559">
        <w:rPr>
          <w:rFonts w:eastAsia="Times New Roman" w:cstheme="minorHAnsi"/>
          <w:b/>
          <w:i/>
          <w:spacing w:val="-2"/>
          <w:sz w:val="24"/>
        </w:rPr>
        <w:t>Plan Membership:</w:t>
      </w:r>
      <w:r w:rsidRPr="00F54559">
        <w:rPr>
          <w:rFonts w:eastAsia="Times New Roman" w:cstheme="minorHAnsi"/>
          <w:b/>
          <w:spacing w:val="-2"/>
          <w:sz w:val="24"/>
        </w:rPr>
        <w:t xml:space="preserve">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6"/>
          <w:sz w:val="24"/>
        </w:rPr>
        <w:t xml:space="preserve"> </w:t>
      </w:r>
      <w:r w:rsidRPr="00F54559">
        <w:rPr>
          <w:rFonts w:eastAsia="Times New Roman" w:cstheme="minorHAnsi"/>
          <w:sz w:val="24"/>
        </w:rPr>
        <w:t>P</w:t>
      </w:r>
      <w:r w:rsidRPr="00F54559">
        <w:rPr>
          <w:rFonts w:eastAsia="Times New Roman" w:cstheme="minorHAnsi"/>
          <w:spacing w:val="-1"/>
          <w:sz w:val="24"/>
        </w:rPr>
        <w:t>l</w:t>
      </w:r>
      <w:r w:rsidRPr="00F54559">
        <w:rPr>
          <w:rFonts w:eastAsia="Times New Roman" w:cstheme="minorHAnsi"/>
          <w:sz w:val="24"/>
        </w:rPr>
        <w:t>an</w:t>
      </w:r>
      <w:r w:rsidRPr="00F54559">
        <w:rPr>
          <w:rFonts w:eastAsia="Times New Roman" w:cstheme="minorHAnsi"/>
          <w:spacing w:val="-4"/>
          <w:sz w:val="24"/>
        </w:rPr>
        <w:t xml:space="preserve"> </w:t>
      </w:r>
      <w:r w:rsidRPr="00F54559">
        <w:rPr>
          <w:rFonts w:eastAsia="Times New Roman" w:cstheme="minorHAnsi"/>
          <w:sz w:val="24"/>
        </w:rPr>
        <w:t>is</w:t>
      </w:r>
      <w:r w:rsidRPr="00F54559">
        <w:rPr>
          <w:rFonts w:eastAsia="Times New Roman" w:cstheme="minorHAnsi"/>
          <w:spacing w:val="-4"/>
          <w:sz w:val="24"/>
        </w:rPr>
        <w:t xml:space="preserve"> </w:t>
      </w:r>
      <w:r w:rsidRPr="00F54559">
        <w:rPr>
          <w:rFonts w:eastAsia="Times New Roman" w:cstheme="minorHAnsi"/>
          <w:sz w:val="24"/>
        </w:rPr>
        <w:t>cl</w:t>
      </w:r>
      <w:r w:rsidRPr="00F54559">
        <w:rPr>
          <w:rFonts w:eastAsia="Times New Roman" w:cstheme="minorHAnsi"/>
          <w:spacing w:val="-1"/>
          <w:sz w:val="24"/>
        </w:rPr>
        <w:t>o</w:t>
      </w:r>
      <w:r w:rsidRPr="00F54559">
        <w:rPr>
          <w:rFonts w:eastAsia="Times New Roman" w:cstheme="minorHAnsi"/>
          <w:spacing w:val="1"/>
          <w:sz w:val="24"/>
        </w:rPr>
        <w:t>s</w:t>
      </w:r>
      <w:r w:rsidRPr="00F54559">
        <w:rPr>
          <w:rFonts w:eastAsia="Times New Roman" w:cstheme="minorHAnsi"/>
          <w:sz w:val="24"/>
        </w:rPr>
        <w:t>ed</w:t>
      </w:r>
      <w:r w:rsidRPr="00F54559">
        <w:rPr>
          <w:rFonts w:eastAsia="Times New Roman" w:cstheme="minorHAnsi"/>
          <w:spacing w:val="-4"/>
          <w:sz w:val="24"/>
        </w:rPr>
        <w:t xml:space="preserve"> </w:t>
      </w:r>
      <w:r w:rsidRPr="00F54559">
        <w:rPr>
          <w:rFonts w:eastAsia="Times New Roman" w:cstheme="minorHAnsi"/>
          <w:sz w:val="24"/>
        </w:rPr>
        <w:t>to</w:t>
      </w:r>
      <w:r w:rsidRPr="00F54559">
        <w:rPr>
          <w:rFonts w:eastAsia="Times New Roman" w:cstheme="minorHAnsi"/>
          <w:spacing w:val="-6"/>
          <w:sz w:val="24"/>
        </w:rPr>
        <w:t xml:space="preserve"> </w:t>
      </w:r>
      <w:r w:rsidRPr="00F54559">
        <w:rPr>
          <w:rFonts w:eastAsia="Times New Roman" w:cstheme="minorHAnsi"/>
          <w:sz w:val="24"/>
        </w:rPr>
        <w:t>new</w:t>
      </w:r>
      <w:r w:rsidRPr="00F54559">
        <w:rPr>
          <w:rFonts w:eastAsia="Times New Roman" w:cstheme="minorHAnsi"/>
          <w:spacing w:val="-5"/>
          <w:sz w:val="24"/>
        </w:rPr>
        <w:t xml:space="preserve"> </w:t>
      </w:r>
      <w:r w:rsidRPr="00F54559">
        <w:rPr>
          <w:rFonts w:eastAsia="Times New Roman" w:cstheme="minorHAnsi"/>
          <w:sz w:val="24"/>
        </w:rPr>
        <w:t>entrant</w:t>
      </w:r>
      <w:r w:rsidRPr="00F54559">
        <w:rPr>
          <w:rFonts w:eastAsia="Times New Roman" w:cstheme="minorHAnsi"/>
          <w:spacing w:val="1"/>
          <w:sz w:val="24"/>
        </w:rPr>
        <w:t>s</w:t>
      </w:r>
      <w:r w:rsidRPr="00F54559">
        <w:rPr>
          <w:rFonts w:eastAsia="Times New Roman" w:cstheme="minorHAnsi"/>
          <w:sz w:val="24"/>
        </w:rPr>
        <w:t xml:space="preserve">. </w:t>
      </w:r>
      <w:r w:rsidRPr="00F54559">
        <w:rPr>
          <w:rFonts w:eastAsia="Times New Roman" w:cstheme="minorHAnsi"/>
          <w:spacing w:val="-2"/>
          <w:sz w:val="24"/>
        </w:rPr>
        <w:t>A</w:t>
      </w:r>
      <w:r w:rsidRPr="00F54559">
        <w:rPr>
          <w:rFonts w:eastAsia="Times New Roman" w:cstheme="minorHAnsi"/>
          <w:sz w:val="24"/>
        </w:rPr>
        <w:t>t</w:t>
      </w:r>
      <w:r w:rsidRPr="00F54559">
        <w:rPr>
          <w:rFonts w:eastAsia="Times New Roman" w:cstheme="minorHAnsi"/>
          <w:spacing w:val="-5"/>
          <w:sz w:val="24"/>
        </w:rPr>
        <w:t xml:space="preserve"> </w:t>
      </w:r>
      <w:r w:rsidRPr="00F54559">
        <w:rPr>
          <w:rFonts w:eastAsia="Times New Roman" w:cstheme="minorHAnsi"/>
          <w:sz w:val="24"/>
        </w:rPr>
        <w:t>June</w:t>
      </w:r>
      <w:r w:rsidRPr="00F54559">
        <w:rPr>
          <w:rFonts w:eastAsia="Times New Roman" w:cstheme="minorHAnsi"/>
          <w:spacing w:val="-7"/>
          <w:sz w:val="24"/>
        </w:rPr>
        <w:t xml:space="preserve"> </w:t>
      </w:r>
      <w:r w:rsidRPr="00F54559">
        <w:rPr>
          <w:rFonts w:eastAsia="Times New Roman" w:cstheme="minorHAnsi"/>
          <w:sz w:val="24"/>
        </w:rPr>
        <w:t xml:space="preserve">30, </w:t>
      </w:r>
      <w:r w:rsidRPr="00F54559">
        <w:rPr>
          <w:rFonts w:eastAsia="Times New Roman" w:cstheme="minorHAnsi"/>
          <w:spacing w:val="-1"/>
          <w:sz w:val="24"/>
        </w:rPr>
        <w:t>p</w:t>
      </w:r>
      <w:r w:rsidRPr="00F54559">
        <w:rPr>
          <w:rFonts w:eastAsia="Times New Roman" w:cstheme="minorHAnsi"/>
          <w:sz w:val="24"/>
        </w:rPr>
        <w:t>ension</w:t>
      </w:r>
      <w:r w:rsidRPr="00F54559">
        <w:rPr>
          <w:rFonts w:eastAsia="Times New Roman" w:cstheme="minorHAnsi"/>
          <w:spacing w:val="-6"/>
          <w:sz w:val="24"/>
        </w:rPr>
        <w:t xml:space="preserve"> </w:t>
      </w:r>
      <w:r w:rsidRPr="00F54559">
        <w:rPr>
          <w:rFonts w:eastAsia="Times New Roman" w:cstheme="minorHAnsi"/>
          <w:sz w:val="24"/>
        </w:rPr>
        <w:t>p</w:t>
      </w:r>
      <w:r w:rsidRPr="00F54559">
        <w:rPr>
          <w:rFonts w:eastAsia="Times New Roman" w:cstheme="minorHAnsi"/>
          <w:spacing w:val="-1"/>
          <w:sz w:val="24"/>
        </w:rPr>
        <w:t>l</w:t>
      </w:r>
      <w:r w:rsidRPr="00F54559">
        <w:rPr>
          <w:rFonts w:eastAsia="Times New Roman" w:cstheme="minorHAnsi"/>
          <w:sz w:val="24"/>
        </w:rPr>
        <w:t>an</w:t>
      </w:r>
      <w:r w:rsidRPr="00F54559">
        <w:rPr>
          <w:rFonts w:eastAsia="Times New Roman" w:cstheme="minorHAnsi"/>
          <w:spacing w:val="-6"/>
          <w:sz w:val="24"/>
        </w:rPr>
        <w:t xml:space="preserve"> </w:t>
      </w:r>
      <w:r w:rsidRPr="00F54559">
        <w:rPr>
          <w:rFonts w:eastAsia="Times New Roman" w:cstheme="minorHAnsi"/>
          <w:sz w:val="24"/>
        </w:rPr>
        <w:t>mem</w:t>
      </w:r>
      <w:r w:rsidRPr="00F54559">
        <w:rPr>
          <w:rFonts w:eastAsia="Times New Roman" w:cstheme="minorHAnsi"/>
          <w:spacing w:val="1"/>
          <w:sz w:val="24"/>
        </w:rPr>
        <w:t>b</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pacing w:val="1"/>
          <w:sz w:val="24"/>
        </w:rPr>
        <w:t>s</w:t>
      </w:r>
      <w:r w:rsidRPr="00F54559">
        <w:rPr>
          <w:rFonts w:eastAsia="Times New Roman" w:cstheme="minorHAnsi"/>
          <w:sz w:val="24"/>
        </w:rPr>
        <w:t>hip</w:t>
      </w:r>
      <w:r w:rsidRPr="00F54559">
        <w:rPr>
          <w:rFonts w:eastAsia="Times New Roman" w:cstheme="minorHAnsi"/>
          <w:spacing w:val="-6"/>
          <w:sz w:val="24"/>
        </w:rPr>
        <w:t xml:space="preserve"> </w:t>
      </w:r>
      <w:r w:rsidRPr="00F54559">
        <w:rPr>
          <w:rFonts w:eastAsia="Times New Roman" w:cstheme="minorHAnsi"/>
          <w:sz w:val="24"/>
        </w:rPr>
        <w:t>consisted</w:t>
      </w:r>
      <w:r w:rsidRPr="00F54559">
        <w:rPr>
          <w:rFonts w:eastAsia="Times New Roman" w:cstheme="minorHAnsi"/>
          <w:spacing w:val="-6"/>
          <w:sz w:val="24"/>
        </w:rPr>
        <w:t xml:space="preserve"> </w:t>
      </w:r>
      <w:r w:rsidRPr="00F54559">
        <w:rPr>
          <w:rFonts w:eastAsia="Times New Roman" w:cstheme="minorHAnsi"/>
          <w:sz w:val="24"/>
        </w:rPr>
        <w:t>of</w:t>
      </w:r>
      <w:r w:rsidRPr="00F54559">
        <w:rPr>
          <w:rFonts w:eastAsia="Times New Roman" w:cstheme="minorHAnsi"/>
          <w:spacing w:val="-6"/>
          <w:sz w:val="24"/>
        </w:rPr>
        <w:t xml:space="preserve">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7"/>
          <w:sz w:val="24"/>
        </w:rPr>
        <w:t xml:space="preserve"> </w:t>
      </w:r>
      <w:r w:rsidRPr="00F54559">
        <w:rPr>
          <w:rFonts w:eastAsia="Times New Roman" w:cstheme="minorHAnsi"/>
          <w:sz w:val="24"/>
        </w:rPr>
        <w:t>fo</w:t>
      </w:r>
      <w:r w:rsidRPr="00F54559">
        <w:rPr>
          <w:rFonts w:eastAsia="Times New Roman" w:cstheme="minorHAnsi"/>
          <w:spacing w:val="-1"/>
          <w:sz w:val="24"/>
        </w:rPr>
        <w:t>l</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wing:</w:t>
      </w:r>
    </w:p>
    <w:p w14:paraId="6F591D40" w14:textId="77777777" w:rsidR="00051D7E" w:rsidRPr="006E44D1" w:rsidRDefault="00051D7E" w:rsidP="00051D7E">
      <w:pPr>
        <w:rPr>
          <w:rFonts w:ascii="Calibri" w:eastAsia="Times New Roman" w:hAnsi="Calibri" w:cs="Calibri"/>
          <w:b/>
          <w:bCs/>
          <w:color w:val="0D0D0D"/>
          <w:szCs w:val="24"/>
        </w:rPr>
      </w:pPr>
      <w:r w:rsidRPr="006E44D1">
        <w:rPr>
          <w:rFonts w:ascii="Calibri" w:eastAsia="Times New Roman" w:hAnsi="Calibri" w:cs="Calibri"/>
          <w:b/>
          <w:bCs/>
          <w:color w:val="0D0D0D"/>
          <w:szCs w:val="24"/>
        </w:rPr>
        <w:fldChar w:fldCharType="begin"/>
      </w:r>
      <w:r w:rsidRPr="006E44D1">
        <w:rPr>
          <w:rFonts w:ascii="Calibri" w:eastAsia="Times New Roman" w:hAnsi="Calibri" w:cs="Calibri"/>
          <w:b/>
          <w:bCs/>
          <w:color w:val="0D0D0D"/>
          <w:szCs w:val="24"/>
        </w:rPr>
        <w:fldChar w:fldCharType="end"/>
      </w:r>
    </w:p>
    <w:tbl>
      <w:tblPr>
        <w:tblW w:w="9062" w:type="dxa"/>
        <w:tblLayout w:type="fixed"/>
        <w:tblLook w:val="04A0" w:firstRow="1" w:lastRow="0" w:firstColumn="1" w:lastColumn="0" w:noHBand="0" w:noVBand="1"/>
      </w:tblPr>
      <w:tblGrid>
        <w:gridCol w:w="7290"/>
        <w:gridCol w:w="886"/>
        <w:gridCol w:w="886"/>
      </w:tblGrid>
      <w:tr w:rsidR="00051D7E" w:rsidRPr="001656E9" w14:paraId="46561371" w14:textId="77777777" w:rsidTr="007531FB">
        <w:trPr>
          <w:trHeight w:val="480"/>
          <w:tblHeader/>
        </w:trPr>
        <w:tc>
          <w:tcPr>
            <w:tcW w:w="7290" w:type="dxa"/>
            <w:tcBorders>
              <w:top w:val="nil"/>
              <w:left w:val="nil"/>
              <w:bottom w:val="single" w:sz="12" w:space="0" w:color="00688D"/>
              <w:right w:val="nil"/>
            </w:tcBorders>
            <w:shd w:val="clear" w:color="000000" w:fill="FFFFFF"/>
            <w:noWrap/>
            <w:vAlign w:val="bottom"/>
            <w:hideMark/>
          </w:tcPr>
          <w:p w14:paraId="48C40D1F" w14:textId="77777777" w:rsidR="00051D7E" w:rsidRPr="001A18A6" w:rsidRDefault="00051D7E" w:rsidP="007531FB">
            <w:pPr>
              <w:rPr>
                <w:rFonts w:ascii="Calibri" w:eastAsia="Times New Roman" w:hAnsi="Calibri" w:cs="Calibri"/>
                <w:b/>
                <w:bCs/>
                <w:color w:val="0D0D0D"/>
                <w:szCs w:val="24"/>
              </w:rPr>
            </w:pPr>
            <w:r w:rsidRPr="001A18A6">
              <w:rPr>
                <w:rFonts w:ascii="Calibri" w:eastAsia="Times New Roman" w:hAnsi="Calibri" w:cs="Calibri"/>
                <w:b/>
                <w:bCs/>
                <w:color w:val="0D0D0D"/>
                <w:szCs w:val="24"/>
              </w:rPr>
              <w:t> </w:t>
            </w:r>
          </w:p>
        </w:tc>
        <w:tc>
          <w:tcPr>
            <w:tcW w:w="886" w:type="dxa"/>
            <w:tcBorders>
              <w:top w:val="nil"/>
              <w:left w:val="nil"/>
              <w:bottom w:val="single" w:sz="12" w:space="0" w:color="00688D"/>
              <w:right w:val="nil"/>
            </w:tcBorders>
            <w:shd w:val="clear" w:color="000000" w:fill="FFFFFF"/>
            <w:noWrap/>
            <w:vAlign w:val="bottom"/>
            <w:hideMark/>
          </w:tcPr>
          <w:p w14:paraId="24383541" w14:textId="77777777" w:rsidR="00051D7E" w:rsidRPr="001A18A6" w:rsidRDefault="00051D7E" w:rsidP="007531FB">
            <w:pPr>
              <w:spacing w:before="240"/>
              <w:jc w:val="center"/>
              <w:rPr>
                <w:rFonts w:ascii="Calibri" w:eastAsia="Times New Roman" w:hAnsi="Calibri" w:cs="Calibri"/>
                <w:b/>
                <w:bCs/>
                <w:color w:val="0D0D0D"/>
                <w:szCs w:val="24"/>
              </w:rPr>
            </w:pPr>
            <w:r w:rsidRPr="001A18A6">
              <w:rPr>
                <w:rFonts w:ascii="Calibri" w:eastAsia="Times New Roman" w:hAnsi="Calibri" w:cs="Calibri"/>
                <w:b/>
                <w:bCs/>
                <w:color w:val="0D0D0D"/>
                <w:szCs w:val="24"/>
              </w:rPr>
              <w:t>202</w:t>
            </w:r>
            <w:r>
              <w:rPr>
                <w:rFonts w:ascii="Calibri" w:eastAsia="Times New Roman" w:hAnsi="Calibri" w:cs="Calibri"/>
                <w:b/>
                <w:bCs/>
                <w:color w:val="0D0D0D"/>
                <w:szCs w:val="24"/>
              </w:rPr>
              <w:t>1</w:t>
            </w:r>
          </w:p>
        </w:tc>
        <w:tc>
          <w:tcPr>
            <w:tcW w:w="886" w:type="dxa"/>
            <w:tcBorders>
              <w:top w:val="nil"/>
              <w:left w:val="nil"/>
              <w:bottom w:val="single" w:sz="12" w:space="0" w:color="00688D"/>
              <w:right w:val="nil"/>
            </w:tcBorders>
            <w:shd w:val="clear" w:color="auto" w:fill="D9D9D9" w:themeFill="background1" w:themeFillShade="D9"/>
            <w:vAlign w:val="bottom"/>
          </w:tcPr>
          <w:p w14:paraId="1B5FD409" w14:textId="77777777" w:rsidR="00051D7E" w:rsidRPr="001A18A6" w:rsidRDefault="00051D7E" w:rsidP="007531FB">
            <w:pPr>
              <w:spacing w:before="240"/>
              <w:jc w:val="center"/>
              <w:rPr>
                <w:rFonts w:ascii="Calibri" w:eastAsia="Times New Roman" w:hAnsi="Calibri" w:cs="Calibri"/>
                <w:b/>
                <w:bCs/>
                <w:color w:val="0D0D0D"/>
                <w:szCs w:val="24"/>
              </w:rPr>
            </w:pPr>
            <w:r w:rsidRPr="001A18A6">
              <w:rPr>
                <w:rFonts w:ascii="Calibri" w:eastAsia="Times New Roman" w:hAnsi="Calibri" w:cs="Calibri"/>
                <w:b/>
                <w:bCs/>
                <w:color w:val="0D0D0D"/>
                <w:szCs w:val="24"/>
              </w:rPr>
              <w:t>2020</w:t>
            </w:r>
          </w:p>
        </w:tc>
      </w:tr>
      <w:tr w:rsidR="00051D7E" w:rsidRPr="001656E9" w14:paraId="7B55FCC8" w14:textId="77777777" w:rsidTr="007531FB">
        <w:trPr>
          <w:trHeight w:val="324"/>
        </w:trPr>
        <w:tc>
          <w:tcPr>
            <w:tcW w:w="7290" w:type="dxa"/>
            <w:tcBorders>
              <w:top w:val="nil"/>
              <w:left w:val="nil"/>
              <w:bottom w:val="nil"/>
              <w:right w:val="nil"/>
            </w:tcBorders>
            <w:shd w:val="clear" w:color="000000" w:fill="FFFFFF"/>
            <w:noWrap/>
            <w:vAlign w:val="bottom"/>
            <w:hideMark/>
          </w:tcPr>
          <w:p w14:paraId="6F34BC66" w14:textId="77777777" w:rsidR="00051D7E" w:rsidRPr="001A18A6" w:rsidRDefault="00051D7E" w:rsidP="007531FB">
            <w:pPr>
              <w:rPr>
                <w:rFonts w:ascii="Calibri" w:eastAsia="Times New Roman" w:hAnsi="Calibri" w:cs="Calibri"/>
                <w:color w:val="0D0D0D"/>
                <w:szCs w:val="24"/>
              </w:rPr>
            </w:pPr>
            <w:r w:rsidRPr="001A18A6">
              <w:rPr>
                <w:rFonts w:ascii="Calibri" w:eastAsia="Times New Roman" w:hAnsi="Calibri" w:cs="Calibri"/>
                <w:color w:val="0D0D0D"/>
                <w:szCs w:val="24"/>
              </w:rPr>
              <w:t>Inactive plan participants or beneficiaries currently receiving benefits</w:t>
            </w:r>
          </w:p>
        </w:tc>
        <w:tc>
          <w:tcPr>
            <w:tcW w:w="886" w:type="dxa"/>
            <w:tcBorders>
              <w:top w:val="nil"/>
              <w:left w:val="nil"/>
              <w:bottom w:val="nil"/>
              <w:right w:val="nil"/>
            </w:tcBorders>
            <w:shd w:val="clear" w:color="000000" w:fill="FFFFFF"/>
            <w:noWrap/>
            <w:vAlign w:val="bottom"/>
            <w:hideMark/>
          </w:tcPr>
          <w:p w14:paraId="552C99E7" w14:textId="77777777" w:rsidR="00051D7E" w:rsidRPr="001A18A6" w:rsidRDefault="00051D7E" w:rsidP="007531FB">
            <w:pPr>
              <w:jc w:val="right"/>
              <w:rPr>
                <w:rFonts w:ascii="Calibri" w:eastAsia="Times New Roman" w:hAnsi="Calibri" w:cs="Calibri"/>
                <w:color w:val="0D0D0D"/>
                <w:szCs w:val="24"/>
              </w:rPr>
            </w:pPr>
            <w:r w:rsidRPr="001A18A6">
              <w:rPr>
                <w:rFonts w:ascii="Calibri" w:eastAsia="Times New Roman" w:hAnsi="Calibri" w:cs="Calibri"/>
                <w:color w:val="0D0D0D"/>
                <w:szCs w:val="24"/>
              </w:rPr>
              <w:t>7</w:t>
            </w:r>
            <w:r>
              <w:rPr>
                <w:rFonts w:ascii="Calibri" w:eastAsia="Times New Roman" w:hAnsi="Calibri" w:cs="Calibri"/>
                <w:color w:val="0D0D0D"/>
                <w:szCs w:val="24"/>
              </w:rPr>
              <w:t>00</w:t>
            </w:r>
          </w:p>
        </w:tc>
        <w:tc>
          <w:tcPr>
            <w:tcW w:w="886" w:type="dxa"/>
            <w:tcBorders>
              <w:top w:val="nil"/>
              <w:left w:val="nil"/>
              <w:bottom w:val="nil"/>
              <w:right w:val="nil"/>
            </w:tcBorders>
            <w:shd w:val="clear" w:color="auto" w:fill="D9D9D9" w:themeFill="background1" w:themeFillShade="D9"/>
            <w:vAlign w:val="bottom"/>
          </w:tcPr>
          <w:p w14:paraId="2B190EB5" w14:textId="77777777" w:rsidR="00051D7E" w:rsidRPr="001A18A6" w:rsidRDefault="00051D7E" w:rsidP="007531FB">
            <w:pPr>
              <w:jc w:val="right"/>
              <w:rPr>
                <w:rFonts w:ascii="Calibri" w:eastAsia="Times New Roman" w:hAnsi="Calibri" w:cs="Calibri"/>
                <w:color w:val="0D0D0D"/>
                <w:szCs w:val="24"/>
              </w:rPr>
            </w:pPr>
            <w:r w:rsidRPr="001A18A6">
              <w:rPr>
                <w:rFonts w:ascii="Calibri" w:eastAsia="Times New Roman" w:hAnsi="Calibri" w:cs="Calibri"/>
                <w:color w:val="0D0D0D"/>
                <w:szCs w:val="24"/>
              </w:rPr>
              <w:t>724</w:t>
            </w:r>
          </w:p>
        </w:tc>
      </w:tr>
      <w:tr w:rsidR="00051D7E" w:rsidRPr="001656E9" w14:paraId="5F707210" w14:textId="77777777" w:rsidTr="007531FB">
        <w:trPr>
          <w:trHeight w:val="312"/>
        </w:trPr>
        <w:tc>
          <w:tcPr>
            <w:tcW w:w="7290" w:type="dxa"/>
            <w:tcBorders>
              <w:top w:val="nil"/>
              <w:left w:val="nil"/>
              <w:bottom w:val="nil"/>
              <w:right w:val="nil"/>
            </w:tcBorders>
            <w:shd w:val="clear" w:color="000000" w:fill="FFFFFF"/>
            <w:noWrap/>
            <w:vAlign w:val="bottom"/>
            <w:hideMark/>
          </w:tcPr>
          <w:p w14:paraId="2CCF8C5A" w14:textId="77777777" w:rsidR="00051D7E" w:rsidRPr="001A18A6" w:rsidRDefault="00051D7E" w:rsidP="007531FB">
            <w:pPr>
              <w:rPr>
                <w:rFonts w:ascii="Calibri" w:eastAsia="Times New Roman" w:hAnsi="Calibri" w:cs="Calibri"/>
                <w:color w:val="0D0D0D"/>
                <w:szCs w:val="24"/>
              </w:rPr>
            </w:pPr>
            <w:r w:rsidRPr="001A18A6">
              <w:rPr>
                <w:rFonts w:ascii="Calibri" w:eastAsia="Times New Roman" w:hAnsi="Calibri" w:cs="Calibri"/>
                <w:color w:val="0D0D0D"/>
                <w:szCs w:val="24"/>
              </w:rPr>
              <w:t>Inactive plan participants entitled to but not yet receiving benefits</w:t>
            </w:r>
          </w:p>
        </w:tc>
        <w:tc>
          <w:tcPr>
            <w:tcW w:w="886" w:type="dxa"/>
            <w:tcBorders>
              <w:top w:val="nil"/>
              <w:left w:val="nil"/>
              <w:bottom w:val="nil"/>
              <w:right w:val="nil"/>
            </w:tcBorders>
            <w:shd w:val="clear" w:color="000000" w:fill="FFFFFF"/>
            <w:noWrap/>
            <w:vAlign w:val="bottom"/>
            <w:hideMark/>
          </w:tcPr>
          <w:p w14:paraId="314830BD" w14:textId="77777777" w:rsidR="00051D7E" w:rsidRPr="001A18A6" w:rsidRDefault="00051D7E" w:rsidP="007531FB">
            <w:pPr>
              <w:jc w:val="right"/>
              <w:rPr>
                <w:rFonts w:ascii="Calibri" w:eastAsia="Times New Roman" w:hAnsi="Calibri" w:cs="Calibri"/>
                <w:color w:val="0D0D0D"/>
                <w:szCs w:val="24"/>
              </w:rPr>
            </w:pPr>
            <w:r w:rsidRPr="001A18A6">
              <w:rPr>
                <w:rFonts w:ascii="Calibri" w:eastAsia="Times New Roman" w:hAnsi="Calibri" w:cs="Calibri"/>
                <w:color w:val="0D0D0D"/>
                <w:szCs w:val="24"/>
              </w:rPr>
              <w:t>19</w:t>
            </w:r>
            <w:r>
              <w:rPr>
                <w:rFonts w:ascii="Calibri" w:eastAsia="Times New Roman" w:hAnsi="Calibri" w:cs="Calibri"/>
                <w:color w:val="0D0D0D"/>
                <w:szCs w:val="24"/>
              </w:rPr>
              <w:t>1</w:t>
            </w:r>
          </w:p>
        </w:tc>
        <w:tc>
          <w:tcPr>
            <w:tcW w:w="886" w:type="dxa"/>
            <w:tcBorders>
              <w:top w:val="nil"/>
              <w:left w:val="nil"/>
              <w:bottom w:val="nil"/>
              <w:right w:val="nil"/>
            </w:tcBorders>
            <w:shd w:val="clear" w:color="auto" w:fill="D9D9D9" w:themeFill="background1" w:themeFillShade="D9"/>
            <w:vAlign w:val="bottom"/>
          </w:tcPr>
          <w:p w14:paraId="3982868C" w14:textId="77777777" w:rsidR="00051D7E" w:rsidRPr="001A18A6" w:rsidRDefault="00051D7E" w:rsidP="007531FB">
            <w:pPr>
              <w:jc w:val="right"/>
              <w:rPr>
                <w:rFonts w:ascii="Calibri" w:eastAsia="Times New Roman" w:hAnsi="Calibri" w:cs="Calibri"/>
                <w:color w:val="0D0D0D"/>
                <w:szCs w:val="24"/>
              </w:rPr>
            </w:pPr>
            <w:r w:rsidRPr="001A18A6">
              <w:rPr>
                <w:rFonts w:ascii="Calibri" w:eastAsia="Times New Roman" w:hAnsi="Calibri" w:cs="Calibri"/>
                <w:color w:val="0D0D0D"/>
                <w:szCs w:val="24"/>
              </w:rPr>
              <w:t>199</w:t>
            </w:r>
          </w:p>
        </w:tc>
      </w:tr>
      <w:tr w:rsidR="00051D7E" w:rsidRPr="001656E9" w14:paraId="082D23CB" w14:textId="77777777" w:rsidTr="007531FB">
        <w:trPr>
          <w:trHeight w:val="312"/>
        </w:trPr>
        <w:tc>
          <w:tcPr>
            <w:tcW w:w="7290" w:type="dxa"/>
            <w:tcBorders>
              <w:top w:val="nil"/>
              <w:left w:val="nil"/>
              <w:bottom w:val="nil"/>
              <w:right w:val="nil"/>
            </w:tcBorders>
            <w:shd w:val="clear" w:color="000000" w:fill="FFFFFF"/>
            <w:noWrap/>
            <w:vAlign w:val="bottom"/>
            <w:hideMark/>
          </w:tcPr>
          <w:p w14:paraId="77D4BB68" w14:textId="77777777" w:rsidR="00051D7E" w:rsidRPr="001A18A6" w:rsidRDefault="00051D7E" w:rsidP="007531FB">
            <w:pPr>
              <w:rPr>
                <w:rFonts w:ascii="Calibri" w:eastAsia="Times New Roman" w:hAnsi="Calibri" w:cs="Calibri"/>
                <w:color w:val="0D0D0D"/>
                <w:szCs w:val="24"/>
              </w:rPr>
            </w:pPr>
            <w:r w:rsidRPr="001A18A6">
              <w:rPr>
                <w:rFonts w:ascii="Calibri" w:eastAsia="Times New Roman" w:hAnsi="Calibri" w:cs="Calibri"/>
                <w:color w:val="0D0D0D"/>
                <w:szCs w:val="24"/>
              </w:rPr>
              <w:t>Active plan participants</w:t>
            </w:r>
          </w:p>
        </w:tc>
        <w:tc>
          <w:tcPr>
            <w:tcW w:w="886" w:type="dxa"/>
            <w:tcBorders>
              <w:top w:val="nil"/>
              <w:left w:val="nil"/>
              <w:bottom w:val="nil"/>
              <w:right w:val="nil"/>
            </w:tcBorders>
            <w:shd w:val="clear" w:color="000000" w:fill="FFFFFF"/>
            <w:noWrap/>
            <w:vAlign w:val="bottom"/>
            <w:hideMark/>
          </w:tcPr>
          <w:p w14:paraId="37267EB1" w14:textId="77777777" w:rsidR="00051D7E" w:rsidRPr="001A18A6" w:rsidRDefault="00051D7E" w:rsidP="007531FB">
            <w:pPr>
              <w:jc w:val="right"/>
              <w:rPr>
                <w:rFonts w:ascii="Calibri" w:eastAsia="Times New Roman" w:hAnsi="Calibri" w:cs="Calibri"/>
                <w:color w:val="0D0D0D"/>
                <w:szCs w:val="24"/>
              </w:rPr>
            </w:pPr>
            <w:r>
              <w:rPr>
                <w:rFonts w:ascii="Calibri" w:eastAsia="Times New Roman" w:hAnsi="Calibri" w:cs="Calibri"/>
                <w:color w:val="0D0D0D"/>
                <w:szCs w:val="24"/>
              </w:rPr>
              <w:t>2</w:t>
            </w:r>
          </w:p>
        </w:tc>
        <w:tc>
          <w:tcPr>
            <w:tcW w:w="886" w:type="dxa"/>
            <w:tcBorders>
              <w:top w:val="nil"/>
              <w:left w:val="nil"/>
              <w:bottom w:val="nil"/>
              <w:right w:val="nil"/>
            </w:tcBorders>
            <w:shd w:val="clear" w:color="auto" w:fill="D9D9D9" w:themeFill="background1" w:themeFillShade="D9"/>
            <w:vAlign w:val="bottom"/>
          </w:tcPr>
          <w:p w14:paraId="5AD71428" w14:textId="77777777" w:rsidR="00051D7E" w:rsidRPr="001A18A6" w:rsidRDefault="00051D7E" w:rsidP="007531FB">
            <w:pPr>
              <w:jc w:val="right"/>
              <w:rPr>
                <w:rFonts w:ascii="Calibri" w:eastAsia="Times New Roman" w:hAnsi="Calibri" w:cs="Calibri"/>
                <w:color w:val="0D0D0D"/>
                <w:szCs w:val="24"/>
              </w:rPr>
            </w:pPr>
            <w:r w:rsidRPr="001A18A6">
              <w:rPr>
                <w:rFonts w:ascii="Calibri" w:eastAsia="Times New Roman" w:hAnsi="Calibri" w:cs="Calibri"/>
                <w:color w:val="0D0D0D"/>
                <w:szCs w:val="24"/>
              </w:rPr>
              <w:t>3</w:t>
            </w:r>
          </w:p>
        </w:tc>
      </w:tr>
      <w:tr w:rsidR="00051D7E" w:rsidRPr="001656E9" w14:paraId="2725FACA" w14:textId="77777777" w:rsidTr="007531FB">
        <w:trPr>
          <w:trHeight w:val="324"/>
        </w:trPr>
        <w:tc>
          <w:tcPr>
            <w:tcW w:w="7290" w:type="dxa"/>
            <w:tcBorders>
              <w:top w:val="single" w:sz="4" w:space="0" w:color="00688D"/>
              <w:left w:val="nil"/>
              <w:bottom w:val="double" w:sz="6" w:space="0" w:color="00688D"/>
              <w:right w:val="nil"/>
            </w:tcBorders>
            <w:shd w:val="clear" w:color="000000" w:fill="FFFFFF"/>
            <w:noWrap/>
            <w:vAlign w:val="bottom"/>
            <w:hideMark/>
          </w:tcPr>
          <w:p w14:paraId="46C2CD61" w14:textId="77777777" w:rsidR="00051D7E" w:rsidRPr="001A18A6" w:rsidRDefault="00051D7E" w:rsidP="007531FB">
            <w:pPr>
              <w:rPr>
                <w:rFonts w:ascii="Calibri" w:eastAsia="Times New Roman" w:hAnsi="Calibri" w:cs="Calibri"/>
                <w:color w:val="0D0D0D"/>
                <w:szCs w:val="24"/>
              </w:rPr>
            </w:pPr>
            <w:r w:rsidRPr="001A18A6">
              <w:rPr>
                <w:rFonts w:ascii="Calibri" w:eastAsia="Times New Roman" w:hAnsi="Calibri" w:cs="Calibri"/>
                <w:color w:val="0D0D0D"/>
                <w:szCs w:val="24"/>
              </w:rPr>
              <w:t>Total plan participants</w:t>
            </w:r>
          </w:p>
        </w:tc>
        <w:tc>
          <w:tcPr>
            <w:tcW w:w="886" w:type="dxa"/>
            <w:tcBorders>
              <w:top w:val="single" w:sz="4" w:space="0" w:color="00688D"/>
              <w:left w:val="nil"/>
              <w:bottom w:val="double" w:sz="6" w:space="0" w:color="00688D"/>
              <w:right w:val="nil"/>
            </w:tcBorders>
            <w:shd w:val="clear" w:color="000000" w:fill="FFFFFF"/>
            <w:noWrap/>
            <w:vAlign w:val="bottom"/>
            <w:hideMark/>
          </w:tcPr>
          <w:p w14:paraId="3A4DE9A4" w14:textId="77777777" w:rsidR="00051D7E" w:rsidRPr="001A18A6" w:rsidRDefault="00051D7E" w:rsidP="007531FB">
            <w:pPr>
              <w:jc w:val="right"/>
              <w:rPr>
                <w:rFonts w:ascii="Calibri" w:eastAsia="Times New Roman" w:hAnsi="Calibri" w:cs="Calibri"/>
                <w:color w:val="0D0D0D"/>
                <w:szCs w:val="24"/>
              </w:rPr>
            </w:pPr>
            <w:r>
              <w:rPr>
                <w:rFonts w:ascii="Calibri" w:eastAsia="Times New Roman" w:hAnsi="Calibri" w:cs="Calibri"/>
                <w:color w:val="0D0D0D"/>
                <w:szCs w:val="24"/>
              </w:rPr>
              <w:t>893</w:t>
            </w:r>
          </w:p>
        </w:tc>
        <w:tc>
          <w:tcPr>
            <w:tcW w:w="886" w:type="dxa"/>
            <w:tcBorders>
              <w:top w:val="single" w:sz="4" w:space="0" w:color="00688D"/>
              <w:left w:val="nil"/>
              <w:bottom w:val="double" w:sz="6" w:space="0" w:color="00688D"/>
              <w:right w:val="nil"/>
            </w:tcBorders>
            <w:shd w:val="clear" w:color="auto" w:fill="D9D9D9" w:themeFill="background1" w:themeFillShade="D9"/>
            <w:vAlign w:val="bottom"/>
          </w:tcPr>
          <w:p w14:paraId="5A090587" w14:textId="77777777" w:rsidR="00051D7E" w:rsidRPr="001A18A6" w:rsidRDefault="00051D7E" w:rsidP="007531FB">
            <w:pPr>
              <w:jc w:val="right"/>
              <w:rPr>
                <w:rFonts w:ascii="Calibri" w:eastAsia="Times New Roman" w:hAnsi="Calibri" w:cs="Calibri"/>
                <w:color w:val="0D0D0D"/>
                <w:szCs w:val="24"/>
              </w:rPr>
            </w:pPr>
            <w:r w:rsidRPr="001A18A6">
              <w:rPr>
                <w:rFonts w:ascii="Calibri" w:eastAsia="Times New Roman" w:hAnsi="Calibri" w:cs="Calibri"/>
                <w:color w:val="0D0D0D"/>
                <w:szCs w:val="24"/>
              </w:rPr>
              <w:t>926</w:t>
            </w:r>
          </w:p>
        </w:tc>
      </w:tr>
    </w:tbl>
    <w:p w14:paraId="5EF4B196" w14:textId="77777777" w:rsidR="00051D7E" w:rsidRPr="00735A4C" w:rsidRDefault="00051D7E" w:rsidP="00051D7E">
      <w:pPr>
        <w:ind w:right="-7"/>
        <w:rPr>
          <w:rFonts w:eastAsia="Times New Roman" w:cstheme="minorHAnsi"/>
          <w:spacing w:val="-1"/>
          <w:sz w:val="24"/>
        </w:rPr>
      </w:pPr>
    </w:p>
    <w:p w14:paraId="6C4DA227" w14:textId="77777777" w:rsidR="00051D7E" w:rsidRPr="00F54559" w:rsidRDefault="00051D7E" w:rsidP="00051D7E">
      <w:pPr>
        <w:ind w:right="-7"/>
        <w:rPr>
          <w:rFonts w:eastAsia="Times New Roman" w:cstheme="minorHAnsi"/>
          <w:sz w:val="24"/>
        </w:rPr>
      </w:pPr>
      <w:r w:rsidRPr="00F54559">
        <w:rPr>
          <w:rFonts w:eastAsia="Times New Roman" w:cstheme="minorHAnsi"/>
          <w:b/>
          <w:i/>
          <w:spacing w:val="-1"/>
          <w:sz w:val="24"/>
        </w:rPr>
        <w:t>Contributions:</w:t>
      </w:r>
      <w:r w:rsidRPr="00F54559">
        <w:rPr>
          <w:rFonts w:eastAsia="Times New Roman" w:cstheme="minorHAnsi"/>
          <w:spacing w:val="-1"/>
          <w:sz w:val="24"/>
        </w:rPr>
        <w:t xml:space="preserve"> The System</w:t>
      </w:r>
      <w:r w:rsidRPr="00F54559">
        <w:rPr>
          <w:rFonts w:eastAsia="Times New Roman" w:cstheme="minorHAnsi"/>
          <w:spacing w:val="2"/>
          <w:sz w:val="24"/>
        </w:rPr>
        <w:t xml:space="preserve"> </w:t>
      </w:r>
      <w:r w:rsidRPr="00F54559">
        <w:rPr>
          <w:rFonts w:eastAsia="Times New Roman" w:cstheme="minorHAnsi"/>
          <w:sz w:val="24"/>
        </w:rPr>
        <w:t>ado</w:t>
      </w:r>
      <w:r w:rsidRPr="00F54559">
        <w:rPr>
          <w:rFonts w:eastAsia="Times New Roman" w:cstheme="minorHAnsi"/>
          <w:spacing w:val="-2"/>
          <w:sz w:val="24"/>
        </w:rPr>
        <w:t>p</w:t>
      </w:r>
      <w:r w:rsidRPr="00F54559">
        <w:rPr>
          <w:rFonts w:eastAsia="Times New Roman" w:cstheme="minorHAnsi"/>
          <w:sz w:val="24"/>
        </w:rPr>
        <w:t>ted</w:t>
      </w:r>
      <w:r w:rsidRPr="00F54559">
        <w:rPr>
          <w:rFonts w:eastAsia="Times New Roman" w:cstheme="minorHAnsi"/>
          <w:spacing w:val="4"/>
          <w:sz w:val="24"/>
        </w:rPr>
        <w:t xml:space="preserve"> </w:t>
      </w:r>
      <w:r w:rsidRPr="00F54559">
        <w:rPr>
          <w:rFonts w:eastAsia="Times New Roman" w:cstheme="minorHAnsi"/>
          <w:sz w:val="24"/>
        </w:rPr>
        <w:t>a</w:t>
      </w:r>
      <w:r w:rsidRPr="00F54559">
        <w:rPr>
          <w:rFonts w:eastAsia="Times New Roman" w:cstheme="minorHAnsi"/>
          <w:spacing w:val="3"/>
          <w:sz w:val="24"/>
        </w:rPr>
        <w:t xml:space="preserve"> </w:t>
      </w:r>
      <w:r w:rsidRPr="00F54559">
        <w:rPr>
          <w:rFonts w:eastAsia="Times New Roman" w:cstheme="minorHAnsi"/>
          <w:sz w:val="24"/>
        </w:rPr>
        <w:t>fun</w:t>
      </w:r>
      <w:r w:rsidRPr="00F54559">
        <w:rPr>
          <w:rFonts w:eastAsia="Times New Roman" w:cstheme="minorHAnsi"/>
          <w:spacing w:val="1"/>
          <w:sz w:val="24"/>
        </w:rPr>
        <w:t>d</w:t>
      </w:r>
      <w:r w:rsidRPr="00F54559">
        <w:rPr>
          <w:rFonts w:eastAsia="Times New Roman" w:cstheme="minorHAnsi"/>
          <w:sz w:val="24"/>
        </w:rPr>
        <w:t>ing</w:t>
      </w:r>
      <w:r w:rsidRPr="00F54559">
        <w:rPr>
          <w:rFonts w:eastAsia="Times New Roman" w:cstheme="minorHAnsi"/>
          <w:spacing w:val="4"/>
          <w:sz w:val="24"/>
        </w:rPr>
        <w:t xml:space="preserve"> </w:t>
      </w:r>
      <w:r w:rsidRPr="00F54559">
        <w:rPr>
          <w:rFonts w:eastAsia="Times New Roman" w:cstheme="minorHAnsi"/>
          <w:spacing w:val="1"/>
          <w:sz w:val="24"/>
        </w:rPr>
        <w:t>s</w:t>
      </w:r>
      <w:r w:rsidRPr="00F54559">
        <w:rPr>
          <w:rFonts w:eastAsia="Times New Roman" w:cstheme="minorHAnsi"/>
          <w:sz w:val="24"/>
        </w:rPr>
        <w:t>t</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egy</w:t>
      </w:r>
      <w:r w:rsidRPr="00F54559">
        <w:rPr>
          <w:rFonts w:eastAsia="Times New Roman" w:cstheme="minorHAnsi"/>
          <w:spacing w:val="1"/>
          <w:sz w:val="24"/>
        </w:rPr>
        <w:t xml:space="preserve"> </w:t>
      </w:r>
      <w:r w:rsidRPr="00F54559">
        <w:rPr>
          <w:rFonts w:eastAsia="Times New Roman" w:cstheme="minorHAnsi"/>
          <w:sz w:val="24"/>
        </w:rPr>
        <w:t>for</w:t>
      </w:r>
      <w:r w:rsidRPr="00F54559">
        <w:rPr>
          <w:rFonts w:eastAsia="Times New Roman" w:cstheme="minorHAnsi"/>
          <w:spacing w:val="2"/>
          <w:sz w:val="24"/>
        </w:rPr>
        <w:t xml:space="preserve"> </w:t>
      </w:r>
      <w:r w:rsidRPr="00F54559">
        <w:rPr>
          <w:rFonts w:eastAsia="Times New Roman" w:cstheme="minorHAnsi"/>
          <w:sz w:val="24"/>
        </w:rPr>
        <w:t>the</w:t>
      </w:r>
      <w:r w:rsidRPr="00F54559">
        <w:rPr>
          <w:rFonts w:eastAsia="Times New Roman" w:cstheme="minorHAnsi"/>
          <w:spacing w:val="1"/>
          <w:sz w:val="24"/>
        </w:rPr>
        <w:t xml:space="preserve"> </w:t>
      </w:r>
      <w:r w:rsidRPr="00F54559">
        <w:rPr>
          <w:rFonts w:eastAsia="Times New Roman" w:cstheme="minorHAnsi"/>
          <w:spacing w:val="-1"/>
          <w:sz w:val="24"/>
        </w:rPr>
        <w:t>P</w:t>
      </w:r>
      <w:r w:rsidRPr="00F54559">
        <w:rPr>
          <w:rFonts w:eastAsia="Times New Roman" w:cstheme="minorHAnsi"/>
          <w:sz w:val="24"/>
        </w:rPr>
        <w:t>lan</w:t>
      </w:r>
      <w:r w:rsidRPr="00F54559">
        <w:rPr>
          <w:rFonts w:eastAsia="Times New Roman" w:cstheme="minorHAnsi"/>
          <w:spacing w:val="2"/>
          <w:sz w:val="24"/>
        </w:rPr>
        <w:t xml:space="preserve"> </w:t>
      </w:r>
      <w:r w:rsidRPr="00F54559">
        <w:rPr>
          <w:rFonts w:eastAsia="Times New Roman" w:cstheme="minorHAnsi"/>
          <w:spacing w:val="-1"/>
          <w:sz w:val="24"/>
        </w:rPr>
        <w:t>o</w:t>
      </w:r>
      <w:r w:rsidRPr="00F54559">
        <w:rPr>
          <w:rFonts w:eastAsia="Times New Roman" w:cstheme="minorHAnsi"/>
          <w:sz w:val="24"/>
        </w:rPr>
        <w:t>n</w:t>
      </w:r>
      <w:r w:rsidRPr="00F54559">
        <w:rPr>
          <w:rFonts w:eastAsia="Times New Roman" w:cstheme="minorHAnsi"/>
          <w:spacing w:val="1"/>
          <w:sz w:val="24"/>
        </w:rPr>
        <w:t xml:space="preserve"> </w:t>
      </w:r>
      <w:r w:rsidRPr="00F54559">
        <w:rPr>
          <w:rFonts w:eastAsia="Times New Roman" w:cstheme="minorHAnsi"/>
          <w:sz w:val="24"/>
        </w:rPr>
        <w:t>F</w:t>
      </w:r>
      <w:r w:rsidRPr="00F54559">
        <w:rPr>
          <w:rFonts w:eastAsia="Times New Roman" w:cstheme="minorHAnsi"/>
          <w:spacing w:val="-1"/>
          <w:sz w:val="24"/>
        </w:rPr>
        <w:t>e</w:t>
      </w:r>
      <w:r w:rsidRPr="00F54559">
        <w:rPr>
          <w:rFonts w:eastAsia="Times New Roman" w:cstheme="minorHAnsi"/>
          <w:sz w:val="24"/>
        </w:rPr>
        <w:t>b</w:t>
      </w:r>
      <w:r w:rsidRPr="00F54559">
        <w:rPr>
          <w:rFonts w:eastAsia="Times New Roman" w:cstheme="minorHAnsi"/>
          <w:spacing w:val="-1"/>
          <w:sz w:val="24"/>
        </w:rPr>
        <w:t>r</w:t>
      </w:r>
      <w:r w:rsidRPr="00F54559">
        <w:rPr>
          <w:rFonts w:eastAsia="Times New Roman" w:cstheme="minorHAnsi"/>
          <w:sz w:val="24"/>
        </w:rPr>
        <w:t>ua</w:t>
      </w:r>
      <w:r w:rsidRPr="00F54559">
        <w:rPr>
          <w:rFonts w:eastAsia="Times New Roman" w:cstheme="minorHAnsi"/>
          <w:spacing w:val="-1"/>
          <w:sz w:val="24"/>
        </w:rPr>
        <w:t>r</w:t>
      </w:r>
      <w:r w:rsidRPr="00F54559">
        <w:rPr>
          <w:rFonts w:eastAsia="Times New Roman" w:cstheme="minorHAnsi"/>
          <w:sz w:val="24"/>
        </w:rPr>
        <w:t>y</w:t>
      </w:r>
      <w:r w:rsidRPr="00F54559">
        <w:rPr>
          <w:rFonts w:eastAsia="Times New Roman" w:cstheme="minorHAnsi"/>
          <w:spacing w:val="3"/>
          <w:sz w:val="24"/>
        </w:rPr>
        <w:t xml:space="preserve"> </w:t>
      </w:r>
      <w:r w:rsidRPr="00F54559">
        <w:rPr>
          <w:rFonts w:eastAsia="Times New Roman" w:cstheme="minorHAnsi"/>
          <w:sz w:val="24"/>
        </w:rPr>
        <w:t>27,</w:t>
      </w:r>
      <w:r w:rsidRPr="00F54559">
        <w:rPr>
          <w:rFonts w:eastAsia="Times New Roman" w:cstheme="minorHAnsi"/>
          <w:spacing w:val="1"/>
          <w:sz w:val="24"/>
        </w:rPr>
        <w:t xml:space="preserve"> </w:t>
      </w:r>
      <w:r w:rsidRPr="00F54559">
        <w:rPr>
          <w:rFonts w:eastAsia="Times New Roman" w:cstheme="minorHAnsi"/>
          <w:sz w:val="24"/>
        </w:rPr>
        <w:t xml:space="preserve">2014.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1"/>
          <w:sz w:val="24"/>
        </w:rPr>
        <w:t xml:space="preserve"> </w:t>
      </w:r>
      <w:r w:rsidRPr="00F54559">
        <w:rPr>
          <w:rFonts w:eastAsia="Times New Roman" w:cstheme="minorHAnsi"/>
          <w:spacing w:val="-1"/>
          <w:sz w:val="24"/>
        </w:rPr>
        <w:t>System’s</w:t>
      </w:r>
      <w:r w:rsidRPr="00F54559">
        <w:rPr>
          <w:rFonts w:eastAsia="Times New Roman" w:cstheme="minorHAnsi"/>
          <w:spacing w:val="3"/>
          <w:sz w:val="24"/>
        </w:rPr>
        <w:t xml:space="preserve"> </w:t>
      </w:r>
      <w:r w:rsidRPr="00F54559">
        <w:rPr>
          <w:rFonts w:eastAsia="Times New Roman" w:cstheme="minorHAnsi"/>
          <w:sz w:val="24"/>
        </w:rPr>
        <w:t>fun</w:t>
      </w:r>
      <w:r w:rsidRPr="00F54559">
        <w:rPr>
          <w:rFonts w:eastAsia="Times New Roman" w:cstheme="minorHAnsi"/>
          <w:spacing w:val="1"/>
          <w:sz w:val="24"/>
        </w:rPr>
        <w:t>d</w:t>
      </w:r>
      <w:r w:rsidRPr="00F54559">
        <w:rPr>
          <w:rFonts w:eastAsia="Times New Roman" w:cstheme="minorHAnsi"/>
          <w:sz w:val="24"/>
        </w:rPr>
        <w:t>ing</w:t>
      </w:r>
      <w:r w:rsidRPr="00F54559">
        <w:rPr>
          <w:rFonts w:eastAsia="Times New Roman" w:cstheme="minorHAnsi"/>
          <w:spacing w:val="2"/>
          <w:sz w:val="24"/>
        </w:rPr>
        <w:t xml:space="preserve"> </w:t>
      </w:r>
      <w:r w:rsidRPr="00F54559">
        <w:rPr>
          <w:rFonts w:eastAsia="Times New Roman" w:cstheme="minorHAnsi"/>
          <w:spacing w:val="1"/>
          <w:sz w:val="24"/>
        </w:rPr>
        <w:t>s</w:t>
      </w:r>
      <w:r w:rsidRPr="00F54559">
        <w:rPr>
          <w:rFonts w:eastAsia="Times New Roman" w:cstheme="minorHAnsi"/>
          <w:sz w:val="24"/>
        </w:rPr>
        <w:t>t</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egy</w:t>
      </w:r>
      <w:r w:rsidRPr="00F54559">
        <w:rPr>
          <w:rFonts w:eastAsia="Times New Roman" w:cstheme="minorHAnsi"/>
          <w:spacing w:val="3"/>
          <w:sz w:val="24"/>
        </w:rPr>
        <w:t xml:space="preserve"> </w:t>
      </w:r>
      <w:r w:rsidRPr="00F54559">
        <w:rPr>
          <w:rFonts w:eastAsia="Times New Roman" w:cstheme="minorHAnsi"/>
          <w:sz w:val="24"/>
        </w:rPr>
        <w:t>foll</w:t>
      </w:r>
      <w:r w:rsidRPr="00F54559">
        <w:rPr>
          <w:rFonts w:eastAsia="Times New Roman" w:cstheme="minorHAnsi"/>
          <w:spacing w:val="-1"/>
          <w:sz w:val="24"/>
        </w:rPr>
        <w:t>o</w:t>
      </w:r>
      <w:r w:rsidRPr="00F54559">
        <w:rPr>
          <w:rFonts w:eastAsia="Times New Roman" w:cstheme="minorHAnsi"/>
          <w:sz w:val="24"/>
        </w:rPr>
        <w:t>ws</w:t>
      </w:r>
      <w:r w:rsidRPr="00F54559">
        <w:rPr>
          <w:rFonts w:eastAsia="Times New Roman" w:cstheme="minorHAnsi"/>
          <w:spacing w:val="2"/>
          <w:sz w:val="24"/>
        </w:rPr>
        <w:t xml:space="preserve"> </w:t>
      </w:r>
      <w:r w:rsidRPr="00F54559">
        <w:rPr>
          <w:rFonts w:eastAsia="Times New Roman" w:cstheme="minorHAnsi"/>
          <w:sz w:val="24"/>
        </w:rPr>
        <w:t>a</w:t>
      </w:r>
      <w:r w:rsidRPr="00F54559">
        <w:rPr>
          <w:rFonts w:eastAsia="Times New Roman" w:cstheme="minorHAnsi"/>
          <w:w w:val="99"/>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ng-te</w:t>
      </w:r>
      <w:r w:rsidRPr="00F54559">
        <w:rPr>
          <w:rFonts w:eastAsia="Times New Roman" w:cstheme="minorHAnsi"/>
          <w:spacing w:val="-2"/>
          <w:sz w:val="24"/>
        </w:rPr>
        <w:t>r</w:t>
      </w:r>
      <w:r w:rsidRPr="00F54559">
        <w:rPr>
          <w:rFonts w:eastAsia="Times New Roman" w:cstheme="minorHAnsi"/>
          <w:sz w:val="24"/>
        </w:rPr>
        <w:t>m</w:t>
      </w:r>
      <w:r w:rsidRPr="00F54559">
        <w:rPr>
          <w:rFonts w:eastAsia="Times New Roman" w:cstheme="minorHAnsi"/>
          <w:spacing w:val="14"/>
          <w:sz w:val="24"/>
        </w:rPr>
        <w:t xml:space="preserve">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ibution</w:t>
      </w:r>
      <w:r w:rsidRPr="00F54559">
        <w:rPr>
          <w:rFonts w:eastAsia="Times New Roman" w:cstheme="minorHAnsi"/>
          <w:spacing w:val="15"/>
          <w:sz w:val="24"/>
        </w:rPr>
        <w:t xml:space="preserve"> </w:t>
      </w:r>
      <w:r w:rsidRPr="00F54559">
        <w:rPr>
          <w:rFonts w:eastAsia="Times New Roman" w:cstheme="minorHAnsi"/>
          <w:spacing w:val="1"/>
          <w:sz w:val="24"/>
        </w:rPr>
        <w:t>s</w:t>
      </w:r>
      <w:r w:rsidRPr="00F54559">
        <w:rPr>
          <w:rFonts w:eastAsia="Times New Roman" w:cstheme="minorHAnsi"/>
          <w:sz w:val="24"/>
        </w:rPr>
        <w:t>chedule,</w:t>
      </w:r>
      <w:r w:rsidRPr="00F54559">
        <w:rPr>
          <w:rFonts w:eastAsia="Times New Roman" w:cstheme="minorHAnsi"/>
          <w:spacing w:val="13"/>
          <w:sz w:val="24"/>
        </w:rPr>
        <w:t xml:space="preserve"> </w:t>
      </w:r>
      <w:r w:rsidRPr="00F54559">
        <w:rPr>
          <w:rFonts w:eastAsia="Times New Roman" w:cstheme="minorHAnsi"/>
          <w:spacing w:val="1"/>
          <w:sz w:val="24"/>
        </w:rPr>
        <w:t>s</w:t>
      </w:r>
      <w:r w:rsidRPr="00F54559">
        <w:rPr>
          <w:rFonts w:eastAsia="Times New Roman" w:cstheme="minorHAnsi"/>
          <w:sz w:val="24"/>
        </w:rPr>
        <w:t>uch</w:t>
      </w:r>
      <w:r w:rsidRPr="00F54559">
        <w:rPr>
          <w:rFonts w:eastAsia="Times New Roman" w:cstheme="minorHAnsi"/>
          <w:spacing w:val="15"/>
          <w:sz w:val="24"/>
        </w:rPr>
        <w:t xml:space="preserve"> </w:t>
      </w:r>
      <w:r w:rsidRPr="00F54559">
        <w:rPr>
          <w:rFonts w:eastAsia="Times New Roman" w:cstheme="minorHAnsi"/>
          <w:sz w:val="24"/>
        </w:rPr>
        <w:t>that</w:t>
      </w:r>
      <w:r w:rsidRPr="00F54559">
        <w:rPr>
          <w:rFonts w:eastAsia="Times New Roman" w:cstheme="minorHAnsi"/>
          <w:spacing w:val="13"/>
          <w:sz w:val="24"/>
        </w:rPr>
        <w:t xml:space="preserve"> </w:t>
      </w:r>
      <w:r w:rsidRPr="00F54559">
        <w:rPr>
          <w:rFonts w:eastAsia="Times New Roman" w:cstheme="minorHAnsi"/>
          <w:sz w:val="24"/>
        </w:rPr>
        <w:t>a</w:t>
      </w:r>
      <w:r w:rsidRPr="00F54559">
        <w:rPr>
          <w:rFonts w:eastAsia="Times New Roman" w:cstheme="minorHAnsi"/>
          <w:spacing w:val="14"/>
          <w:sz w:val="24"/>
        </w:rPr>
        <w:t xml:space="preserve"> </w:t>
      </w:r>
      <w:r w:rsidRPr="00F54559">
        <w:rPr>
          <w:rFonts w:eastAsia="Times New Roman" w:cstheme="minorHAnsi"/>
          <w:sz w:val="24"/>
        </w:rPr>
        <w:t>l</w:t>
      </w:r>
      <w:r w:rsidRPr="00F54559">
        <w:rPr>
          <w:rFonts w:eastAsia="Times New Roman" w:cstheme="minorHAnsi"/>
          <w:spacing w:val="-1"/>
          <w:sz w:val="24"/>
        </w:rPr>
        <w:t>ev</w:t>
      </w:r>
      <w:r w:rsidRPr="00F54559">
        <w:rPr>
          <w:rFonts w:eastAsia="Times New Roman" w:cstheme="minorHAnsi"/>
          <w:sz w:val="24"/>
        </w:rPr>
        <w:t>el</w:t>
      </w:r>
      <w:r w:rsidRPr="00F54559">
        <w:rPr>
          <w:rFonts w:eastAsia="Times New Roman" w:cstheme="minorHAnsi"/>
          <w:spacing w:val="11"/>
          <w:sz w:val="24"/>
        </w:rPr>
        <w:t xml:space="preserve"> </w:t>
      </w:r>
      <w:r w:rsidRPr="00F54559">
        <w:rPr>
          <w:rFonts w:eastAsia="Times New Roman" w:cstheme="minorHAnsi"/>
          <w:sz w:val="24"/>
        </w:rPr>
        <w:t>annual</w:t>
      </w:r>
      <w:r w:rsidRPr="00F54559">
        <w:rPr>
          <w:rFonts w:eastAsia="Times New Roman" w:cstheme="minorHAnsi"/>
          <w:spacing w:val="14"/>
          <w:sz w:val="24"/>
        </w:rPr>
        <w:t xml:space="preserve"> </w:t>
      </w:r>
      <w:r w:rsidRPr="00F54559">
        <w:rPr>
          <w:rFonts w:eastAsia="Times New Roman" w:cstheme="minorHAnsi"/>
          <w:sz w:val="24"/>
        </w:rPr>
        <w:t>do</w:t>
      </w:r>
      <w:r w:rsidRPr="00F54559">
        <w:rPr>
          <w:rFonts w:eastAsia="Times New Roman" w:cstheme="minorHAnsi"/>
          <w:spacing w:val="-1"/>
          <w:sz w:val="24"/>
        </w:rPr>
        <w:t>l</w:t>
      </w:r>
      <w:r w:rsidRPr="00F54559">
        <w:rPr>
          <w:rFonts w:eastAsia="Times New Roman" w:cstheme="minorHAnsi"/>
          <w:sz w:val="24"/>
        </w:rPr>
        <w:t>lar</w:t>
      </w:r>
      <w:r w:rsidRPr="00F54559">
        <w:rPr>
          <w:rFonts w:eastAsia="Times New Roman" w:cstheme="minorHAnsi"/>
          <w:spacing w:val="11"/>
          <w:sz w:val="24"/>
        </w:rPr>
        <w:t xml:space="preserve"> </w:t>
      </w:r>
      <w:r w:rsidRPr="00F54559">
        <w:rPr>
          <w:rFonts w:eastAsia="Times New Roman" w:cstheme="minorHAnsi"/>
          <w:sz w:val="24"/>
        </w:rPr>
        <w:t>a</w:t>
      </w:r>
      <w:r w:rsidRPr="00F54559">
        <w:rPr>
          <w:rFonts w:eastAsia="Times New Roman" w:cstheme="minorHAnsi"/>
          <w:spacing w:val="1"/>
          <w:sz w:val="24"/>
        </w:rPr>
        <w:t>m</w:t>
      </w:r>
      <w:r w:rsidRPr="00F54559">
        <w:rPr>
          <w:rFonts w:eastAsia="Times New Roman" w:cstheme="minorHAnsi"/>
          <w:sz w:val="24"/>
        </w:rPr>
        <w:t>ount</w:t>
      </w:r>
      <w:r w:rsidRPr="00F54559">
        <w:rPr>
          <w:rFonts w:eastAsia="Times New Roman" w:cstheme="minorHAnsi"/>
          <w:spacing w:val="15"/>
          <w:sz w:val="24"/>
        </w:rPr>
        <w:t xml:space="preserve"> </w:t>
      </w:r>
      <w:r w:rsidRPr="00F54559">
        <w:rPr>
          <w:rFonts w:eastAsia="Times New Roman" w:cstheme="minorHAnsi"/>
          <w:sz w:val="24"/>
        </w:rPr>
        <w:t>will</w:t>
      </w:r>
      <w:r w:rsidRPr="00F54559">
        <w:rPr>
          <w:rFonts w:eastAsia="Times New Roman" w:cstheme="minorHAnsi"/>
          <w:spacing w:val="12"/>
          <w:sz w:val="24"/>
        </w:rPr>
        <w:t xml:space="preserve"> </w:t>
      </w:r>
      <w:r w:rsidRPr="00F54559">
        <w:rPr>
          <w:rFonts w:eastAsia="Times New Roman" w:cstheme="minorHAnsi"/>
          <w:spacing w:val="1"/>
          <w:sz w:val="24"/>
        </w:rPr>
        <w:t>b</w:t>
      </w:r>
      <w:r w:rsidRPr="00F54559">
        <w:rPr>
          <w:rFonts w:eastAsia="Times New Roman" w:cstheme="minorHAnsi"/>
          <w:sz w:val="24"/>
        </w:rPr>
        <w:t>e</w:t>
      </w:r>
      <w:r w:rsidRPr="00F54559">
        <w:rPr>
          <w:rFonts w:eastAsia="Times New Roman" w:cstheme="minorHAnsi"/>
          <w:spacing w:val="14"/>
          <w:sz w:val="24"/>
        </w:rPr>
        <w:t xml:space="preserve">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ibuted</w:t>
      </w:r>
      <w:r w:rsidRPr="00F54559">
        <w:rPr>
          <w:rFonts w:eastAsia="Times New Roman" w:cstheme="minorHAnsi"/>
          <w:spacing w:val="13"/>
          <w:sz w:val="24"/>
        </w:rPr>
        <w:t xml:space="preserve"> </w:t>
      </w:r>
      <w:r w:rsidRPr="00F54559">
        <w:rPr>
          <w:rFonts w:eastAsia="Times New Roman" w:cstheme="minorHAnsi"/>
          <w:spacing w:val="1"/>
          <w:sz w:val="24"/>
        </w:rPr>
        <w:t>t</w:t>
      </w:r>
      <w:r w:rsidRPr="00F54559">
        <w:rPr>
          <w:rFonts w:eastAsia="Times New Roman" w:cstheme="minorHAnsi"/>
          <w:sz w:val="24"/>
        </w:rPr>
        <w:t>o</w:t>
      </w:r>
      <w:r w:rsidRPr="00F54559">
        <w:rPr>
          <w:rFonts w:eastAsia="Times New Roman" w:cstheme="minorHAnsi"/>
          <w:spacing w:val="14"/>
          <w:sz w:val="24"/>
        </w:rPr>
        <w:t xml:space="preserve"> </w:t>
      </w:r>
      <w:r w:rsidRPr="00F54559">
        <w:rPr>
          <w:rFonts w:eastAsia="Times New Roman" w:cstheme="minorHAnsi"/>
          <w:sz w:val="24"/>
        </w:rPr>
        <w:t>the</w:t>
      </w:r>
      <w:r w:rsidRPr="00F54559">
        <w:rPr>
          <w:rFonts w:eastAsia="Times New Roman" w:cstheme="minorHAnsi"/>
          <w:spacing w:val="12"/>
          <w:sz w:val="24"/>
        </w:rPr>
        <w:t xml:space="preserve"> </w:t>
      </w:r>
      <w:r w:rsidRPr="00F54559">
        <w:rPr>
          <w:rFonts w:eastAsia="Times New Roman" w:cstheme="minorHAnsi"/>
          <w:spacing w:val="-1"/>
          <w:sz w:val="24"/>
        </w:rPr>
        <w:t>p</w:t>
      </w:r>
      <w:r w:rsidRPr="00F54559">
        <w:rPr>
          <w:rFonts w:eastAsia="Times New Roman" w:cstheme="minorHAnsi"/>
          <w:sz w:val="24"/>
        </w:rPr>
        <w:t>lan</w:t>
      </w:r>
      <w:r w:rsidRPr="00F54559">
        <w:rPr>
          <w:rFonts w:eastAsia="Times New Roman" w:cstheme="minorHAnsi"/>
          <w:w w:val="99"/>
          <w:sz w:val="24"/>
        </w:rPr>
        <w:t xml:space="preserve"> </w:t>
      </w:r>
      <w:r w:rsidRPr="00F54559">
        <w:rPr>
          <w:rFonts w:eastAsia="Times New Roman" w:cstheme="minorHAnsi"/>
          <w:sz w:val="24"/>
        </w:rPr>
        <w:t>indefinite</w:t>
      </w:r>
      <w:r w:rsidRPr="00F54559">
        <w:rPr>
          <w:rFonts w:eastAsia="Times New Roman" w:cstheme="minorHAnsi"/>
          <w:spacing w:val="-1"/>
          <w:sz w:val="24"/>
        </w:rPr>
        <w:t>ly</w:t>
      </w:r>
      <w:r w:rsidRPr="00F54559">
        <w:rPr>
          <w:rFonts w:eastAsia="Times New Roman" w:cstheme="minorHAnsi"/>
          <w:sz w:val="24"/>
        </w:rPr>
        <w:t>,</w:t>
      </w:r>
      <w:r w:rsidRPr="00F54559">
        <w:rPr>
          <w:rFonts w:eastAsia="Times New Roman" w:cstheme="minorHAnsi"/>
          <w:spacing w:val="-6"/>
          <w:sz w:val="24"/>
        </w:rPr>
        <w:t xml:space="preserve"> </w:t>
      </w:r>
      <w:r w:rsidRPr="00F54559">
        <w:rPr>
          <w:rFonts w:eastAsia="Times New Roman" w:cstheme="minorHAnsi"/>
          <w:sz w:val="24"/>
        </w:rPr>
        <w:t>while</w:t>
      </w:r>
      <w:r w:rsidRPr="00F54559">
        <w:rPr>
          <w:rFonts w:eastAsia="Times New Roman" w:cstheme="minorHAnsi"/>
          <w:spacing w:val="-7"/>
          <w:sz w:val="24"/>
        </w:rPr>
        <w:t xml:space="preserve"> </w:t>
      </w:r>
      <w:r w:rsidRPr="00F54559">
        <w:rPr>
          <w:rFonts w:eastAsia="Times New Roman" w:cstheme="minorHAnsi"/>
          <w:sz w:val="24"/>
        </w:rPr>
        <w:t>ne</w:t>
      </w:r>
      <w:r w:rsidRPr="00F54559">
        <w:rPr>
          <w:rFonts w:eastAsia="Times New Roman" w:cstheme="minorHAnsi"/>
          <w:spacing w:val="-2"/>
          <w:sz w:val="24"/>
        </w:rPr>
        <w:t>v</w:t>
      </w:r>
      <w:r w:rsidRPr="00F54559">
        <w:rPr>
          <w:rFonts w:eastAsia="Times New Roman" w:cstheme="minorHAnsi"/>
          <w:sz w:val="24"/>
        </w:rPr>
        <w:t>er</w:t>
      </w:r>
      <w:r w:rsidRPr="00F54559">
        <w:rPr>
          <w:rFonts w:eastAsia="Times New Roman" w:cstheme="minorHAnsi"/>
          <w:spacing w:val="-7"/>
          <w:sz w:val="24"/>
        </w:rPr>
        <w:t xml:space="preserve"> </w:t>
      </w:r>
      <w:r w:rsidRPr="00F54559">
        <w:rPr>
          <w:rFonts w:eastAsia="Times New Roman" w:cstheme="minorHAnsi"/>
          <w:sz w:val="24"/>
        </w:rPr>
        <w:t>allo</w:t>
      </w:r>
      <w:r w:rsidRPr="00F54559">
        <w:rPr>
          <w:rFonts w:eastAsia="Times New Roman" w:cstheme="minorHAnsi"/>
          <w:spacing w:val="-1"/>
          <w:sz w:val="24"/>
        </w:rPr>
        <w:t>w</w:t>
      </w:r>
      <w:r w:rsidRPr="00F54559">
        <w:rPr>
          <w:rFonts w:eastAsia="Times New Roman" w:cstheme="minorHAnsi"/>
          <w:sz w:val="24"/>
        </w:rPr>
        <w:t>ing</w:t>
      </w:r>
      <w:r w:rsidRPr="00F54559">
        <w:rPr>
          <w:rFonts w:eastAsia="Times New Roman" w:cstheme="minorHAnsi"/>
          <w:spacing w:val="-6"/>
          <w:sz w:val="24"/>
        </w:rPr>
        <w:t xml:space="preserve"> </w:t>
      </w:r>
      <w:r w:rsidRPr="00F54559">
        <w:rPr>
          <w:rFonts w:eastAsia="Times New Roman" w:cstheme="minorHAnsi"/>
          <w:sz w:val="24"/>
        </w:rPr>
        <w:t>the</w:t>
      </w:r>
      <w:r w:rsidRPr="00F54559">
        <w:rPr>
          <w:rFonts w:eastAsia="Times New Roman" w:cstheme="minorHAnsi"/>
          <w:spacing w:val="-6"/>
          <w:sz w:val="24"/>
        </w:rPr>
        <w:t xml:space="preserve"> P</w:t>
      </w:r>
      <w:r w:rsidRPr="00F54559">
        <w:rPr>
          <w:rFonts w:eastAsia="Times New Roman" w:cstheme="minorHAnsi"/>
          <w:sz w:val="24"/>
        </w:rPr>
        <w:t>lan's</w:t>
      </w:r>
      <w:r w:rsidRPr="00F54559">
        <w:rPr>
          <w:rFonts w:eastAsia="Times New Roman" w:cstheme="minorHAnsi"/>
          <w:spacing w:val="-6"/>
          <w:sz w:val="24"/>
        </w:rPr>
        <w:t xml:space="preserve"> </w:t>
      </w:r>
      <w:r w:rsidRPr="00F54559">
        <w:rPr>
          <w:rFonts w:eastAsia="Times New Roman" w:cstheme="minorHAnsi"/>
          <w:sz w:val="24"/>
        </w:rPr>
        <w:t>a</w:t>
      </w:r>
      <w:r w:rsidRPr="00F54559">
        <w:rPr>
          <w:rFonts w:eastAsia="Times New Roman" w:cstheme="minorHAnsi"/>
          <w:spacing w:val="1"/>
          <w:sz w:val="24"/>
        </w:rPr>
        <w:t>ss</w:t>
      </w:r>
      <w:r w:rsidRPr="00F54559">
        <w:rPr>
          <w:rFonts w:eastAsia="Times New Roman" w:cstheme="minorHAnsi"/>
          <w:sz w:val="24"/>
        </w:rPr>
        <w:t>ets</w:t>
      </w:r>
      <w:r w:rsidRPr="00F54559">
        <w:rPr>
          <w:rFonts w:eastAsia="Times New Roman" w:cstheme="minorHAnsi"/>
          <w:spacing w:val="-5"/>
          <w:sz w:val="24"/>
        </w:rPr>
        <w:t xml:space="preserve"> </w:t>
      </w:r>
      <w:r w:rsidRPr="00F54559">
        <w:rPr>
          <w:rFonts w:eastAsia="Times New Roman" w:cstheme="minorHAnsi"/>
          <w:sz w:val="24"/>
        </w:rPr>
        <w:t>to</w:t>
      </w:r>
      <w:r w:rsidRPr="00F54559">
        <w:rPr>
          <w:rFonts w:eastAsia="Times New Roman" w:cstheme="minorHAnsi"/>
          <w:spacing w:val="-6"/>
          <w:sz w:val="24"/>
        </w:rPr>
        <w:t xml:space="preserve"> </w:t>
      </w:r>
      <w:r w:rsidRPr="00F54559">
        <w:rPr>
          <w:rFonts w:eastAsia="Times New Roman" w:cstheme="minorHAnsi"/>
          <w:sz w:val="24"/>
        </w:rPr>
        <w:t>be</w:t>
      </w:r>
      <w:r w:rsidRPr="00F54559">
        <w:rPr>
          <w:rFonts w:eastAsia="Times New Roman" w:cstheme="minorHAnsi"/>
          <w:spacing w:val="-7"/>
          <w:sz w:val="24"/>
        </w:rPr>
        <w:t xml:space="preserve"> </w:t>
      </w:r>
      <w:r w:rsidRPr="00F54559">
        <w:rPr>
          <w:rFonts w:eastAsia="Times New Roman" w:cstheme="minorHAnsi"/>
          <w:sz w:val="24"/>
        </w:rPr>
        <w:t>de</w:t>
      </w:r>
      <w:r w:rsidRPr="00F54559">
        <w:rPr>
          <w:rFonts w:eastAsia="Times New Roman" w:cstheme="minorHAnsi"/>
          <w:spacing w:val="-2"/>
          <w:sz w:val="24"/>
        </w:rPr>
        <w:t>p</w:t>
      </w:r>
      <w:r w:rsidRPr="00F54559">
        <w:rPr>
          <w:rFonts w:eastAsia="Times New Roman" w:cstheme="minorHAnsi"/>
          <w:sz w:val="24"/>
        </w:rPr>
        <w:t>l</w:t>
      </w:r>
      <w:r w:rsidRPr="00F54559">
        <w:rPr>
          <w:rFonts w:eastAsia="Times New Roman" w:cstheme="minorHAnsi"/>
          <w:spacing w:val="-1"/>
          <w:sz w:val="24"/>
        </w:rPr>
        <w:t>e</w:t>
      </w:r>
      <w:r w:rsidRPr="00F54559">
        <w:rPr>
          <w:rFonts w:eastAsia="Times New Roman" w:cstheme="minorHAnsi"/>
          <w:sz w:val="24"/>
        </w:rPr>
        <w:t xml:space="preserve">ted. The actuarially determined annual projected contribution to the Plan is </w:t>
      </w:r>
      <w:r w:rsidRPr="00E52C84">
        <w:rPr>
          <w:rFonts w:eastAsia="Times New Roman" w:cstheme="minorHAnsi"/>
          <w:sz w:val="24"/>
        </w:rPr>
        <w:t>$</w:t>
      </w:r>
      <w:r>
        <w:rPr>
          <w:rFonts w:eastAsia="Times New Roman" w:cstheme="minorHAnsi"/>
          <w:sz w:val="24"/>
        </w:rPr>
        <w:t>672</w:t>
      </w:r>
      <w:r w:rsidRPr="00F54559">
        <w:rPr>
          <w:rFonts w:eastAsia="Times New Roman" w:cstheme="minorHAnsi"/>
          <w:sz w:val="24"/>
        </w:rPr>
        <w:t xml:space="preserve"> through and including FY</w:t>
      </w:r>
      <w:r>
        <w:rPr>
          <w:rFonts w:eastAsia="Times New Roman" w:cstheme="minorHAnsi"/>
          <w:sz w:val="24"/>
        </w:rPr>
        <w:t>51</w:t>
      </w:r>
      <w:r w:rsidRPr="00F54559">
        <w:rPr>
          <w:rFonts w:eastAsia="Times New Roman" w:cstheme="minorHAnsi"/>
          <w:sz w:val="24"/>
        </w:rPr>
        <w:t>, at which point the projected fiduciary net position is estimated to be sufficient to meet annual benefit payments; however, any</w:t>
      </w:r>
      <w:r w:rsidRPr="00F54559">
        <w:rPr>
          <w:rFonts w:eastAsia="Times New Roman" w:cstheme="minorHAnsi"/>
          <w:spacing w:val="-4"/>
          <w:sz w:val="24"/>
        </w:rPr>
        <w:t xml:space="preserve"> </w:t>
      </w:r>
      <w:r w:rsidRPr="00F54559">
        <w:rPr>
          <w:rFonts w:eastAsia="Times New Roman" w:cstheme="minorHAnsi"/>
          <w:spacing w:val="-1"/>
          <w:sz w:val="24"/>
        </w:rPr>
        <w:t>r</w:t>
      </w:r>
      <w:r w:rsidRPr="00F54559">
        <w:rPr>
          <w:rFonts w:eastAsia="Times New Roman" w:cstheme="minorHAnsi"/>
          <w:sz w:val="24"/>
        </w:rPr>
        <w:t>e</w:t>
      </w:r>
      <w:r w:rsidRPr="00F54559">
        <w:rPr>
          <w:rFonts w:eastAsia="Times New Roman" w:cstheme="minorHAnsi"/>
          <w:spacing w:val="-2"/>
          <w:sz w:val="24"/>
        </w:rPr>
        <w:t>q</w:t>
      </w:r>
      <w:r w:rsidRPr="00F54559">
        <w:rPr>
          <w:rFonts w:eastAsia="Times New Roman" w:cstheme="minorHAnsi"/>
          <w:sz w:val="24"/>
        </w:rPr>
        <w:t>ui</w:t>
      </w:r>
      <w:r w:rsidRPr="00F54559">
        <w:rPr>
          <w:rFonts w:eastAsia="Times New Roman" w:cstheme="minorHAnsi"/>
          <w:spacing w:val="-1"/>
          <w:sz w:val="24"/>
        </w:rPr>
        <w:t>r</w:t>
      </w:r>
      <w:r w:rsidRPr="00F54559">
        <w:rPr>
          <w:rFonts w:eastAsia="Times New Roman" w:cstheme="minorHAnsi"/>
          <w:sz w:val="24"/>
        </w:rPr>
        <w:t>ed</w:t>
      </w:r>
      <w:r w:rsidRPr="00F54559">
        <w:rPr>
          <w:rFonts w:eastAsia="Times New Roman" w:cstheme="minorHAnsi"/>
          <w:spacing w:val="-3"/>
          <w:sz w:val="24"/>
        </w:rPr>
        <w:t xml:space="preserve">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ibution</w:t>
      </w:r>
      <w:r w:rsidRPr="00F54559">
        <w:rPr>
          <w:rFonts w:eastAsia="Times New Roman" w:cstheme="minorHAnsi"/>
          <w:spacing w:val="-1"/>
          <w:sz w:val="24"/>
        </w:rPr>
        <w:t xml:space="preserve"> </w:t>
      </w:r>
      <w:r w:rsidRPr="00F54559">
        <w:rPr>
          <w:rFonts w:eastAsia="Times New Roman" w:cstheme="minorHAnsi"/>
          <w:sz w:val="24"/>
        </w:rPr>
        <w:t>a</w:t>
      </w:r>
      <w:r w:rsidRPr="00F54559">
        <w:rPr>
          <w:rFonts w:eastAsia="Times New Roman" w:cstheme="minorHAnsi"/>
          <w:spacing w:val="1"/>
          <w:sz w:val="24"/>
        </w:rPr>
        <w:t>m</w:t>
      </w:r>
      <w:r w:rsidRPr="00F54559">
        <w:rPr>
          <w:rFonts w:eastAsia="Times New Roman" w:cstheme="minorHAnsi"/>
          <w:sz w:val="24"/>
        </w:rPr>
        <w:t>ount</w:t>
      </w:r>
      <w:r w:rsidRPr="00F54559">
        <w:rPr>
          <w:rFonts w:eastAsia="Times New Roman" w:cstheme="minorHAnsi"/>
          <w:spacing w:val="-2"/>
          <w:sz w:val="24"/>
        </w:rPr>
        <w:t xml:space="preserve"> </w:t>
      </w:r>
      <w:r w:rsidRPr="00F54559">
        <w:rPr>
          <w:rFonts w:eastAsia="Times New Roman" w:cstheme="minorHAnsi"/>
          <w:sz w:val="24"/>
        </w:rPr>
        <w:t>will</w:t>
      </w:r>
      <w:r w:rsidRPr="00F54559">
        <w:rPr>
          <w:rFonts w:eastAsia="Times New Roman" w:cstheme="minorHAnsi"/>
          <w:spacing w:val="-5"/>
          <w:sz w:val="24"/>
        </w:rPr>
        <w:t xml:space="preserve"> </w:t>
      </w:r>
      <w:r w:rsidRPr="00F54559">
        <w:rPr>
          <w:rFonts w:eastAsia="Times New Roman" w:cstheme="minorHAnsi"/>
          <w:spacing w:val="1"/>
          <w:sz w:val="24"/>
        </w:rPr>
        <w:t>b</w:t>
      </w:r>
      <w:r w:rsidRPr="00F54559">
        <w:rPr>
          <w:rFonts w:eastAsia="Times New Roman" w:cstheme="minorHAnsi"/>
          <w:sz w:val="24"/>
        </w:rPr>
        <w:t>e</w:t>
      </w:r>
      <w:r w:rsidRPr="00F54559">
        <w:rPr>
          <w:rFonts w:eastAsia="Times New Roman" w:cstheme="minorHAnsi"/>
          <w:spacing w:val="-3"/>
          <w:sz w:val="24"/>
        </w:rPr>
        <w:t xml:space="preserve"> </w:t>
      </w:r>
      <w:r w:rsidRPr="00F54559">
        <w:rPr>
          <w:rFonts w:eastAsia="Times New Roman" w:cstheme="minorHAnsi"/>
          <w:spacing w:val="-1"/>
          <w:sz w:val="24"/>
        </w:rPr>
        <w:t>r</w:t>
      </w:r>
      <w:r w:rsidRPr="00F54559">
        <w:rPr>
          <w:rFonts w:eastAsia="Times New Roman" w:cstheme="minorHAnsi"/>
          <w:sz w:val="24"/>
        </w:rPr>
        <w:t>e-dete</w:t>
      </w:r>
      <w:r w:rsidRPr="00F54559">
        <w:rPr>
          <w:rFonts w:eastAsia="Times New Roman" w:cstheme="minorHAnsi"/>
          <w:spacing w:val="-1"/>
          <w:sz w:val="24"/>
        </w:rPr>
        <w:t>r</w:t>
      </w:r>
      <w:r w:rsidRPr="00F54559">
        <w:rPr>
          <w:rFonts w:eastAsia="Times New Roman" w:cstheme="minorHAnsi"/>
          <w:sz w:val="24"/>
        </w:rPr>
        <w:t>mined with</w:t>
      </w:r>
      <w:r w:rsidRPr="00F54559">
        <w:rPr>
          <w:rFonts w:eastAsia="Times New Roman" w:cstheme="minorHAnsi"/>
          <w:spacing w:val="-3"/>
          <w:sz w:val="24"/>
        </w:rPr>
        <w:t xml:space="preserve"> </w:t>
      </w:r>
      <w:r w:rsidRPr="00F54559">
        <w:rPr>
          <w:rFonts w:eastAsia="Times New Roman" w:cstheme="minorHAnsi"/>
          <w:sz w:val="24"/>
        </w:rPr>
        <w:t>each actua</w:t>
      </w:r>
      <w:r w:rsidRPr="00F54559">
        <w:rPr>
          <w:rFonts w:eastAsia="Times New Roman" w:cstheme="minorHAnsi"/>
          <w:spacing w:val="-1"/>
          <w:sz w:val="24"/>
        </w:rPr>
        <w:t>r</w:t>
      </w:r>
      <w:r w:rsidRPr="00F54559">
        <w:rPr>
          <w:rFonts w:eastAsia="Times New Roman" w:cstheme="minorHAnsi"/>
          <w:sz w:val="24"/>
        </w:rPr>
        <w:t>ial</w:t>
      </w:r>
      <w:r w:rsidRPr="00F54559">
        <w:rPr>
          <w:rFonts w:eastAsia="Times New Roman" w:cstheme="minorHAnsi"/>
          <w:spacing w:val="-3"/>
          <w:sz w:val="24"/>
        </w:rPr>
        <w:t xml:space="preserve"> </w:t>
      </w:r>
      <w:r w:rsidRPr="00F54559">
        <w:rPr>
          <w:rFonts w:eastAsia="Times New Roman" w:cstheme="minorHAnsi"/>
          <w:spacing w:val="-1"/>
          <w:sz w:val="24"/>
        </w:rPr>
        <w:t>v</w:t>
      </w:r>
      <w:r w:rsidRPr="00F54559">
        <w:rPr>
          <w:rFonts w:eastAsia="Times New Roman" w:cstheme="minorHAnsi"/>
          <w:sz w:val="24"/>
        </w:rPr>
        <w:t>alua</w:t>
      </w:r>
      <w:r w:rsidRPr="00F54559">
        <w:rPr>
          <w:rFonts w:eastAsia="Times New Roman" w:cstheme="minorHAnsi"/>
          <w:spacing w:val="1"/>
          <w:sz w:val="24"/>
        </w:rPr>
        <w:t>t</w:t>
      </w:r>
      <w:r w:rsidRPr="00F54559">
        <w:rPr>
          <w:rFonts w:eastAsia="Times New Roman" w:cstheme="minorHAnsi"/>
          <w:sz w:val="24"/>
        </w:rPr>
        <w:t>ion</w:t>
      </w:r>
      <w:r w:rsidRPr="00F54559">
        <w:rPr>
          <w:rFonts w:eastAsia="Times New Roman" w:cstheme="minorHAnsi"/>
          <w:spacing w:val="-1"/>
          <w:sz w:val="24"/>
        </w:rPr>
        <w:t xml:space="preserve"> </w:t>
      </w:r>
      <w:r w:rsidRPr="00F54559">
        <w:rPr>
          <w:rFonts w:eastAsia="Times New Roman" w:cstheme="minorHAnsi"/>
          <w:sz w:val="24"/>
        </w:rPr>
        <w:t>as</w:t>
      </w:r>
      <w:r w:rsidRPr="00F54559">
        <w:rPr>
          <w:rFonts w:eastAsia="Times New Roman" w:cstheme="minorHAnsi"/>
          <w:spacing w:val="-2"/>
          <w:sz w:val="24"/>
        </w:rPr>
        <w:t xml:space="preserve"> </w:t>
      </w:r>
      <w:r w:rsidRPr="00F54559">
        <w:rPr>
          <w:rFonts w:eastAsia="Times New Roman" w:cstheme="minorHAnsi"/>
          <w:sz w:val="24"/>
        </w:rPr>
        <w:t>ma</w:t>
      </w:r>
      <w:r w:rsidRPr="00F54559">
        <w:rPr>
          <w:rFonts w:eastAsia="Times New Roman" w:cstheme="minorHAnsi"/>
          <w:spacing w:val="-1"/>
          <w:sz w:val="24"/>
        </w:rPr>
        <w:t>r</w:t>
      </w:r>
      <w:r w:rsidRPr="00F54559">
        <w:rPr>
          <w:rFonts w:eastAsia="Times New Roman" w:cstheme="minorHAnsi"/>
          <w:sz w:val="24"/>
        </w:rPr>
        <w:t>ket</w:t>
      </w:r>
      <w:r w:rsidRPr="00F54559">
        <w:rPr>
          <w:rFonts w:eastAsia="Times New Roman" w:cstheme="minorHAnsi"/>
          <w:w w:val="99"/>
          <w:sz w:val="24"/>
        </w:rPr>
        <w:t xml:space="preserve"> </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fo</w:t>
      </w:r>
      <w:r w:rsidRPr="00F54559">
        <w:rPr>
          <w:rFonts w:eastAsia="Times New Roman" w:cstheme="minorHAnsi"/>
          <w:spacing w:val="-1"/>
          <w:sz w:val="24"/>
        </w:rPr>
        <w:t>r</w:t>
      </w:r>
      <w:r w:rsidRPr="00F54559">
        <w:rPr>
          <w:rFonts w:eastAsia="Times New Roman" w:cstheme="minorHAnsi"/>
          <w:sz w:val="24"/>
        </w:rPr>
        <w:t>mance</w:t>
      </w:r>
      <w:r w:rsidRPr="00F54559">
        <w:rPr>
          <w:rFonts w:eastAsia="Times New Roman" w:cstheme="minorHAnsi"/>
          <w:spacing w:val="-7"/>
          <w:sz w:val="24"/>
        </w:rPr>
        <w:t xml:space="preserve"> </w:t>
      </w:r>
      <w:r w:rsidRPr="00F54559">
        <w:rPr>
          <w:rFonts w:eastAsia="Times New Roman" w:cstheme="minorHAnsi"/>
          <w:sz w:val="24"/>
        </w:rPr>
        <w:t>and</w:t>
      </w:r>
      <w:r w:rsidRPr="00F54559">
        <w:rPr>
          <w:rFonts w:eastAsia="Times New Roman" w:cstheme="minorHAnsi"/>
          <w:spacing w:val="-6"/>
          <w:sz w:val="24"/>
        </w:rPr>
        <w:t xml:space="preserve"> </w:t>
      </w:r>
      <w:r w:rsidRPr="00F54559">
        <w:rPr>
          <w:rFonts w:eastAsia="Times New Roman" w:cstheme="minorHAnsi"/>
          <w:sz w:val="24"/>
        </w:rPr>
        <w:t>other</w:t>
      </w:r>
      <w:r w:rsidRPr="00F54559">
        <w:rPr>
          <w:rFonts w:eastAsia="Times New Roman" w:cstheme="minorHAnsi"/>
          <w:spacing w:val="-7"/>
          <w:sz w:val="24"/>
        </w:rPr>
        <w:t xml:space="preserve"> </w:t>
      </w:r>
      <w:r w:rsidRPr="00F54559">
        <w:rPr>
          <w:rFonts w:eastAsia="Times New Roman" w:cstheme="minorHAnsi"/>
          <w:sz w:val="24"/>
        </w:rPr>
        <w:t>fa</w:t>
      </w:r>
      <w:r w:rsidRPr="00F54559">
        <w:rPr>
          <w:rFonts w:eastAsia="Times New Roman" w:cstheme="minorHAnsi"/>
          <w:spacing w:val="1"/>
          <w:sz w:val="24"/>
        </w:rPr>
        <w:t>c</w:t>
      </w:r>
      <w:r w:rsidRPr="00F54559">
        <w:rPr>
          <w:rFonts w:eastAsia="Times New Roman" w:cstheme="minorHAnsi"/>
          <w:sz w:val="24"/>
        </w:rPr>
        <w:t>to</w:t>
      </w:r>
      <w:r w:rsidRPr="00F54559">
        <w:rPr>
          <w:rFonts w:eastAsia="Times New Roman" w:cstheme="minorHAnsi"/>
          <w:spacing w:val="-2"/>
          <w:sz w:val="24"/>
        </w:rPr>
        <w:t>r</w:t>
      </w:r>
      <w:r w:rsidRPr="00F54559">
        <w:rPr>
          <w:rFonts w:eastAsia="Times New Roman" w:cstheme="minorHAnsi"/>
          <w:sz w:val="24"/>
        </w:rPr>
        <w:t>s</w:t>
      </w:r>
      <w:r w:rsidRPr="00F54559">
        <w:rPr>
          <w:rFonts w:eastAsia="Times New Roman" w:cstheme="minorHAnsi"/>
          <w:spacing w:val="-5"/>
          <w:sz w:val="24"/>
        </w:rPr>
        <w:t xml:space="preserve"> </w:t>
      </w:r>
      <w:r w:rsidRPr="00F54559">
        <w:rPr>
          <w:rFonts w:eastAsia="Times New Roman" w:cstheme="minorHAnsi"/>
          <w:sz w:val="24"/>
        </w:rPr>
        <w:t>will</w:t>
      </w:r>
      <w:r w:rsidRPr="00F54559">
        <w:rPr>
          <w:rFonts w:eastAsia="Times New Roman" w:cstheme="minorHAnsi"/>
          <w:spacing w:val="-7"/>
          <w:sz w:val="24"/>
        </w:rPr>
        <w:t xml:space="preserve"> </w:t>
      </w:r>
      <w:r w:rsidRPr="00F54559">
        <w:rPr>
          <w:rFonts w:eastAsia="Times New Roman" w:cstheme="minorHAnsi"/>
          <w:sz w:val="24"/>
        </w:rPr>
        <w:t>im</w:t>
      </w:r>
      <w:r w:rsidRPr="00F54559">
        <w:rPr>
          <w:rFonts w:eastAsia="Times New Roman" w:cstheme="minorHAnsi"/>
          <w:spacing w:val="-1"/>
          <w:sz w:val="24"/>
        </w:rPr>
        <w:t>p</w:t>
      </w:r>
      <w:r w:rsidRPr="00F54559">
        <w:rPr>
          <w:rFonts w:eastAsia="Times New Roman" w:cstheme="minorHAnsi"/>
          <w:sz w:val="24"/>
        </w:rPr>
        <w:t>act</w:t>
      </w:r>
      <w:r w:rsidRPr="00F54559">
        <w:rPr>
          <w:rFonts w:eastAsia="Times New Roman" w:cstheme="minorHAnsi"/>
          <w:spacing w:val="-5"/>
          <w:sz w:val="24"/>
        </w:rPr>
        <w:t xml:space="preserve"> </w:t>
      </w:r>
      <w:r w:rsidRPr="00F54559">
        <w:rPr>
          <w:rFonts w:eastAsia="Times New Roman" w:cstheme="minorHAnsi"/>
          <w:sz w:val="24"/>
        </w:rPr>
        <w:t>the</w:t>
      </w:r>
      <w:r w:rsidRPr="00F54559">
        <w:rPr>
          <w:rFonts w:eastAsia="Times New Roman" w:cstheme="minorHAnsi"/>
          <w:spacing w:val="-7"/>
          <w:sz w:val="24"/>
        </w:rPr>
        <w:t xml:space="preserve"> </w:t>
      </w:r>
      <w:r w:rsidRPr="00F54559">
        <w:rPr>
          <w:rFonts w:eastAsia="Times New Roman" w:cstheme="minorHAnsi"/>
          <w:sz w:val="24"/>
        </w:rPr>
        <w:t>r</w:t>
      </w:r>
      <w:r w:rsidRPr="00F54559">
        <w:rPr>
          <w:rFonts w:eastAsia="Times New Roman" w:cstheme="minorHAnsi"/>
          <w:spacing w:val="-1"/>
          <w:sz w:val="24"/>
        </w:rPr>
        <w:t>e</w:t>
      </w:r>
      <w:r w:rsidRPr="00F54559">
        <w:rPr>
          <w:rFonts w:eastAsia="Times New Roman" w:cstheme="minorHAnsi"/>
          <w:spacing w:val="-2"/>
          <w:sz w:val="24"/>
        </w:rPr>
        <w:t>q</w:t>
      </w:r>
      <w:r w:rsidRPr="00F54559">
        <w:rPr>
          <w:rFonts w:eastAsia="Times New Roman" w:cstheme="minorHAnsi"/>
          <w:sz w:val="24"/>
        </w:rPr>
        <w:t>ui</w:t>
      </w:r>
      <w:r w:rsidRPr="00F54559">
        <w:rPr>
          <w:rFonts w:eastAsia="Times New Roman" w:cstheme="minorHAnsi"/>
          <w:spacing w:val="-1"/>
          <w:sz w:val="24"/>
        </w:rPr>
        <w:t>r</w:t>
      </w:r>
      <w:r w:rsidRPr="00F54559">
        <w:rPr>
          <w:rFonts w:eastAsia="Times New Roman" w:cstheme="minorHAnsi"/>
          <w:sz w:val="24"/>
        </w:rPr>
        <w:t>ed</w:t>
      </w:r>
      <w:r w:rsidRPr="00F54559">
        <w:rPr>
          <w:rFonts w:eastAsia="Times New Roman" w:cstheme="minorHAnsi"/>
          <w:spacing w:val="-6"/>
          <w:sz w:val="24"/>
        </w:rPr>
        <w:t xml:space="preserve"> </w:t>
      </w:r>
      <w:r w:rsidRPr="00F54559">
        <w:rPr>
          <w:rFonts w:eastAsia="Times New Roman" w:cstheme="minorHAnsi"/>
          <w:sz w:val="24"/>
        </w:rPr>
        <w:t>fu</w:t>
      </w:r>
      <w:r w:rsidRPr="00F54559">
        <w:rPr>
          <w:rFonts w:eastAsia="Times New Roman" w:cstheme="minorHAnsi"/>
          <w:spacing w:val="1"/>
          <w:sz w:val="24"/>
        </w:rPr>
        <w:t>t</w:t>
      </w:r>
      <w:r w:rsidRPr="00F54559">
        <w:rPr>
          <w:rFonts w:eastAsia="Times New Roman" w:cstheme="minorHAnsi"/>
          <w:sz w:val="24"/>
        </w:rPr>
        <w:t>u</w:t>
      </w:r>
      <w:r w:rsidRPr="00F54559">
        <w:rPr>
          <w:rFonts w:eastAsia="Times New Roman" w:cstheme="minorHAnsi"/>
          <w:spacing w:val="-1"/>
          <w:sz w:val="24"/>
        </w:rPr>
        <w:t>r</w:t>
      </w:r>
      <w:r w:rsidRPr="00F54559">
        <w:rPr>
          <w:rFonts w:eastAsia="Times New Roman" w:cstheme="minorHAnsi"/>
          <w:sz w:val="24"/>
        </w:rPr>
        <w:t>e</w:t>
      </w:r>
      <w:r w:rsidRPr="00F54559">
        <w:rPr>
          <w:rFonts w:eastAsia="Times New Roman" w:cstheme="minorHAnsi"/>
          <w:spacing w:val="-7"/>
          <w:sz w:val="24"/>
        </w:rPr>
        <w:t xml:space="preserve"> </w:t>
      </w:r>
      <w:r w:rsidRPr="00F54559">
        <w:rPr>
          <w:rFonts w:eastAsia="Times New Roman" w:cstheme="minorHAnsi"/>
          <w:sz w:val="24"/>
        </w:rPr>
        <w:t>fun</w:t>
      </w:r>
      <w:r w:rsidRPr="00F54559">
        <w:rPr>
          <w:rFonts w:eastAsia="Times New Roman" w:cstheme="minorHAnsi"/>
          <w:spacing w:val="1"/>
          <w:sz w:val="24"/>
        </w:rPr>
        <w:t>d</w:t>
      </w:r>
      <w:r w:rsidRPr="00F54559">
        <w:rPr>
          <w:rFonts w:eastAsia="Times New Roman" w:cstheme="minorHAnsi"/>
          <w:sz w:val="24"/>
        </w:rPr>
        <w:t>ing. Funding</w:t>
      </w:r>
      <w:r w:rsidRPr="00F54559">
        <w:rPr>
          <w:rFonts w:eastAsia="Times New Roman" w:cstheme="minorHAnsi"/>
          <w:spacing w:val="5"/>
          <w:sz w:val="24"/>
        </w:rPr>
        <w:t xml:space="preserve"> </w:t>
      </w:r>
      <w:r w:rsidRPr="00F54559">
        <w:rPr>
          <w:rFonts w:eastAsia="Times New Roman" w:cstheme="minorHAnsi"/>
          <w:sz w:val="24"/>
        </w:rPr>
        <w:t>the</w:t>
      </w:r>
      <w:r w:rsidRPr="00F54559">
        <w:rPr>
          <w:rFonts w:eastAsia="Times New Roman" w:cstheme="minorHAnsi"/>
          <w:spacing w:val="5"/>
          <w:sz w:val="24"/>
        </w:rPr>
        <w:t xml:space="preserve"> </w:t>
      </w:r>
      <w:r w:rsidRPr="00F54559">
        <w:rPr>
          <w:rFonts w:eastAsia="Times New Roman" w:cstheme="minorHAnsi"/>
          <w:spacing w:val="-1"/>
          <w:sz w:val="24"/>
        </w:rPr>
        <w:t>P</w:t>
      </w:r>
      <w:r w:rsidRPr="00F54559">
        <w:rPr>
          <w:rFonts w:eastAsia="Times New Roman" w:cstheme="minorHAnsi"/>
          <w:sz w:val="24"/>
        </w:rPr>
        <w:t>lan</w:t>
      </w:r>
      <w:r w:rsidRPr="00F54559">
        <w:rPr>
          <w:rFonts w:eastAsia="Times New Roman" w:cstheme="minorHAnsi"/>
          <w:spacing w:val="4"/>
          <w:sz w:val="24"/>
        </w:rPr>
        <w:t xml:space="preserve"> </w:t>
      </w:r>
      <w:r w:rsidRPr="00F54559">
        <w:rPr>
          <w:rFonts w:eastAsia="Times New Roman" w:cstheme="minorHAnsi"/>
          <w:sz w:val="24"/>
        </w:rPr>
        <w:t>o</w:t>
      </w:r>
      <w:r w:rsidRPr="00F54559">
        <w:rPr>
          <w:rFonts w:eastAsia="Times New Roman" w:cstheme="minorHAnsi"/>
          <w:spacing w:val="-2"/>
          <w:sz w:val="24"/>
        </w:rPr>
        <w:t>v</w:t>
      </w:r>
      <w:r w:rsidRPr="00F54559">
        <w:rPr>
          <w:rFonts w:eastAsia="Times New Roman" w:cstheme="minorHAnsi"/>
          <w:sz w:val="24"/>
        </w:rPr>
        <w:t>er</w:t>
      </w:r>
      <w:r w:rsidRPr="00F54559">
        <w:rPr>
          <w:rFonts w:eastAsia="Times New Roman" w:cstheme="minorHAnsi"/>
          <w:spacing w:val="4"/>
          <w:sz w:val="24"/>
        </w:rPr>
        <w:t xml:space="preserve"> </w:t>
      </w:r>
      <w:r w:rsidRPr="00F54559">
        <w:rPr>
          <w:rFonts w:eastAsia="Times New Roman" w:cstheme="minorHAnsi"/>
          <w:sz w:val="24"/>
        </w:rPr>
        <w:t>the</w:t>
      </w:r>
      <w:r w:rsidRPr="00F54559">
        <w:rPr>
          <w:rFonts w:eastAsia="Times New Roman" w:cstheme="minorHAnsi"/>
          <w:spacing w:val="4"/>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ng-te</w:t>
      </w:r>
      <w:r w:rsidRPr="00F54559">
        <w:rPr>
          <w:rFonts w:eastAsia="Times New Roman" w:cstheme="minorHAnsi"/>
          <w:spacing w:val="-2"/>
          <w:sz w:val="24"/>
        </w:rPr>
        <w:t>r</w:t>
      </w:r>
      <w:r w:rsidRPr="00F54559">
        <w:rPr>
          <w:rFonts w:eastAsia="Times New Roman" w:cstheme="minorHAnsi"/>
          <w:sz w:val="24"/>
        </w:rPr>
        <w:t>m</w:t>
      </w:r>
      <w:r w:rsidRPr="00F54559">
        <w:rPr>
          <w:rFonts w:eastAsia="Times New Roman" w:cstheme="minorHAnsi"/>
          <w:spacing w:val="7"/>
          <w:sz w:val="24"/>
        </w:rPr>
        <w:t xml:space="preserve"> </w:t>
      </w:r>
      <w:r w:rsidRPr="00F54559">
        <w:rPr>
          <w:rFonts w:eastAsia="Times New Roman" w:cstheme="minorHAnsi"/>
          <w:sz w:val="24"/>
        </w:rPr>
        <w:t>allo</w:t>
      </w:r>
      <w:r w:rsidRPr="00F54559">
        <w:rPr>
          <w:rFonts w:eastAsia="Times New Roman" w:cstheme="minorHAnsi"/>
          <w:spacing w:val="-1"/>
          <w:sz w:val="24"/>
        </w:rPr>
        <w:t>w</w:t>
      </w:r>
      <w:r w:rsidRPr="00F54559">
        <w:rPr>
          <w:rFonts w:eastAsia="Times New Roman" w:cstheme="minorHAnsi"/>
          <w:sz w:val="24"/>
        </w:rPr>
        <w:t>s</w:t>
      </w:r>
      <w:r w:rsidRPr="00F54559">
        <w:rPr>
          <w:rFonts w:eastAsia="Times New Roman" w:cstheme="minorHAnsi"/>
          <w:spacing w:val="3"/>
          <w:sz w:val="24"/>
        </w:rPr>
        <w:t xml:space="preserve"> </w:t>
      </w:r>
      <w:r w:rsidRPr="00F54559">
        <w:rPr>
          <w:rFonts w:eastAsia="Times New Roman" w:cstheme="minorHAnsi"/>
          <w:spacing w:val="-1"/>
          <w:sz w:val="24"/>
        </w:rPr>
        <w:t>the System</w:t>
      </w:r>
      <w:r w:rsidRPr="00F54559">
        <w:rPr>
          <w:rFonts w:eastAsia="Times New Roman" w:cstheme="minorHAnsi"/>
          <w:spacing w:val="4"/>
          <w:sz w:val="24"/>
        </w:rPr>
        <w:t xml:space="preserve"> </w:t>
      </w:r>
      <w:r w:rsidRPr="00F54559">
        <w:rPr>
          <w:rFonts w:eastAsia="Times New Roman" w:cstheme="minorHAnsi"/>
          <w:spacing w:val="1"/>
          <w:sz w:val="24"/>
        </w:rPr>
        <w:t>t</w:t>
      </w:r>
      <w:r w:rsidRPr="00F54559">
        <w:rPr>
          <w:rFonts w:eastAsia="Times New Roman" w:cstheme="minorHAnsi"/>
          <w:sz w:val="24"/>
        </w:rPr>
        <w:t>o</w:t>
      </w:r>
      <w:r w:rsidRPr="00F54559">
        <w:rPr>
          <w:rFonts w:eastAsia="Times New Roman" w:cstheme="minorHAnsi"/>
          <w:spacing w:val="2"/>
          <w:sz w:val="24"/>
        </w:rPr>
        <w:t xml:space="preserve"> minimize</w:t>
      </w:r>
      <w:r w:rsidRPr="00F54559">
        <w:rPr>
          <w:rFonts w:eastAsia="Times New Roman" w:cstheme="minorHAnsi"/>
          <w:spacing w:val="3"/>
          <w:sz w:val="24"/>
        </w:rPr>
        <w:t xml:space="preserve">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ibution</w:t>
      </w:r>
      <w:r w:rsidRPr="00F54559">
        <w:rPr>
          <w:rFonts w:eastAsia="Times New Roman" w:cstheme="minorHAnsi"/>
          <w:w w:val="99"/>
          <w:sz w:val="24"/>
        </w:rPr>
        <w:t xml:space="preserve"> </w:t>
      </w:r>
      <w:r w:rsidRPr="00F54559">
        <w:rPr>
          <w:rFonts w:eastAsia="Times New Roman" w:cstheme="minorHAnsi"/>
          <w:spacing w:val="-1"/>
          <w:sz w:val="24"/>
        </w:rPr>
        <w:t>v</w:t>
      </w:r>
      <w:r w:rsidRPr="00F54559">
        <w:rPr>
          <w:rFonts w:eastAsia="Times New Roman" w:cstheme="minorHAnsi"/>
          <w:sz w:val="24"/>
        </w:rPr>
        <w:t>o</w:t>
      </w:r>
      <w:r w:rsidRPr="00F54559">
        <w:rPr>
          <w:rFonts w:eastAsia="Times New Roman" w:cstheme="minorHAnsi"/>
          <w:spacing w:val="-1"/>
          <w:sz w:val="24"/>
        </w:rPr>
        <w:t>l</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ilit</w:t>
      </w:r>
      <w:r w:rsidRPr="00F54559">
        <w:rPr>
          <w:rFonts w:eastAsia="Times New Roman" w:cstheme="minorHAnsi"/>
          <w:spacing w:val="-1"/>
          <w:sz w:val="24"/>
        </w:rPr>
        <w:t>y</w:t>
      </w:r>
      <w:r w:rsidRPr="00F54559">
        <w:rPr>
          <w:rFonts w:eastAsia="Times New Roman" w:cstheme="minorHAnsi"/>
          <w:sz w:val="24"/>
        </w:rPr>
        <w:t>.</w:t>
      </w:r>
    </w:p>
    <w:p w14:paraId="7952AA20" w14:textId="77777777" w:rsidR="00051D7E" w:rsidRPr="00F54559" w:rsidRDefault="00051D7E" w:rsidP="00051D7E">
      <w:pPr>
        <w:ind w:left="180" w:right="-7"/>
        <w:rPr>
          <w:rFonts w:eastAsia="Times New Roman" w:cstheme="minorHAnsi"/>
        </w:rPr>
      </w:pPr>
    </w:p>
    <w:p w14:paraId="7355867B" w14:textId="77777777" w:rsidR="00051D7E" w:rsidRPr="00F54559" w:rsidRDefault="00051D7E" w:rsidP="00051D7E">
      <w:pPr>
        <w:ind w:right="-7"/>
        <w:rPr>
          <w:rFonts w:eastAsia="Times New Roman" w:cstheme="minorHAnsi"/>
          <w:sz w:val="24"/>
        </w:rPr>
      </w:pPr>
      <w:r w:rsidRPr="00F54559">
        <w:rPr>
          <w:rFonts w:eastAsia="Times New Roman" w:cstheme="minorHAnsi"/>
          <w:spacing w:val="-2"/>
          <w:sz w:val="24"/>
        </w:rPr>
        <w:t>E</w:t>
      </w:r>
      <w:r w:rsidRPr="00F54559">
        <w:rPr>
          <w:rFonts w:eastAsia="Times New Roman" w:cstheme="minorHAnsi"/>
          <w:sz w:val="24"/>
        </w:rPr>
        <w:t>m</w:t>
      </w:r>
      <w:r w:rsidRPr="00F54559">
        <w:rPr>
          <w:rFonts w:eastAsia="Times New Roman" w:cstheme="minorHAnsi"/>
          <w:spacing w:val="-1"/>
          <w:sz w:val="24"/>
        </w:rPr>
        <w:t>p</w:t>
      </w:r>
      <w:r w:rsidRPr="00F54559">
        <w:rPr>
          <w:rFonts w:eastAsia="Times New Roman" w:cstheme="minorHAnsi"/>
          <w:sz w:val="24"/>
        </w:rPr>
        <w:t>l</w:t>
      </w:r>
      <w:r w:rsidRPr="00F54559">
        <w:rPr>
          <w:rFonts w:eastAsia="Times New Roman" w:cstheme="minorHAnsi"/>
          <w:spacing w:val="-1"/>
          <w:sz w:val="24"/>
        </w:rPr>
        <w:t>oy</w:t>
      </w:r>
      <w:r w:rsidRPr="00F54559">
        <w:rPr>
          <w:rFonts w:eastAsia="Times New Roman" w:cstheme="minorHAnsi"/>
          <w:sz w:val="24"/>
        </w:rPr>
        <w:t>e</w:t>
      </w:r>
      <w:r w:rsidRPr="00F54559">
        <w:rPr>
          <w:rFonts w:eastAsia="Times New Roman" w:cstheme="minorHAnsi"/>
          <w:spacing w:val="-1"/>
          <w:sz w:val="24"/>
        </w:rPr>
        <w:t>e</w:t>
      </w:r>
      <w:r w:rsidRPr="00F54559">
        <w:rPr>
          <w:rFonts w:eastAsia="Times New Roman" w:cstheme="minorHAnsi"/>
          <w:sz w:val="24"/>
        </w:rPr>
        <w:t>s</w:t>
      </w:r>
      <w:r w:rsidRPr="00F54559">
        <w:rPr>
          <w:rFonts w:eastAsia="Times New Roman" w:cstheme="minorHAnsi"/>
          <w:spacing w:val="-6"/>
          <w:sz w:val="24"/>
        </w:rPr>
        <w:t xml:space="preserve"> </w:t>
      </w:r>
      <w:r w:rsidRPr="00F54559">
        <w:rPr>
          <w:rFonts w:eastAsia="Times New Roman" w:cstheme="minorHAnsi"/>
          <w:sz w:val="24"/>
        </w:rPr>
        <w:t>do</w:t>
      </w:r>
      <w:r w:rsidRPr="00F54559">
        <w:rPr>
          <w:rFonts w:eastAsia="Times New Roman" w:cstheme="minorHAnsi"/>
          <w:spacing w:val="-7"/>
          <w:sz w:val="24"/>
        </w:rPr>
        <w:t xml:space="preserve"> </w:t>
      </w:r>
      <w:r w:rsidRPr="00F54559">
        <w:rPr>
          <w:rFonts w:eastAsia="Times New Roman" w:cstheme="minorHAnsi"/>
          <w:sz w:val="24"/>
        </w:rPr>
        <w:t>not</w:t>
      </w:r>
      <w:r w:rsidRPr="00F54559">
        <w:rPr>
          <w:rFonts w:eastAsia="Times New Roman" w:cstheme="minorHAnsi"/>
          <w:spacing w:val="-5"/>
          <w:sz w:val="24"/>
        </w:rPr>
        <w:t xml:space="preserve"> </w:t>
      </w:r>
      <w:r w:rsidRPr="00F54559">
        <w:rPr>
          <w:rFonts w:eastAsia="Times New Roman" w:cstheme="minorHAnsi"/>
          <w:sz w:val="24"/>
        </w:rPr>
        <w:t>ma</w:t>
      </w:r>
      <w:r w:rsidRPr="00F54559">
        <w:rPr>
          <w:rFonts w:eastAsia="Times New Roman" w:cstheme="minorHAnsi"/>
          <w:spacing w:val="1"/>
          <w:sz w:val="24"/>
        </w:rPr>
        <w:t>k</w:t>
      </w:r>
      <w:r w:rsidRPr="00F54559">
        <w:rPr>
          <w:rFonts w:eastAsia="Times New Roman" w:cstheme="minorHAnsi"/>
          <w:sz w:val="24"/>
        </w:rPr>
        <w:t>e</w:t>
      </w:r>
      <w:r w:rsidRPr="00F54559">
        <w:rPr>
          <w:rFonts w:eastAsia="Times New Roman" w:cstheme="minorHAnsi"/>
          <w:spacing w:val="-8"/>
          <w:sz w:val="24"/>
        </w:rPr>
        <w:t xml:space="preserve">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ibutions</w:t>
      </w:r>
      <w:r w:rsidRPr="00F54559">
        <w:rPr>
          <w:rFonts w:eastAsia="Times New Roman" w:cstheme="minorHAnsi"/>
          <w:spacing w:val="-6"/>
          <w:sz w:val="24"/>
        </w:rPr>
        <w:t xml:space="preserve"> </w:t>
      </w:r>
      <w:r w:rsidRPr="00F54559">
        <w:rPr>
          <w:rFonts w:eastAsia="Times New Roman" w:cstheme="minorHAnsi"/>
          <w:sz w:val="24"/>
        </w:rPr>
        <w:t>under</w:t>
      </w:r>
      <w:r w:rsidRPr="00F54559">
        <w:rPr>
          <w:rFonts w:eastAsia="Times New Roman" w:cstheme="minorHAnsi"/>
          <w:spacing w:val="-8"/>
          <w:sz w:val="24"/>
        </w:rPr>
        <w:t xml:space="preserve"> </w:t>
      </w:r>
      <w:r w:rsidRPr="00F54559">
        <w:rPr>
          <w:rFonts w:eastAsia="Times New Roman" w:cstheme="minorHAnsi"/>
          <w:sz w:val="24"/>
        </w:rPr>
        <w:t>the</w:t>
      </w:r>
      <w:r w:rsidRPr="00F54559">
        <w:rPr>
          <w:rFonts w:eastAsia="Times New Roman" w:cstheme="minorHAnsi"/>
          <w:spacing w:val="-7"/>
          <w:sz w:val="24"/>
        </w:rPr>
        <w:t xml:space="preserve"> </w:t>
      </w:r>
      <w:r w:rsidRPr="00F54559">
        <w:rPr>
          <w:rFonts w:eastAsia="Times New Roman" w:cstheme="minorHAnsi"/>
          <w:spacing w:val="-1"/>
          <w:sz w:val="24"/>
        </w:rPr>
        <w:t>P</w:t>
      </w:r>
      <w:r w:rsidRPr="00F54559">
        <w:rPr>
          <w:rFonts w:eastAsia="Times New Roman" w:cstheme="minorHAnsi"/>
          <w:sz w:val="24"/>
        </w:rPr>
        <w:t>lan.</w:t>
      </w:r>
    </w:p>
    <w:p w14:paraId="79D64065" w14:textId="77777777" w:rsidR="009014A7" w:rsidRPr="00F54559" w:rsidRDefault="009014A7" w:rsidP="009014A7">
      <w:pPr>
        <w:ind w:left="180" w:right="-7"/>
        <w:rPr>
          <w:rFonts w:eastAsia="Times New Roman" w:cstheme="minorHAnsi"/>
        </w:rPr>
      </w:pPr>
    </w:p>
    <w:p w14:paraId="4BF0C2FD" w14:textId="77777777" w:rsidR="00051D7E" w:rsidRPr="00F54559" w:rsidRDefault="00051D7E" w:rsidP="00051D7E">
      <w:pPr>
        <w:ind w:right="-7"/>
        <w:rPr>
          <w:rFonts w:eastAsia="Times New Roman" w:cstheme="minorHAnsi"/>
          <w:b/>
          <w:sz w:val="26"/>
          <w:szCs w:val="26"/>
        </w:rPr>
      </w:pPr>
      <w:r w:rsidRPr="00F54559">
        <w:rPr>
          <w:rFonts w:eastAsia="Times New Roman" w:cstheme="minorHAnsi"/>
          <w:b/>
          <w:sz w:val="26"/>
          <w:szCs w:val="26"/>
        </w:rPr>
        <w:t>Plan Investments</w:t>
      </w:r>
    </w:p>
    <w:p w14:paraId="2B715F4C" w14:textId="77777777" w:rsidR="009014A7" w:rsidRPr="00F54559" w:rsidRDefault="009014A7" w:rsidP="009014A7">
      <w:pPr>
        <w:ind w:left="180" w:right="-7"/>
        <w:rPr>
          <w:rFonts w:eastAsia="Times New Roman" w:cstheme="minorHAnsi"/>
        </w:rPr>
      </w:pPr>
    </w:p>
    <w:p w14:paraId="1C6B9EA9" w14:textId="3761C326" w:rsidR="009014A7" w:rsidRPr="009014A7" w:rsidRDefault="00051D7E" w:rsidP="009014A7">
      <w:pPr>
        <w:ind w:right="-7"/>
        <w:rPr>
          <w:rFonts w:eastAsia="Times New Roman" w:cstheme="minorHAnsi"/>
          <w:spacing w:val="-1"/>
          <w:sz w:val="24"/>
        </w:rPr>
      </w:pPr>
      <w:r w:rsidRPr="00F54559">
        <w:rPr>
          <w:rFonts w:eastAsia="Times New Roman" w:cstheme="minorHAnsi"/>
          <w:b/>
          <w:i/>
          <w:spacing w:val="-1"/>
          <w:sz w:val="24"/>
        </w:rPr>
        <w:t xml:space="preserve">Method Used to Value Investments:  </w:t>
      </w:r>
      <w:r w:rsidRPr="00F54559">
        <w:rPr>
          <w:rFonts w:eastAsia="Times New Roman" w:cstheme="minorHAnsi"/>
          <w:spacing w:val="-1"/>
          <w:sz w:val="24"/>
        </w:rPr>
        <w:t>Investments are reported at fair value.  See Note 3 for information related to the fair value measurement, interest rate risk, and foreign currency risk associated with the Plan’s investments.</w:t>
      </w:r>
      <w:r w:rsidR="009014A7">
        <w:rPr>
          <w:rFonts w:eastAsia="Times New Roman" w:cstheme="minorHAnsi"/>
          <w:b/>
          <w:i/>
          <w:spacing w:val="-1"/>
          <w:sz w:val="24"/>
        </w:rPr>
        <w:br w:type="page"/>
      </w:r>
    </w:p>
    <w:p w14:paraId="494ADE19" w14:textId="5837497C" w:rsidR="009014A7" w:rsidRPr="009014A7" w:rsidRDefault="009014A7" w:rsidP="009014A7">
      <w:pPr>
        <w:spacing w:before="240" w:after="120"/>
        <w:ind w:right="-7"/>
        <w:rPr>
          <w:rFonts w:cstheme="minorHAnsi"/>
          <w:b/>
          <w:i/>
          <w:sz w:val="26"/>
          <w:u w:val="single" w:color="000000" w:themeColor="text1"/>
        </w:rPr>
      </w:pPr>
      <w:r w:rsidRPr="00F54559">
        <w:rPr>
          <w:rFonts w:cstheme="minorHAnsi"/>
          <w:b/>
          <w:i/>
          <w:sz w:val="26"/>
          <w:u w:val="single" w:color="000000" w:themeColor="text1"/>
        </w:rPr>
        <w:lastRenderedPageBreak/>
        <w:t>13d. Defined Benefit Plan – Classified Employees – continued</w:t>
      </w:r>
    </w:p>
    <w:p w14:paraId="42A68CF5" w14:textId="234FA316" w:rsidR="00051D7E" w:rsidRPr="00F54559" w:rsidRDefault="00051D7E" w:rsidP="00051D7E">
      <w:pPr>
        <w:spacing w:after="240"/>
        <w:ind w:right="-7"/>
        <w:rPr>
          <w:rFonts w:eastAsia="Times New Roman" w:cstheme="minorHAnsi"/>
          <w:spacing w:val="-1"/>
          <w:sz w:val="24"/>
        </w:rPr>
      </w:pPr>
      <w:r w:rsidRPr="00F54559">
        <w:rPr>
          <w:rFonts w:eastAsia="Times New Roman" w:cstheme="minorHAnsi"/>
          <w:b/>
          <w:i/>
          <w:spacing w:val="-1"/>
          <w:sz w:val="24"/>
        </w:rPr>
        <w:t xml:space="preserve">Investment Policy: </w:t>
      </w:r>
      <w:r w:rsidRPr="00F54559">
        <w:rPr>
          <w:rFonts w:eastAsia="Times New Roman" w:cstheme="minorHAnsi"/>
          <w:spacing w:val="-1"/>
          <w:sz w:val="24"/>
        </w:rPr>
        <w:t xml:space="preserve">The Plan’s investments are diversified both by asset class and within asset classes.  To have a reasonable probability of consistently achieving the Plan’s return objectives, the following asset allocation policy ranges were </w:t>
      </w:r>
      <w:r w:rsidR="007317C6">
        <w:rPr>
          <w:rFonts w:eastAsia="Times New Roman" w:cstheme="minorHAnsi"/>
          <w:spacing w:val="-1"/>
          <w:sz w:val="24"/>
        </w:rPr>
        <w:t xml:space="preserve">in </w:t>
      </w:r>
      <w:r w:rsidRPr="00F54559">
        <w:rPr>
          <w:rFonts w:eastAsia="Times New Roman" w:cstheme="minorHAnsi"/>
          <w:spacing w:val="-1"/>
          <w:sz w:val="24"/>
        </w:rPr>
        <w:t>effect as of June 20, 20</w:t>
      </w:r>
      <w:r>
        <w:rPr>
          <w:rFonts w:eastAsia="Times New Roman" w:cstheme="minorHAnsi"/>
          <w:spacing w:val="-1"/>
          <w:sz w:val="24"/>
        </w:rPr>
        <w:t>21</w:t>
      </w:r>
      <w:r w:rsidRPr="00F54559">
        <w:rPr>
          <w:rFonts w:eastAsia="Times New Roman" w:cstheme="minorHAnsi"/>
          <w:spacing w:val="-1"/>
          <w:sz w:val="24"/>
        </w:rPr>
        <w:t xml:space="preserve"> and 20</w:t>
      </w:r>
      <w:r>
        <w:rPr>
          <w:rFonts w:eastAsia="Times New Roman" w:cstheme="minorHAnsi"/>
          <w:spacing w:val="-1"/>
          <w:sz w:val="24"/>
        </w:rPr>
        <w:t>20</w:t>
      </w:r>
      <w:r w:rsidRPr="00F54559">
        <w:rPr>
          <w:rFonts w:eastAsia="Times New Roman" w:cstheme="minorHAnsi"/>
          <w:spacing w:val="-1"/>
          <w:sz w:val="24"/>
        </w:rPr>
        <w:t>:</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hows the System's asset allocation policy ranges applicable at June 30, 2018 and 2019.  Equity securities increased from 35-55% in FY18 to 45-65% in FY19; Fixed income securities increased from 13-29% in FY18 to 15-35% in FY19, other decreased from 24-44% in FY18 to 10-30% in FY19; cash remained at 0-10%."/>
      </w:tblPr>
      <w:tblGrid>
        <w:gridCol w:w="2790"/>
        <w:gridCol w:w="1350"/>
        <w:gridCol w:w="1350"/>
      </w:tblGrid>
      <w:tr w:rsidR="00051D7E" w:rsidRPr="00A454B4" w14:paraId="2531955F" w14:textId="77777777" w:rsidTr="007531FB">
        <w:trPr>
          <w:trHeight w:val="234"/>
          <w:tblHeader/>
          <w:jc w:val="center"/>
        </w:trPr>
        <w:tc>
          <w:tcPr>
            <w:tcW w:w="2790" w:type="dxa"/>
          </w:tcPr>
          <w:p w14:paraId="0A7A764A" w14:textId="77777777" w:rsidR="00051D7E" w:rsidRPr="001A18A6" w:rsidRDefault="00051D7E" w:rsidP="007531FB">
            <w:pPr>
              <w:pStyle w:val="Heading4"/>
              <w:pBdr>
                <w:bottom w:val="none" w:sz="0" w:space="0" w:color="auto"/>
              </w:pBdr>
              <w:spacing w:after="0"/>
              <w:outlineLvl w:val="3"/>
              <w:rPr>
                <w:rFonts w:cstheme="minorHAnsi"/>
                <w:i w:val="0"/>
                <w:sz w:val="22"/>
              </w:rPr>
            </w:pPr>
          </w:p>
        </w:tc>
        <w:tc>
          <w:tcPr>
            <w:tcW w:w="1350" w:type="dxa"/>
            <w:shd w:val="clear" w:color="auto" w:fill="auto"/>
          </w:tcPr>
          <w:p w14:paraId="17189BD9" w14:textId="77777777" w:rsidR="00051D7E" w:rsidRPr="001A18A6" w:rsidRDefault="00051D7E" w:rsidP="007531FB">
            <w:pPr>
              <w:pStyle w:val="Heading4"/>
              <w:pBdr>
                <w:bottom w:val="none" w:sz="0" w:space="0" w:color="auto"/>
              </w:pBdr>
              <w:spacing w:after="0"/>
              <w:jc w:val="center"/>
              <w:outlineLvl w:val="3"/>
              <w:rPr>
                <w:rFonts w:cstheme="minorHAnsi"/>
                <w:b/>
                <w:i w:val="0"/>
                <w:sz w:val="22"/>
              </w:rPr>
            </w:pPr>
            <w:r w:rsidRPr="001A18A6">
              <w:rPr>
                <w:rFonts w:cstheme="minorHAnsi"/>
                <w:b/>
                <w:i w:val="0"/>
                <w:sz w:val="22"/>
              </w:rPr>
              <w:t>202</w:t>
            </w:r>
            <w:r>
              <w:rPr>
                <w:rFonts w:cstheme="minorHAnsi"/>
                <w:b/>
                <w:i w:val="0"/>
                <w:sz w:val="22"/>
              </w:rPr>
              <w:t>1</w:t>
            </w:r>
          </w:p>
        </w:tc>
        <w:tc>
          <w:tcPr>
            <w:tcW w:w="1350" w:type="dxa"/>
            <w:shd w:val="clear" w:color="auto" w:fill="D9D9D9" w:themeFill="background1" w:themeFillShade="D9"/>
          </w:tcPr>
          <w:p w14:paraId="261F98B1" w14:textId="77777777" w:rsidR="00051D7E" w:rsidRPr="001A18A6" w:rsidRDefault="00051D7E" w:rsidP="007531FB">
            <w:pPr>
              <w:pStyle w:val="Heading4"/>
              <w:pBdr>
                <w:bottom w:val="none" w:sz="0" w:space="0" w:color="auto"/>
              </w:pBdr>
              <w:spacing w:after="0"/>
              <w:jc w:val="center"/>
              <w:outlineLvl w:val="3"/>
              <w:rPr>
                <w:rFonts w:cstheme="minorHAnsi"/>
                <w:b/>
                <w:i w:val="0"/>
                <w:sz w:val="22"/>
              </w:rPr>
            </w:pPr>
            <w:r w:rsidRPr="001A18A6">
              <w:rPr>
                <w:rFonts w:cstheme="minorHAnsi"/>
                <w:b/>
                <w:i w:val="0"/>
                <w:sz w:val="22"/>
              </w:rPr>
              <w:t>20</w:t>
            </w:r>
            <w:r>
              <w:rPr>
                <w:rFonts w:cstheme="minorHAnsi"/>
                <w:b/>
                <w:i w:val="0"/>
                <w:sz w:val="22"/>
              </w:rPr>
              <w:t>20</w:t>
            </w:r>
          </w:p>
        </w:tc>
      </w:tr>
      <w:tr w:rsidR="00051D7E" w:rsidRPr="00A454B4" w14:paraId="7348DF82" w14:textId="77777777" w:rsidTr="007531FB">
        <w:trPr>
          <w:jc w:val="center"/>
        </w:trPr>
        <w:tc>
          <w:tcPr>
            <w:tcW w:w="2790" w:type="dxa"/>
          </w:tcPr>
          <w:p w14:paraId="7A3C1388" w14:textId="77777777" w:rsidR="00051D7E" w:rsidRPr="001A18A6" w:rsidRDefault="00051D7E" w:rsidP="007531FB">
            <w:pPr>
              <w:tabs>
                <w:tab w:val="left" w:pos="0"/>
                <w:tab w:val="left" w:pos="1440"/>
                <w:tab w:val="left" w:pos="1710"/>
              </w:tabs>
              <w:suppressAutoHyphens/>
              <w:rPr>
                <w:rFonts w:eastAsia="Times New Roman" w:cstheme="minorHAnsi"/>
                <w:bCs/>
                <w:spacing w:val="-3"/>
                <w:szCs w:val="20"/>
              </w:rPr>
            </w:pPr>
            <w:r w:rsidRPr="001A18A6">
              <w:rPr>
                <w:rFonts w:eastAsia="Times New Roman" w:cstheme="minorHAnsi"/>
                <w:bCs/>
                <w:spacing w:val="-3"/>
                <w:szCs w:val="20"/>
              </w:rPr>
              <w:t>Equity securities</w:t>
            </w:r>
          </w:p>
        </w:tc>
        <w:tc>
          <w:tcPr>
            <w:tcW w:w="1350" w:type="dxa"/>
            <w:shd w:val="clear" w:color="auto" w:fill="auto"/>
          </w:tcPr>
          <w:p w14:paraId="6DC6472F" w14:textId="77777777" w:rsidR="00051D7E" w:rsidRPr="007A78F5" w:rsidRDefault="00051D7E" w:rsidP="007531FB">
            <w:pPr>
              <w:tabs>
                <w:tab w:val="left" w:pos="0"/>
                <w:tab w:val="left" w:pos="1440"/>
                <w:tab w:val="left" w:pos="1710"/>
              </w:tabs>
              <w:suppressAutoHyphens/>
              <w:jc w:val="right"/>
              <w:rPr>
                <w:rFonts w:eastAsia="Times New Roman" w:cstheme="minorHAnsi"/>
                <w:bCs/>
                <w:spacing w:val="-3"/>
                <w:szCs w:val="20"/>
              </w:rPr>
            </w:pPr>
            <w:r w:rsidRPr="007A78F5">
              <w:rPr>
                <w:rFonts w:eastAsia="Times New Roman" w:cstheme="minorHAnsi"/>
                <w:bCs/>
                <w:spacing w:val="-3"/>
                <w:szCs w:val="20"/>
              </w:rPr>
              <w:t>25-45%</w:t>
            </w:r>
          </w:p>
        </w:tc>
        <w:tc>
          <w:tcPr>
            <w:tcW w:w="1350" w:type="dxa"/>
            <w:shd w:val="clear" w:color="auto" w:fill="D9D9D9" w:themeFill="background1" w:themeFillShade="D9"/>
          </w:tcPr>
          <w:p w14:paraId="6AA5BCCC" w14:textId="77777777" w:rsidR="00051D7E" w:rsidRPr="001A18A6" w:rsidRDefault="00051D7E" w:rsidP="007531FB">
            <w:pPr>
              <w:tabs>
                <w:tab w:val="left" w:pos="0"/>
                <w:tab w:val="left" w:pos="1440"/>
                <w:tab w:val="left" w:pos="1710"/>
              </w:tabs>
              <w:suppressAutoHyphens/>
              <w:jc w:val="right"/>
              <w:rPr>
                <w:rFonts w:eastAsia="Times New Roman" w:cstheme="minorHAnsi"/>
                <w:bCs/>
                <w:color w:val="000000" w:themeColor="text1"/>
                <w:spacing w:val="-3"/>
                <w:szCs w:val="20"/>
              </w:rPr>
            </w:pPr>
            <w:r w:rsidRPr="001A18A6">
              <w:rPr>
                <w:rFonts w:eastAsia="Times New Roman" w:cstheme="minorHAnsi"/>
                <w:bCs/>
                <w:spacing w:val="-3"/>
                <w:szCs w:val="20"/>
              </w:rPr>
              <w:t>25-45%</w:t>
            </w:r>
          </w:p>
        </w:tc>
      </w:tr>
      <w:tr w:rsidR="00051D7E" w:rsidRPr="00A454B4" w14:paraId="48DE47D8" w14:textId="77777777" w:rsidTr="007531FB">
        <w:trPr>
          <w:jc w:val="center"/>
        </w:trPr>
        <w:tc>
          <w:tcPr>
            <w:tcW w:w="2790" w:type="dxa"/>
          </w:tcPr>
          <w:p w14:paraId="4DB372AA" w14:textId="77777777" w:rsidR="00051D7E" w:rsidRPr="001A18A6" w:rsidRDefault="00051D7E" w:rsidP="007531FB">
            <w:pPr>
              <w:tabs>
                <w:tab w:val="left" w:pos="0"/>
                <w:tab w:val="left" w:pos="1440"/>
                <w:tab w:val="left" w:pos="1710"/>
              </w:tabs>
              <w:suppressAutoHyphens/>
              <w:rPr>
                <w:rFonts w:eastAsia="Times New Roman" w:cstheme="minorHAnsi"/>
                <w:bCs/>
                <w:spacing w:val="-3"/>
                <w:szCs w:val="20"/>
              </w:rPr>
            </w:pPr>
            <w:r w:rsidRPr="001A18A6">
              <w:rPr>
                <w:rFonts w:eastAsia="Times New Roman" w:cstheme="minorHAnsi"/>
                <w:bCs/>
                <w:spacing w:val="-3"/>
                <w:szCs w:val="20"/>
              </w:rPr>
              <w:t>Fixed income securities</w:t>
            </w:r>
          </w:p>
        </w:tc>
        <w:tc>
          <w:tcPr>
            <w:tcW w:w="1350" w:type="dxa"/>
            <w:shd w:val="clear" w:color="auto" w:fill="auto"/>
          </w:tcPr>
          <w:p w14:paraId="7842C815" w14:textId="77777777" w:rsidR="00051D7E" w:rsidRPr="007A78F5" w:rsidRDefault="00051D7E" w:rsidP="007531FB">
            <w:pPr>
              <w:tabs>
                <w:tab w:val="left" w:pos="0"/>
                <w:tab w:val="left" w:pos="1440"/>
                <w:tab w:val="left" w:pos="1710"/>
              </w:tabs>
              <w:suppressAutoHyphens/>
              <w:jc w:val="right"/>
              <w:rPr>
                <w:rFonts w:eastAsia="Times New Roman" w:cstheme="minorHAnsi"/>
                <w:bCs/>
                <w:spacing w:val="-3"/>
                <w:szCs w:val="20"/>
              </w:rPr>
            </w:pPr>
            <w:r w:rsidRPr="007A78F5">
              <w:rPr>
                <w:rFonts w:eastAsia="Times New Roman" w:cstheme="minorHAnsi"/>
                <w:bCs/>
                <w:spacing w:val="-3"/>
                <w:szCs w:val="20"/>
              </w:rPr>
              <w:t>35-55%</w:t>
            </w:r>
          </w:p>
        </w:tc>
        <w:tc>
          <w:tcPr>
            <w:tcW w:w="1350" w:type="dxa"/>
            <w:shd w:val="clear" w:color="auto" w:fill="D9D9D9" w:themeFill="background1" w:themeFillShade="D9"/>
          </w:tcPr>
          <w:p w14:paraId="3502D626" w14:textId="77777777" w:rsidR="00051D7E" w:rsidRPr="001A18A6" w:rsidRDefault="00051D7E" w:rsidP="007531FB">
            <w:pPr>
              <w:tabs>
                <w:tab w:val="left" w:pos="0"/>
                <w:tab w:val="left" w:pos="1440"/>
                <w:tab w:val="left" w:pos="1710"/>
              </w:tabs>
              <w:suppressAutoHyphens/>
              <w:jc w:val="right"/>
              <w:rPr>
                <w:rFonts w:eastAsia="Times New Roman" w:cstheme="minorHAnsi"/>
                <w:bCs/>
                <w:color w:val="000000" w:themeColor="text1"/>
                <w:spacing w:val="-3"/>
                <w:szCs w:val="20"/>
              </w:rPr>
            </w:pPr>
            <w:r w:rsidRPr="001A18A6">
              <w:rPr>
                <w:rFonts w:eastAsia="Times New Roman" w:cstheme="minorHAnsi"/>
                <w:bCs/>
                <w:spacing w:val="-3"/>
                <w:szCs w:val="20"/>
              </w:rPr>
              <w:t>35-55%</w:t>
            </w:r>
          </w:p>
        </w:tc>
      </w:tr>
      <w:tr w:rsidR="00051D7E" w:rsidRPr="00A454B4" w14:paraId="6D7BA08C" w14:textId="77777777" w:rsidTr="007531FB">
        <w:trPr>
          <w:jc w:val="center"/>
        </w:trPr>
        <w:tc>
          <w:tcPr>
            <w:tcW w:w="2790" w:type="dxa"/>
          </w:tcPr>
          <w:p w14:paraId="127713B8" w14:textId="77777777" w:rsidR="00051D7E" w:rsidRPr="001A18A6" w:rsidRDefault="00051D7E" w:rsidP="007531FB">
            <w:pPr>
              <w:tabs>
                <w:tab w:val="left" w:pos="0"/>
                <w:tab w:val="left" w:pos="1440"/>
                <w:tab w:val="left" w:pos="1710"/>
              </w:tabs>
              <w:suppressAutoHyphens/>
              <w:rPr>
                <w:rFonts w:eastAsia="Times New Roman" w:cstheme="minorHAnsi"/>
                <w:bCs/>
                <w:spacing w:val="-3"/>
                <w:szCs w:val="20"/>
              </w:rPr>
            </w:pPr>
            <w:r w:rsidRPr="001A18A6">
              <w:rPr>
                <w:rFonts w:eastAsia="Times New Roman" w:cstheme="minorHAnsi"/>
                <w:bCs/>
                <w:spacing w:val="-3"/>
                <w:szCs w:val="20"/>
              </w:rPr>
              <w:t>Other</w:t>
            </w:r>
          </w:p>
        </w:tc>
        <w:tc>
          <w:tcPr>
            <w:tcW w:w="1350" w:type="dxa"/>
            <w:shd w:val="clear" w:color="auto" w:fill="auto"/>
          </w:tcPr>
          <w:p w14:paraId="7D3C430C" w14:textId="77777777" w:rsidR="00051D7E" w:rsidRPr="007A78F5" w:rsidRDefault="00051D7E" w:rsidP="007531FB">
            <w:pPr>
              <w:tabs>
                <w:tab w:val="left" w:pos="0"/>
                <w:tab w:val="left" w:pos="1440"/>
                <w:tab w:val="left" w:pos="1710"/>
              </w:tabs>
              <w:suppressAutoHyphens/>
              <w:jc w:val="right"/>
              <w:rPr>
                <w:rFonts w:eastAsia="Times New Roman" w:cstheme="minorHAnsi"/>
                <w:bCs/>
                <w:spacing w:val="-3"/>
                <w:szCs w:val="20"/>
              </w:rPr>
            </w:pPr>
            <w:r w:rsidRPr="007A78F5">
              <w:rPr>
                <w:rFonts w:eastAsia="Times New Roman" w:cstheme="minorHAnsi"/>
                <w:bCs/>
                <w:spacing w:val="-3"/>
                <w:szCs w:val="20"/>
              </w:rPr>
              <w:t>15-35%</w:t>
            </w:r>
          </w:p>
        </w:tc>
        <w:tc>
          <w:tcPr>
            <w:tcW w:w="1350" w:type="dxa"/>
            <w:shd w:val="clear" w:color="auto" w:fill="D9D9D9" w:themeFill="background1" w:themeFillShade="D9"/>
          </w:tcPr>
          <w:p w14:paraId="0BE50EF6" w14:textId="77777777" w:rsidR="00051D7E" w:rsidRPr="001A18A6" w:rsidRDefault="00051D7E" w:rsidP="007531FB">
            <w:pPr>
              <w:tabs>
                <w:tab w:val="left" w:pos="0"/>
                <w:tab w:val="left" w:pos="1440"/>
                <w:tab w:val="left" w:pos="1710"/>
              </w:tabs>
              <w:suppressAutoHyphens/>
              <w:jc w:val="right"/>
              <w:rPr>
                <w:rFonts w:eastAsia="Times New Roman" w:cstheme="minorHAnsi"/>
                <w:bCs/>
                <w:color w:val="000000" w:themeColor="text1"/>
                <w:spacing w:val="-3"/>
                <w:szCs w:val="20"/>
              </w:rPr>
            </w:pPr>
            <w:r w:rsidRPr="001A18A6">
              <w:rPr>
                <w:rFonts w:eastAsia="Times New Roman" w:cstheme="minorHAnsi"/>
                <w:bCs/>
                <w:spacing w:val="-3"/>
                <w:szCs w:val="20"/>
              </w:rPr>
              <w:t>15-35%</w:t>
            </w:r>
          </w:p>
        </w:tc>
      </w:tr>
      <w:tr w:rsidR="00051D7E" w:rsidRPr="00A454B4" w14:paraId="792E95D3" w14:textId="77777777" w:rsidTr="007531FB">
        <w:trPr>
          <w:jc w:val="center"/>
        </w:trPr>
        <w:tc>
          <w:tcPr>
            <w:tcW w:w="2790" w:type="dxa"/>
          </w:tcPr>
          <w:p w14:paraId="3ACB0901" w14:textId="77777777" w:rsidR="00051D7E" w:rsidRPr="001A18A6" w:rsidRDefault="00051D7E" w:rsidP="007531FB">
            <w:pPr>
              <w:tabs>
                <w:tab w:val="left" w:pos="0"/>
                <w:tab w:val="left" w:pos="1440"/>
                <w:tab w:val="left" w:pos="1710"/>
              </w:tabs>
              <w:suppressAutoHyphens/>
              <w:rPr>
                <w:rFonts w:eastAsia="Times New Roman" w:cstheme="minorHAnsi"/>
                <w:bCs/>
                <w:spacing w:val="-3"/>
                <w:szCs w:val="20"/>
              </w:rPr>
            </w:pPr>
            <w:r w:rsidRPr="001A18A6">
              <w:rPr>
                <w:rFonts w:eastAsia="Times New Roman" w:cstheme="minorHAnsi"/>
                <w:bCs/>
                <w:spacing w:val="-3"/>
                <w:szCs w:val="20"/>
              </w:rPr>
              <w:t>Cash</w:t>
            </w:r>
          </w:p>
        </w:tc>
        <w:tc>
          <w:tcPr>
            <w:tcW w:w="1350" w:type="dxa"/>
            <w:shd w:val="clear" w:color="auto" w:fill="auto"/>
          </w:tcPr>
          <w:p w14:paraId="1A2545CE" w14:textId="77777777" w:rsidR="00051D7E" w:rsidRPr="007A78F5" w:rsidRDefault="00051D7E" w:rsidP="007531FB">
            <w:pPr>
              <w:tabs>
                <w:tab w:val="left" w:pos="0"/>
                <w:tab w:val="left" w:pos="1440"/>
                <w:tab w:val="left" w:pos="1710"/>
              </w:tabs>
              <w:suppressAutoHyphens/>
              <w:jc w:val="right"/>
              <w:rPr>
                <w:rFonts w:eastAsia="Times New Roman" w:cstheme="minorHAnsi"/>
                <w:bCs/>
                <w:spacing w:val="-3"/>
                <w:szCs w:val="20"/>
              </w:rPr>
            </w:pPr>
            <w:r w:rsidRPr="007A78F5">
              <w:rPr>
                <w:rFonts w:eastAsia="Times New Roman" w:cstheme="minorHAnsi"/>
                <w:bCs/>
                <w:spacing w:val="-3"/>
                <w:szCs w:val="20"/>
              </w:rPr>
              <w:t>0-10%</w:t>
            </w:r>
          </w:p>
        </w:tc>
        <w:tc>
          <w:tcPr>
            <w:tcW w:w="1350" w:type="dxa"/>
            <w:shd w:val="clear" w:color="auto" w:fill="D9D9D9" w:themeFill="background1" w:themeFillShade="D9"/>
          </w:tcPr>
          <w:p w14:paraId="22F3AC88" w14:textId="77777777" w:rsidR="00051D7E" w:rsidRPr="001A18A6" w:rsidRDefault="00051D7E" w:rsidP="007531FB">
            <w:pPr>
              <w:tabs>
                <w:tab w:val="left" w:pos="0"/>
                <w:tab w:val="left" w:pos="1440"/>
                <w:tab w:val="left" w:pos="1710"/>
              </w:tabs>
              <w:suppressAutoHyphens/>
              <w:jc w:val="right"/>
              <w:rPr>
                <w:rFonts w:eastAsia="Times New Roman" w:cstheme="minorHAnsi"/>
                <w:bCs/>
                <w:color w:val="000000" w:themeColor="text1"/>
                <w:spacing w:val="-3"/>
                <w:szCs w:val="20"/>
              </w:rPr>
            </w:pPr>
            <w:r w:rsidRPr="001A18A6">
              <w:rPr>
                <w:rFonts w:eastAsia="Times New Roman" w:cstheme="minorHAnsi"/>
                <w:bCs/>
                <w:spacing w:val="-3"/>
                <w:szCs w:val="20"/>
              </w:rPr>
              <w:t>0-10%</w:t>
            </w:r>
          </w:p>
        </w:tc>
      </w:tr>
    </w:tbl>
    <w:p w14:paraId="0B36B73E" w14:textId="3C8848CB" w:rsidR="00051D7E" w:rsidRPr="00F453D3" w:rsidRDefault="00051D7E" w:rsidP="00051D7E">
      <w:pPr>
        <w:spacing w:before="240"/>
        <w:ind w:right="-7"/>
        <w:rPr>
          <w:rFonts w:eastAsia="Times New Roman" w:cstheme="minorHAnsi"/>
          <w:spacing w:val="-1"/>
          <w:sz w:val="24"/>
        </w:rPr>
      </w:pPr>
      <w:r w:rsidRPr="00F54559">
        <w:rPr>
          <w:rFonts w:eastAsia="Times New Roman" w:cstheme="minorHAnsi"/>
          <w:b/>
          <w:i/>
          <w:spacing w:val="-1"/>
          <w:sz w:val="24"/>
        </w:rPr>
        <w:t xml:space="preserve">Rate of Return: </w:t>
      </w:r>
      <w:r w:rsidRPr="00F54559">
        <w:rPr>
          <w:rFonts w:eastAsia="Times New Roman" w:cstheme="minorHAnsi"/>
          <w:spacing w:val="-1"/>
          <w:sz w:val="24"/>
        </w:rPr>
        <w:t>For the years ended June 30, 20</w:t>
      </w:r>
      <w:r>
        <w:rPr>
          <w:rFonts w:eastAsia="Times New Roman" w:cstheme="minorHAnsi"/>
          <w:spacing w:val="-1"/>
          <w:sz w:val="24"/>
        </w:rPr>
        <w:t>21</w:t>
      </w:r>
      <w:r w:rsidRPr="00F54559">
        <w:rPr>
          <w:rFonts w:eastAsia="Times New Roman" w:cstheme="minorHAnsi"/>
          <w:spacing w:val="-1"/>
          <w:sz w:val="24"/>
        </w:rPr>
        <w:t xml:space="preserve"> and 20</w:t>
      </w:r>
      <w:r>
        <w:rPr>
          <w:rFonts w:eastAsia="Times New Roman" w:cstheme="minorHAnsi"/>
          <w:spacing w:val="-1"/>
          <w:sz w:val="24"/>
        </w:rPr>
        <w:t>20</w:t>
      </w:r>
      <w:r w:rsidRPr="00F54559">
        <w:rPr>
          <w:rFonts w:eastAsia="Times New Roman" w:cstheme="minorHAnsi"/>
          <w:spacing w:val="-1"/>
          <w:sz w:val="24"/>
        </w:rPr>
        <w:t xml:space="preserve">, the annual money-weighted rate of return, net of investment expenses, was </w:t>
      </w:r>
      <w:r>
        <w:rPr>
          <w:rFonts w:eastAsia="Times New Roman" w:cstheme="minorHAnsi"/>
          <w:spacing w:val="-1"/>
          <w:sz w:val="24"/>
        </w:rPr>
        <w:t>15.86</w:t>
      </w:r>
      <w:r w:rsidRPr="00F54559">
        <w:rPr>
          <w:rFonts w:eastAsia="Times New Roman" w:cstheme="minorHAnsi"/>
          <w:spacing w:val="-1"/>
          <w:sz w:val="24"/>
        </w:rPr>
        <w:t>% and 4.</w:t>
      </w:r>
      <w:r>
        <w:rPr>
          <w:rFonts w:eastAsia="Times New Roman" w:cstheme="minorHAnsi"/>
          <w:spacing w:val="-1"/>
          <w:sz w:val="24"/>
        </w:rPr>
        <w:t>48</w:t>
      </w:r>
      <w:r w:rsidRPr="00F54559">
        <w:rPr>
          <w:rFonts w:eastAsia="Times New Roman" w:cstheme="minorHAnsi"/>
          <w:spacing w:val="-1"/>
          <w:sz w:val="24"/>
        </w:rPr>
        <w:t>%, respectively.</w:t>
      </w:r>
    </w:p>
    <w:p w14:paraId="4D20751A" w14:textId="63070185" w:rsidR="00051D7E" w:rsidRPr="009014A7" w:rsidRDefault="00051D7E" w:rsidP="009014A7">
      <w:pPr>
        <w:ind w:right="-7"/>
        <w:rPr>
          <w:rFonts w:eastAsia="Times New Roman" w:cstheme="minorHAnsi"/>
          <w:sz w:val="20"/>
          <w:szCs w:val="26"/>
        </w:rPr>
      </w:pPr>
    </w:p>
    <w:p w14:paraId="3E5B0B8F" w14:textId="58AA484F" w:rsidR="00051D7E" w:rsidRPr="00F54559" w:rsidRDefault="00051D7E" w:rsidP="00051D7E">
      <w:pPr>
        <w:ind w:right="-7"/>
        <w:rPr>
          <w:rFonts w:eastAsia="Times New Roman" w:cstheme="minorHAnsi"/>
          <w:sz w:val="24"/>
        </w:rPr>
      </w:pPr>
      <w:r w:rsidRPr="00F54559">
        <w:rPr>
          <w:rFonts w:eastAsia="Times New Roman" w:cstheme="minorHAnsi"/>
          <w:b/>
          <w:sz w:val="26"/>
          <w:szCs w:val="26"/>
        </w:rPr>
        <w:t>Net Pension Liability</w:t>
      </w:r>
    </w:p>
    <w:p w14:paraId="45D74E22" w14:textId="77777777" w:rsidR="00051D7E" w:rsidRPr="00F54559" w:rsidRDefault="00051D7E" w:rsidP="00051D7E">
      <w:pPr>
        <w:spacing w:before="120" w:after="240"/>
        <w:rPr>
          <w:rFonts w:eastAsia="Times New Roman" w:cstheme="minorHAnsi"/>
          <w:sz w:val="24"/>
        </w:rPr>
      </w:pPr>
      <w:r w:rsidRPr="00F54559">
        <w:rPr>
          <w:rFonts w:eastAsia="Times New Roman" w:cstheme="minorHAnsi"/>
          <w:sz w:val="24"/>
        </w:rPr>
        <w:t>The components of the net pension liability at the measurement date of June 30 were as follows:</w:t>
      </w:r>
      <w:r>
        <w:rPr>
          <w:rFonts w:eastAsia="Times New Roman" w:cstheme="minorHAnsi"/>
          <w:sz w:val="24"/>
        </w:rPr>
        <w:fldChar w:fldCharType="begin"/>
      </w:r>
      <w:r>
        <w:rPr>
          <w:rFonts w:eastAsia="Times New Roman" w:cstheme="minorHAnsi"/>
          <w:sz w:val="24"/>
        </w:rPr>
        <w:fldChar w:fldCharType="end"/>
      </w:r>
    </w:p>
    <w:tbl>
      <w:tblPr>
        <w:tblW w:w="8352" w:type="dxa"/>
        <w:jc w:val="center"/>
        <w:tblLook w:val="04A0" w:firstRow="1" w:lastRow="0" w:firstColumn="1" w:lastColumn="0" w:noHBand="0" w:noVBand="1"/>
      </w:tblPr>
      <w:tblGrid>
        <w:gridCol w:w="6244"/>
        <w:gridCol w:w="1044"/>
        <w:gridCol w:w="1064"/>
      </w:tblGrid>
      <w:tr w:rsidR="00051D7E" w:rsidRPr="006539B7" w14:paraId="7A65B1A4" w14:textId="77777777" w:rsidTr="007531FB">
        <w:trPr>
          <w:trHeight w:val="324"/>
          <w:tblHeader/>
          <w:jc w:val="center"/>
        </w:trPr>
        <w:tc>
          <w:tcPr>
            <w:tcW w:w="6244" w:type="dxa"/>
            <w:tcBorders>
              <w:top w:val="nil"/>
              <w:left w:val="nil"/>
              <w:bottom w:val="single" w:sz="12" w:space="0" w:color="00688D"/>
              <w:right w:val="nil"/>
            </w:tcBorders>
            <w:shd w:val="clear" w:color="000000" w:fill="FFFFFF"/>
            <w:noWrap/>
            <w:vAlign w:val="bottom"/>
            <w:hideMark/>
          </w:tcPr>
          <w:p w14:paraId="6FDD3861" w14:textId="77777777" w:rsidR="00051D7E" w:rsidRPr="006539B7" w:rsidRDefault="00051D7E" w:rsidP="007531FB">
            <w:pPr>
              <w:rPr>
                <w:rFonts w:ascii="Calibri" w:eastAsia="Times New Roman" w:hAnsi="Calibri" w:cs="Calibri"/>
                <w:b/>
                <w:bCs/>
                <w:color w:val="0D0D0D"/>
              </w:rPr>
            </w:pPr>
            <w:r w:rsidRPr="006539B7">
              <w:rPr>
                <w:rFonts w:ascii="Calibri" w:eastAsia="Times New Roman" w:hAnsi="Calibri" w:cs="Calibri"/>
                <w:b/>
                <w:bCs/>
                <w:color w:val="0D0D0D"/>
              </w:rPr>
              <w:t> </w:t>
            </w:r>
          </w:p>
        </w:tc>
        <w:tc>
          <w:tcPr>
            <w:tcW w:w="1044" w:type="dxa"/>
            <w:tcBorders>
              <w:top w:val="nil"/>
              <w:left w:val="nil"/>
              <w:bottom w:val="single" w:sz="12" w:space="0" w:color="00688D"/>
              <w:right w:val="nil"/>
            </w:tcBorders>
            <w:shd w:val="clear" w:color="000000" w:fill="FFFFFF"/>
            <w:noWrap/>
            <w:vAlign w:val="bottom"/>
            <w:hideMark/>
          </w:tcPr>
          <w:p w14:paraId="14C8CCC3" w14:textId="77777777" w:rsidR="00051D7E" w:rsidRPr="006539B7" w:rsidRDefault="00051D7E" w:rsidP="007531FB">
            <w:pPr>
              <w:jc w:val="center"/>
              <w:rPr>
                <w:rFonts w:ascii="Calibri" w:eastAsia="Times New Roman" w:hAnsi="Calibri" w:cs="Calibri"/>
                <w:b/>
                <w:bCs/>
                <w:color w:val="0D0D0D"/>
              </w:rPr>
            </w:pPr>
            <w:r w:rsidRPr="006539B7">
              <w:rPr>
                <w:rFonts w:ascii="Calibri" w:eastAsia="Times New Roman" w:hAnsi="Calibri" w:cs="Calibri"/>
                <w:b/>
                <w:bCs/>
                <w:color w:val="0D0D0D"/>
              </w:rPr>
              <w:t>202</w:t>
            </w:r>
            <w:r>
              <w:rPr>
                <w:rFonts w:ascii="Calibri" w:eastAsia="Times New Roman" w:hAnsi="Calibri" w:cs="Calibri"/>
                <w:b/>
                <w:bCs/>
                <w:color w:val="0D0D0D"/>
              </w:rPr>
              <w:t>1</w:t>
            </w:r>
          </w:p>
        </w:tc>
        <w:tc>
          <w:tcPr>
            <w:tcW w:w="1064" w:type="dxa"/>
            <w:tcBorders>
              <w:top w:val="nil"/>
              <w:left w:val="nil"/>
              <w:bottom w:val="single" w:sz="12" w:space="0" w:color="00688D"/>
              <w:right w:val="nil"/>
            </w:tcBorders>
            <w:shd w:val="clear" w:color="auto" w:fill="D9D9D9" w:themeFill="background1" w:themeFillShade="D9"/>
            <w:noWrap/>
            <w:vAlign w:val="bottom"/>
            <w:hideMark/>
          </w:tcPr>
          <w:p w14:paraId="7664217D" w14:textId="77777777" w:rsidR="00051D7E" w:rsidRPr="006539B7" w:rsidRDefault="00051D7E" w:rsidP="007531FB">
            <w:pPr>
              <w:jc w:val="center"/>
              <w:rPr>
                <w:rFonts w:ascii="Calibri" w:eastAsia="Times New Roman" w:hAnsi="Calibri" w:cs="Calibri"/>
                <w:b/>
                <w:bCs/>
                <w:color w:val="0D0D0D"/>
              </w:rPr>
            </w:pPr>
            <w:r w:rsidRPr="006539B7">
              <w:rPr>
                <w:rFonts w:ascii="Calibri" w:eastAsia="Times New Roman" w:hAnsi="Calibri" w:cs="Calibri"/>
                <w:b/>
                <w:bCs/>
                <w:color w:val="0D0D0D"/>
              </w:rPr>
              <w:t>20</w:t>
            </w:r>
            <w:r>
              <w:rPr>
                <w:rFonts w:ascii="Calibri" w:eastAsia="Times New Roman" w:hAnsi="Calibri" w:cs="Calibri"/>
                <w:b/>
                <w:bCs/>
                <w:color w:val="0D0D0D"/>
              </w:rPr>
              <w:t>20</w:t>
            </w:r>
          </w:p>
        </w:tc>
      </w:tr>
      <w:tr w:rsidR="00051D7E" w:rsidRPr="006539B7" w14:paraId="2137FEDB" w14:textId="77777777" w:rsidTr="007531FB">
        <w:trPr>
          <w:trHeight w:val="324"/>
          <w:jc w:val="center"/>
        </w:trPr>
        <w:tc>
          <w:tcPr>
            <w:tcW w:w="6244" w:type="dxa"/>
            <w:tcBorders>
              <w:top w:val="nil"/>
              <w:left w:val="nil"/>
              <w:bottom w:val="nil"/>
              <w:right w:val="nil"/>
            </w:tcBorders>
            <w:shd w:val="clear" w:color="000000" w:fill="FFFFFF"/>
            <w:noWrap/>
            <w:vAlign w:val="bottom"/>
            <w:hideMark/>
          </w:tcPr>
          <w:p w14:paraId="2A5CDCE3"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Total pension liability</w:t>
            </w:r>
          </w:p>
        </w:tc>
        <w:tc>
          <w:tcPr>
            <w:tcW w:w="1044" w:type="dxa"/>
            <w:tcBorders>
              <w:top w:val="nil"/>
              <w:left w:val="nil"/>
              <w:bottom w:val="nil"/>
              <w:right w:val="nil"/>
            </w:tcBorders>
            <w:shd w:val="clear" w:color="000000" w:fill="FFFFFF"/>
            <w:noWrap/>
            <w:vAlign w:val="bottom"/>
            <w:hideMark/>
          </w:tcPr>
          <w:p w14:paraId="4792B121"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 xml:space="preserve">$  </w:t>
            </w:r>
            <w:r>
              <w:rPr>
                <w:rFonts w:ascii="Calibri" w:eastAsia="Times New Roman" w:hAnsi="Calibri" w:cs="Calibri"/>
                <w:color w:val="0D0D0D"/>
              </w:rPr>
              <w:t>33,840</w:t>
            </w:r>
          </w:p>
        </w:tc>
        <w:tc>
          <w:tcPr>
            <w:tcW w:w="1064" w:type="dxa"/>
            <w:tcBorders>
              <w:top w:val="nil"/>
              <w:left w:val="nil"/>
              <w:bottom w:val="nil"/>
              <w:right w:val="nil"/>
            </w:tcBorders>
            <w:shd w:val="clear" w:color="auto" w:fill="D9D9D9" w:themeFill="background1" w:themeFillShade="D9"/>
            <w:noWrap/>
            <w:vAlign w:val="bottom"/>
            <w:hideMark/>
          </w:tcPr>
          <w:p w14:paraId="61A20F76"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  36,318</w:t>
            </w:r>
          </w:p>
        </w:tc>
      </w:tr>
      <w:tr w:rsidR="00051D7E" w:rsidRPr="006539B7" w14:paraId="24D4D5D6" w14:textId="77777777" w:rsidTr="007531FB">
        <w:trPr>
          <w:trHeight w:val="312"/>
          <w:jc w:val="center"/>
        </w:trPr>
        <w:tc>
          <w:tcPr>
            <w:tcW w:w="6244" w:type="dxa"/>
            <w:tcBorders>
              <w:top w:val="nil"/>
              <w:left w:val="nil"/>
              <w:bottom w:val="nil"/>
              <w:right w:val="nil"/>
            </w:tcBorders>
            <w:shd w:val="clear" w:color="000000" w:fill="FFFFFF"/>
            <w:noWrap/>
            <w:vAlign w:val="bottom"/>
            <w:hideMark/>
          </w:tcPr>
          <w:p w14:paraId="7C38DAFE"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Fiduciary net position</w:t>
            </w:r>
          </w:p>
        </w:tc>
        <w:tc>
          <w:tcPr>
            <w:tcW w:w="1044" w:type="dxa"/>
            <w:tcBorders>
              <w:top w:val="nil"/>
              <w:left w:val="nil"/>
              <w:bottom w:val="nil"/>
              <w:right w:val="nil"/>
            </w:tcBorders>
            <w:shd w:val="clear" w:color="000000" w:fill="FFFFFF"/>
            <w:noWrap/>
            <w:vAlign w:val="bottom"/>
            <w:hideMark/>
          </w:tcPr>
          <w:p w14:paraId="2C362E66"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w:t>
            </w:r>
            <w:r>
              <w:rPr>
                <w:rFonts w:ascii="Calibri" w:eastAsia="Times New Roman" w:hAnsi="Calibri" w:cs="Calibri"/>
                <w:color w:val="0D0D0D"/>
              </w:rPr>
              <w:t>25,291</w:t>
            </w:r>
            <w:r w:rsidRPr="006539B7">
              <w:rPr>
                <w:rFonts w:ascii="Calibri" w:eastAsia="Times New Roman" w:hAnsi="Calibri" w:cs="Calibri"/>
                <w:color w:val="0D0D0D"/>
              </w:rPr>
              <w:t>)</w:t>
            </w:r>
          </w:p>
        </w:tc>
        <w:tc>
          <w:tcPr>
            <w:tcW w:w="1064" w:type="dxa"/>
            <w:tcBorders>
              <w:top w:val="nil"/>
              <w:left w:val="nil"/>
              <w:bottom w:val="nil"/>
              <w:right w:val="nil"/>
            </w:tcBorders>
            <w:shd w:val="clear" w:color="auto" w:fill="D9D9D9" w:themeFill="background1" w:themeFillShade="D9"/>
            <w:noWrap/>
            <w:vAlign w:val="bottom"/>
            <w:hideMark/>
          </w:tcPr>
          <w:p w14:paraId="359EB6BA"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(24,609)</w:t>
            </w:r>
          </w:p>
        </w:tc>
      </w:tr>
      <w:tr w:rsidR="00051D7E" w:rsidRPr="006539B7" w14:paraId="4331BFAC" w14:textId="77777777" w:rsidTr="007531FB">
        <w:trPr>
          <w:trHeight w:val="360"/>
          <w:jc w:val="center"/>
        </w:trPr>
        <w:tc>
          <w:tcPr>
            <w:tcW w:w="6244" w:type="dxa"/>
            <w:tcBorders>
              <w:top w:val="single" w:sz="4" w:space="0" w:color="00688D"/>
              <w:left w:val="nil"/>
              <w:bottom w:val="double" w:sz="6" w:space="0" w:color="00688D"/>
              <w:right w:val="nil"/>
            </w:tcBorders>
            <w:shd w:val="clear" w:color="000000" w:fill="FFFFFF"/>
            <w:noWrap/>
            <w:vAlign w:val="bottom"/>
            <w:hideMark/>
          </w:tcPr>
          <w:p w14:paraId="141C4B89"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Net pension liability</w:t>
            </w:r>
          </w:p>
        </w:tc>
        <w:tc>
          <w:tcPr>
            <w:tcW w:w="1044" w:type="dxa"/>
            <w:tcBorders>
              <w:top w:val="single" w:sz="4" w:space="0" w:color="00688D"/>
              <w:left w:val="nil"/>
              <w:bottom w:val="double" w:sz="6" w:space="0" w:color="00688D"/>
              <w:right w:val="nil"/>
            </w:tcBorders>
            <w:shd w:val="clear" w:color="000000" w:fill="FFFFFF"/>
            <w:noWrap/>
            <w:vAlign w:val="bottom"/>
            <w:hideMark/>
          </w:tcPr>
          <w:p w14:paraId="1C8A839D" w14:textId="4812750D" w:rsidR="00051D7E" w:rsidRPr="006539B7" w:rsidRDefault="00051D7E" w:rsidP="007531FB">
            <w:pPr>
              <w:jc w:val="right"/>
              <w:rPr>
                <w:rFonts w:ascii="Calibri" w:eastAsia="Times New Roman" w:hAnsi="Calibri" w:cs="Calibri"/>
                <w:color w:val="0D0D0D"/>
              </w:rPr>
            </w:pPr>
            <w:r>
              <w:rPr>
                <w:rFonts w:ascii="Calibri" w:eastAsia="Times New Roman" w:hAnsi="Calibri" w:cs="Calibri"/>
                <w:color w:val="0D0D0D"/>
              </w:rPr>
              <w:t xml:space="preserve">$  </w:t>
            </w:r>
            <w:r w:rsidR="003767CF">
              <w:rPr>
                <w:rFonts w:ascii="Calibri" w:eastAsia="Times New Roman" w:hAnsi="Calibri" w:cs="Calibri"/>
                <w:color w:val="0D0D0D"/>
              </w:rPr>
              <w:t xml:space="preserve">  </w:t>
            </w:r>
            <w:r>
              <w:rPr>
                <w:rFonts w:ascii="Calibri" w:eastAsia="Times New Roman" w:hAnsi="Calibri" w:cs="Calibri"/>
                <w:color w:val="0D0D0D"/>
              </w:rPr>
              <w:t>8,549</w:t>
            </w:r>
          </w:p>
        </w:tc>
        <w:tc>
          <w:tcPr>
            <w:tcW w:w="1064"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08E7E466" w14:textId="77777777" w:rsidR="00051D7E" w:rsidRPr="006539B7" w:rsidRDefault="00051D7E" w:rsidP="007531FB">
            <w:pPr>
              <w:jc w:val="right"/>
              <w:rPr>
                <w:rFonts w:ascii="Calibri" w:eastAsia="Times New Roman" w:hAnsi="Calibri" w:cs="Calibri"/>
                <w:color w:val="0D0D0D"/>
              </w:rPr>
            </w:pPr>
            <w:r>
              <w:rPr>
                <w:rFonts w:ascii="Calibri" w:eastAsia="Times New Roman" w:hAnsi="Calibri" w:cs="Calibri"/>
                <w:color w:val="0D0D0D"/>
              </w:rPr>
              <w:t>$  11,709</w:t>
            </w:r>
          </w:p>
        </w:tc>
      </w:tr>
      <w:tr w:rsidR="00051D7E" w:rsidRPr="006539B7" w14:paraId="4888FBB4" w14:textId="77777777" w:rsidTr="007531FB">
        <w:trPr>
          <w:trHeight w:val="540"/>
          <w:jc w:val="center"/>
        </w:trPr>
        <w:tc>
          <w:tcPr>
            <w:tcW w:w="6244" w:type="dxa"/>
            <w:tcBorders>
              <w:top w:val="nil"/>
              <w:left w:val="nil"/>
              <w:bottom w:val="single" w:sz="8" w:space="0" w:color="00688D"/>
              <w:right w:val="nil"/>
            </w:tcBorders>
            <w:shd w:val="clear" w:color="000000" w:fill="FFFFFF"/>
            <w:vAlign w:val="bottom"/>
            <w:hideMark/>
          </w:tcPr>
          <w:p w14:paraId="6693002D"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Fiduciary net position as a percentage of the total pension liability</w:t>
            </w:r>
          </w:p>
        </w:tc>
        <w:tc>
          <w:tcPr>
            <w:tcW w:w="1044" w:type="dxa"/>
            <w:tcBorders>
              <w:top w:val="nil"/>
              <w:left w:val="nil"/>
              <w:bottom w:val="single" w:sz="8" w:space="0" w:color="00688D"/>
              <w:right w:val="nil"/>
            </w:tcBorders>
            <w:shd w:val="clear" w:color="000000" w:fill="FFFFFF"/>
            <w:noWrap/>
            <w:vAlign w:val="bottom"/>
            <w:hideMark/>
          </w:tcPr>
          <w:p w14:paraId="307A9E42" w14:textId="77777777" w:rsidR="00051D7E" w:rsidRPr="006539B7" w:rsidRDefault="00051D7E" w:rsidP="007531FB">
            <w:pPr>
              <w:jc w:val="right"/>
              <w:rPr>
                <w:rFonts w:ascii="Calibri" w:eastAsia="Times New Roman" w:hAnsi="Calibri" w:cs="Calibri"/>
                <w:color w:val="0D0D0D"/>
              </w:rPr>
            </w:pPr>
            <w:r>
              <w:rPr>
                <w:rFonts w:ascii="Calibri" w:eastAsia="Times New Roman" w:hAnsi="Calibri" w:cs="Calibri"/>
                <w:color w:val="0D0D0D"/>
              </w:rPr>
              <w:t>74.7</w:t>
            </w:r>
            <w:r w:rsidRPr="006539B7">
              <w:rPr>
                <w:rFonts w:ascii="Calibri" w:eastAsia="Times New Roman" w:hAnsi="Calibri" w:cs="Calibri"/>
                <w:color w:val="0D0D0D"/>
              </w:rPr>
              <w:t>%</w:t>
            </w:r>
          </w:p>
        </w:tc>
        <w:tc>
          <w:tcPr>
            <w:tcW w:w="1064" w:type="dxa"/>
            <w:tcBorders>
              <w:top w:val="nil"/>
              <w:left w:val="nil"/>
              <w:bottom w:val="single" w:sz="8" w:space="0" w:color="00688D"/>
              <w:right w:val="nil"/>
            </w:tcBorders>
            <w:shd w:val="clear" w:color="auto" w:fill="D9D9D9" w:themeFill="background1" w:themeFillShade="D9"/>
            <w:noWrap/>
            <w:vAlign w:val="bottom"/>
            <w:hideMark/>
          </w:tcPr>
          <w:p w14:paraId="6B1610A2"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67.8%</w:t>
            </w:r>
          </w:p>
        </w:tc>
      </w:tr>
    </w:tbl>
    <w:p w14:paraId="4A2D151C" w14:textId="77777777" w:rsidR="00051D7E" w:rsidRPr="00F54559" w:rsidRDefault="00051D7E" w:rsidP="00051D7E">
      <w:pPr>
        <w:widowControl w:val="0"/>
        <w:spacing w:before="240"/>
        <w:rPr>
          <w:rFonts w:eastAsia="Franklin Gothic Book" w:cstheme="minorHAnsi"/>
          <w:spacing w:val="-1"/>
          <w:sz w:val="24"/>
        </w:rPr>
      </w:pPr>
      <w:r w:rsidRPr="00F54559">
        <w:rPr>
          <w:rFonts w:eastAsia="Franklin Gothic Book" w:cstheme="minorHAnsi"/>
          <w:spacing w:val="-1"/>
          <w:sz w:val="24"/>
        </w:rPr>
        <w:t>For purposes of determining fiduciary net position, benefits are recorded when paid.</w:t>
      </w:r>
    </w:p>
    <w:p w14:paraId="3E8FC284" w14:textId="77777777" w:rsidR="00051D7E" w:rsidRPr="009014A7" w:rsidRDefault="00051D7E" w:rsidP="00051D7E">
      <w:pPr>
        <w:widowControl w:val="0"/>
        <w:ind w:left="180"/>
        <w:rPr>
          <w:rFonts w:eastAsia="Franklin Gothic Book" w:cstheme="minorHAnsi"/>
          <w:spacing w:val="-1"/>
          <w:sz w:val="20"/>
        </w:rPr>
      </w:pPr>
    </w:p>
    <w:p w14:paraId="17813665" w14:textId="77777777" w:rsidR="009014A7" w:rsidRDefault="009014A7">
      <w:pPr>
        <w:spacing w:after="160" w:line="259" w:lineRule="auto"/>
        <w:rPr>
          <w:rFonts w:eastAsia="Times New Roman" w:cstheme="minorHAnsi"/>
          <w:b/>
          <w:i/>
          <w:spacing w:val="-1"/>
          <w:sz w:val="24"/>
        </w:rPr>
      </w:pPr>
      <w:r>
        <w:rPr>
          <w:rFonts w:eastAsia="Times New Roman" w:cstheme="minorHAnsi"/>
          <w:b/>
          <w:i/>
          <w:spacing w:val="-1"/>
          <w:sz w:val="24"/>
        </w:rPr>
        <w:br w:type="page"/>
      </w:r>
    </w:p>
    <w:p w14:paraId="5165630F" w14:textId="39960A98" w:rsidR="009014A7" w:rsidRDefault="009014A7" w:rsidP="009014A7">
      <w:pPr>
        <w:widowControl w:val="0"/>
        <w:spacing w:before="240" w:after="120"/>
        <w:rPr>
          <w:rFonts w:eastAsia="Times New Roman" w:cstheme="minorHAnsi"/>
          <w:b/>
          <w:i/>
          <w:spacing w:val="-1"/>
          <w:sz w:val="24"/>
        </w:rPr>
      </w:pPr>
      <w:r w:rsidRPr="00F54559">
        <w:rPr>
          <w:rFonts w:cstheme="minorHAnsi"/>
          <w:b/>
          <w:i/>
          <w:sz w:val="26"/>
          <w:u w:val="single" w:color="000000" w:themeColor="text1"/>
        </w:rPr>
        <w:lastRenderedPageBreak/>
        <w:t>13d. Defined Benefit Plan – Classified Employees - continued</w:t>
      </w:r>
    </w:p>
    <w:p w14:paraId="2C2618A6" w14:textId="3BD0B966" w:rsidR="00051D7E" w:rsidRPr="00F54559" w:rsidRDefault="00051D7E" w:rsidP="00051D7E">
      <w:pPr>
        <w:widowControl w:val="0"/>
        <w:rPr>
          <w:rFonts w:eastAsia="Franklin Gothic Book" w:cstheme="minorHAnsi"/>
          <w:spacing w:val="-1"/>
          <w:sz w:val="24"/>
        </w:rPr>
      </w:pPr>
      <w:r w:rsidRPr="00F54559">
        <w:rPr>
          <w:rFonts w:eastAsia="Times New Roman" w:cstheme="minorHAnsi"/>
          <w:b/>
          <w:i/>
          <w:spacing w:val="-1"/>
          <w:sz w:val="24"/>
        </w:rPr>
        <w:t>Actuarial Assumptions:</w:t>
      </w:r>
      <w:r w:rsidRPr="00F54559">
        <w:rPr>
          <w:rFonts w:eastAsia="Franklin Gothic Book" w:cstheme="minorHAnsi"/>
          <w:spacing w:val="-1"/>
          <w:sz w:val="24"/>
        </w:rPr>
        <w:t xml:space="preserve"> The total pension liability as of June 30, 20</w:t>
      </w:r>
      <w:r>
        <w:rPr>
          <w:rFonts w:eastAsia="Franklin Gothic Book" w:cstheme="minorHAnsi"/>
          <w:spacing w:val="-1"/>
          <w:sz w:val="24"/>
        </w:rPr>
        <w:t>21</w:t>
      </w:r>
      <w:r w:rsidRPr="00F54559">
        <w:rPr>
          <w:rFonts w:eastAsia="Franklin Gothic Book" w:cstheme="minorHAnsi"/>
          <w:spacing w:val="-1"/>
          <w:sz w:val="24"/>
        </w:rPr>
        <w:t xml:space="preserve"> and 20</w:t>
      </w:r>
      <w:r>
        <w:rPr>
          <w:rFonts w:eastAsia="Franklin Gothic Book" w:cstheme="minorHAnsi"/>
          <w:spacing w:val="-1"/>
          <w:sz w:val="24"/>
        </w:rPr>
        <w:t>20</w:t>
      </w:r>
      <w:r w:rsidRPr="00F54559">
        <w:rPr>
          <w:rFonts w:eastAsia="Franklin Gothic Book" w:cstheme="minorHAnsi"/>
          <w:spacing w:val="-1"/>
          <w:sz w:val="24"/>
        </w:rPr>
        <w:t xml:space="preserve"> was determined by an actuarial valuation as of July 1, 20</w:t>
      </w:r>
      <w:r>
        <w:rPr>
          <w:rFonts w:eastAsia="Franklin Gothic Book" w:cstheme="minorHAnsi"/>
          <w:spacing w:val="-1"/>
          <w:sz w:val="24"/>
        </w:rPr>
        <w:t xml:space="preserve">21 and as of July 1, 2019 </w:t>
      </w:r>
      <w:r w:rsidRPr="00F54559">
        <w:rPr>
          <w:rFonts w:eastAsia="Franklin Gothic Book" w:cstheme="minorHAnsi"/>
          <w:spacing w:val="-1"/>
          <w:sz w:val="24"/>
        </w:rPr>
        <w:t xml:space="preserve"> </w:t>
      </w:r>
      <w:r>
        <w:rPr>
          <w:rFonts w:eastAsia="Franklin Gothic Book" w:cstheme="minorHAnsi"/>
          <w:sz w:val="24"/>
        </w:rPr>
        <w:t>rolled forward to the measurement date of June 30, 2020</w:t>
      </w:r>
      <w:r w:rsidRPr="00F54559">
        <w:rPr>
          <w:rFonts w:eastAsia="Franklin Gothic Book" w:cstheme="minorHAnsi"/>
          <w:spacing w:val="-1"/>
          <w:sz w:val="24"/>
        </w:rPr>
        <w:t>, respectively, using the following actuarial assumptions, applied to all periods included in the measurement:</w:t>
      </w:r>
    </w:p>
    <w:p w14:paraId="4C8C51D9" w14:textId="77777777" w:rsidR="00051D7E" w:rsidRPr="009014A7" w:rsidRDefault="00051D7E" w:rsidP="00051D7E">
      <w:pPr>
        <w:widowControl w:val="0"/>
        <w:rPr>
          <w:rFonts w:eastAsia="Franklin Gothic Book" w:cstheme="minorHAnsi"/>
          <w:spacing w:val="-1"/>
          <w:sz w:val="20"/>
          <w:szCs w:val="24"/>
        </w:rPr>
      </w:pPr>
    </w:p>
    <w:p w14:paraId="3E2CDEDA" w14:textId="77777777" w:rsidR="00051D7E" w:rsidRPr="0066125B" w:rsidRDefault="00051D7E" w:rsidP="00051D7E">
      <w:pPr>
        <w:widowControl w:val="0"/>
        <w:pBdr>
          <w:top w:val="single" w:sz="4" w:space="1" w:color="00688D"/>
        </w:pBdr>
        <w:tabs>
          <w:tab w:val="left" w:pos="3510"/>
        </w:tabs>
        <w:ind w:left="540" w:right="360"/>
        <w:rPr>
          <w:rFonts w:eastAsia="Franklin Gothic Book" w:cstheme="minorHAnsi"/>
          <w:sz w:val="24"/>
          <w:szCs w:val="24"/>
        </w:rPr>
      </w:pPr>
      <w:r w:rsidRPr="0066125B">
        <w:rPr>
          <w:rFonts w:eastAsia="Franklin Gothic Book" w:cstheme="minorHAnsi"/>
          <w:sz w:val="24"/>
          <w:szCs w:val="24"/>
        </w:rPr>
        <w:t>Actuarial cost method</w:t>
      </w:r>
      <w:r w:rsidRPr="0066125B">
        <w:rPr>
          <w:rFonts w:eastAsia="Franklin Gothic Book" w:cstheme="minorHAnsi"/>
          <w:sz w:val="24"/>
          <w:szCs w:val="24"/>
        </w:rPr>
        <w:tab/>
        <w:t>Entry age normal</w:t>
      </w:r>
    </w:p>
    <w:p w14:paraId="5A6E360C" w14:textId="77777777" w:rsidR="00051D7E" w:rsidRPr="0066125B" w:rsidRDefault="00051D7E" w:rsidP="00051D7E">
      <w:pPr>
        <w:widowControl w:val="0"/>
        <w:pBdr>
          <w:top w:val="single" w:sz="4" w:space="1" w:color="00688D"/>
        </w:pBdr>
        <w:tabs>
          <w:tab w:val="left" w:pos="3510"/>
        </w:tabs>
        <w:ind w:left="2160" w:right="360" w:hanging="1620"/>
        <w:rPr>
          <w:rFonts w:eastAsia="Franklin Gothic Book" w:cstheme="minorHAnsi"/>
          <w:sz w:val="24"/>
          <w:szCs w:val="24"/>
        </w:rPr>
      </w:pPr>
      <w:r w:rsidRPr="0066125B">
        <w:rPr>
          <w:rFonts w:eastAsia="Franklin Gothic Book" w:cstheme="minorHAnsi"/>
          <w:sz w:val="24"/>
          <w:szCs w:val="24"/>
        </w:rPr>
        <w:t>Actuarial asset method</w:t>
      </w:r>
      <w:r w:rsidRPr="0066125B">
        <w:rPr>
          <w:rFonts w:eastAsia="Franklin Gothic Book" w:cstheme="minorHAnsi"/>
          <w:sz w:val="24"/>
          <w:szCs w:val="24"/>
        </w:rPr>
        <w:tab/>
      </w:r>
      <w:proofErr w:type="gramStart"/>
      <w:r w:rsidRPr="0066125B">
        <w:rPr>
          <w:rFonts w:eastAsia="Franklin Gothic Book" w:cstheme="minorHAnsi"/>
          <w:sz w:val="24"/>
          <w:szCs w:val="24"/>
        </w:rPr>
        <w:t>The</w:t>
      </w:r>
      <w:proofErr w:type="gramEnd"/>
      <w:r w:rsidRPr="0066125B">
        <w:rPr>
          <w:rFonts w:eastAsia="Franklin Gothic Book" w:cstheme="minorHAnsi"/>
          <w:sz w:val="24"/>
          <w:szCs w:val="24"/>
        </w:rPr>
        <w:t xml:space="preserve"> actuarial value of assets is the market value of </w:t>
      </w:r>
      <w:r>
        <w:rPr>
          <w:rFonts w:eastAsia="Franklin Gothic Book" w:cstheme="minorHAnsi"/>
          <w:sz w:val="24"/>
          <w:szCs w:val="24"/>
        </w:rPr>
        <w:tab/>
      </w:r>
      <w:r w:rsidRPr="0066125B">
        <w:rPr>
          <w:rFonts w:eastAsia="Franklin Gothic Book" w:cstheme="minorHAnsi"/>
          <w:sz w:val="24"/>
          <w:szCs w:val="24"/>
        </w:rPr>
        <w:t>assets</w:t>
      </w:r>
    </w:p>
    <w:p w14:paraId="511C56EE" w14:textId="77777777" w:rsidR="00051D7E" w:rsidRDefault="00051D7E" w:rsidP="00051D7E">
      <w:pPr>
        <w:widowControl w:val="0"/>
        <w:tabs>
          <w:tab w:val="left" w:pos="3510"/>
        </w:tabs>
        <w:ind w:left="540" w:right="360"/>
        <w:rPr>
          <w:rFonts w:eastAsia="Franklin Gothic Book" w:cstheme="minorHAnsi"/>
          <w:sz w:val="24"/>
          <w:szCs w:val="24"/>
        </w:rPr>
      </w:pPr>
      <w:r w:rsidRPr="0066125B">
        <w:rPr>
          <w:rFonts w:eastAsia="Franklin Gothic Book" w:cstheme="minorHAnsi"/>
          <w:sz w:val="24"/>
          <w:szCs w:val="24"/>
        </w:rPr>
        <w:t>Inflation</w:t>
      </w:r>
      <w:r w:rsidRPr="0066125B">
        <w:rPr>
          <w:rFonts w:eastAsia="Franklin Gothic Book" w:cstheme="minorHAnsi"/>
          <w:sz w:val="24"/>
          <w:szCs w:val="24"/>
        </w:rPr>
        <w:tab/>
        <w:t>2.</w:t>
      </w:r>
      <w:r>
        <w:rPr>
          <w:rFonts w:eastAsia="Franklin Gothic Book" w:cstheme="minorHAnsi"/>
          <w:sz w:val="24"/>
          <w:szCs w:val="24"/>
        </w:rPr>
        <w:t>5</w:t>
      </w:r>
      <w:r w:rsidRPr="0066125B">
        <w:rPr>
          <w:rFonts w:eastAsia="Franklin Gothic Book" w:cstheme="minorHAnsi"/>
          <w:sz w:val="24"/>
          <w:szCs w:val="24"/>
        </w:rPr>
        <w:t xml:space="preserve">% </w:t>
      </w:r>
      <w:r>
        <w:rPr>
          <w:rFonts w:eastAsia="Franklin Gothic Book" w:cstheme="minorHAnsi"/>
          <w:sz w:val="24"/>
          <w:szCs w:val="24"/>
        </w:rPr>
        <w:t>as of June 30, 2021</w:t>
      </w:r>
    </w:p>
    <w:p w14:paraId="473FC9DE" w14:textId="77777777" w:rsidR="00051D7E" w:rsidRPr="0066125B" w:rsidRDefault="00051D7E" w:rsidP="00051D7E">
      <w:pPr>
        <w:widowControl w:val="0"/>
        <w:tabs>
          <w:tab w:val="left" w:pos="3510"/>
        </w:tabs>
        <w:ind w:left="540" w:right="360"/>
        <w:rPr>
          <w:rFonts w:eastAsia="Franklin Gothic Book" w:cstheme="minorHAnsi"/>
          <w:sz w:val="24"/>
          <w:szCs w:val="24"/>
        </w:rPr>
      </w:pPr>
      <w:r>
        <w:rPr>
          <w:rFonts w:eastAsia="Franklin Gothic Book" w:cstheme="minorHAnsi"/>
          <w:sz w:val="24"/>
          <w:szCs w:val="24"/>
        </w:rPr>
        <w:tab/>
      </w:r>
      <w:r w:rsidRPr="0066125B">
        <w:rPr>
          <w:rFonts w:eastAsia="Franklin Gothic Book" w:cstheme="minorHAnsi"/>
          <w:sz w:val="24"/>
          <w:szCs w:val="24"/>
        </w:rPr>
        <w:t xml:space="preserve">2.4% </w:t>
      </w:r>
      <w:r>
        <w:rPr>
          <w:rFonts w:eastAsia="Franklin Gothic Book" w:cstheme="minorHAnsi"/>
          <w:sz w:val="24"/>
          <w:szCs w:val="24"/>
        </w:rPr>
        <w:t>as of June 30, 2020</w:t>
      </w:r>
    </w:p>
    <w:p w14:paraId="75302894" w14:textId="77777777" w:rsidR="00051D7E" w:rsidRPr="0066125B" w:rsidRDefault="00051D7E" w:rsidP="00051D7E">
      <w:pPr>
        <w:widowControl w:val="0"/>
        <w:tabs>
          <w:tab w:val="left" w:pos="3510"/>
        </w:tabs>
        <w:ind w:left="540" w:right="360"/>
        <w:rPr>
          <w:rFonts w:eastAsia="Franklin Gothic Book" w:cstheme="minorHAnsi"/>
          <w:sz w:val="24"/>
          <w:szCs w:val="24"/>
        </w:rPr>
      </w:pPr>
      <w:r w:rsidRPr="0066125B">
        <w:rPr>
          <w:rFonts w:eastAsia="Franklin Gothic Book" w:cstheme="minorHAnsi"/>
          <w:sz w:val="24"/>
          <w:szCs w:val="24"/>
        </w:rPr>
        <w:t>Salary increases</w:t>
      </w:r>
      <w:r w:rsidRPr="0066125B">
        <w:rPr>
          <w:rFonts w:eastAsia="Franklin Gothic Book" w:cstheme="minorHAnsi"/>
          <w:sz w:val="24"/>
          <w:szCs w:val="24"/>
        </w:rPr>
        <w:tab/>
        <w:t>3.5% for all years</w:t>
      </w:r>
    </w:p>
    <w:p w14:paraId="5391BB49" w14:textId="77777777" w:rsidR="00051D7E" w:rsidRPr="0066125B" w:rsidRDefault="00051D7E" w:rsidP="00051D7E">
      <w:pPr>
        <w:widowControl w:val="0"/>
        <w:tabs>
          <w:tab w:val="left" w:pos="3510"/>
        </w:tabs>
        <w:ind w:left="540" w:right="360"/>
        <w:rPr>
          <w:rFonts w:eastAsia="Franklin Gothic Book" w:cstheme="minorHAnsi"/>
          <w:sz w:val="24"/>
          <w:szCs w:val="24"/>
        </w:rPr>
      </w:pPr>
      <w:r w:rsidRPr="0066125B">
        <w:rPr>
          <w:rFonts w:eastAsia="Franklin Gothic Book" w:cstheme="minorHAnsi"/>
          <w:sz w:val="24"/>
          <w:szCs w:val="24"/>
        </w:rPr>
        <w:t>Investment rate of return</w:t>
      </w:r>
      <w:r w:rsidRPr="0066125B">
        <w:rPr>
          <w:rFonts w:eastAsia="Franklin Gothic Book" w:cstheme="minorHAnsi"/>
          <w:sz w:val="24"/>
          <w:szCs w:val="24"/>
        </w:rPr>
        <w:tab/>
        <w:t>6.25% net of investment expenses, including inflation</w:t>
      </w:r>
    </w:p>
    <w:p w14:paraId="18CAD3BC" w14:textId="77777777" w:rsidR="00051D7E" w:rsidRPr="0066125B" w:rsidRDefault="00051D7E" w:rsidP="00051D7E">
      <w:pPr>
        <w:widowControl w:val="0"/>
        <w:pBdr>
          <w:bottom w:val="single" w:sz="4" w:space="1" w:color="00688D"/>
        </w:pBdr>
        <w:tabs>
          <w:tab w:val="left" w:pos="3510"/>
        </w:tabs>
        <w:ind w:left="3516" w:right="360" w:hanging="2976"/>
        <w:rPr>
          <w:rFonts w:eastAsia="Franklin Gothic Book" w:cstheme="minorHAnsi"/>
          <w:sz w:val="24"/>
          <w:szCs w:val="24"/>
        </w:rPr>
      </w:pPr>
      <w:r w:rsidRPr="0066125B">
        <w:rPr>
          <w:rFonts w:eastAsia="Franklin Gothic Book" w:cstheme="minorHAnsi"/>
          <w:sz w:val="24"/>
          <w:szCs w:val="24"/>
        </w:rPr>
        <w:t>Life expectancy</w:t>
      </w:r>
      <w:r w:rsidRPr="0066125B">
        <w:rPr>
          <w:rFonts w:eastAsia="Franklin Gothic Book" w:cstheme="minorHAnsi"/>
          <w:sz w:val="24"/>
          <w:szCs w:val="24"/>
        </w:rPr>
        <w:tab/>
        <w:t>Pre-retirement and post</w:t>
      </w:r>
      <w:r>
        <w:rPr>
          <w:rFonts w:eastAsia="Franklin Gothic Book" w:cstheme="minorHAnsi"/>
          <w:sz w:val="24"/>
          <w:szCs w:val="24"/>
        </w:rPr>
        <w:t>-</w:t>
      </w:r>
      <w:r w:rsidRPr="0066125B">
        <w:rPr>
          <w:rFonts w:eastAsia="Franklin Gothic Book" w:cstheme="minorHAnsi"/>
          <w:sz w:val="24"/>
          <w:szCs w:val="24"/>
        </w:rPr>
        <w:t xml:space="preserve">retirement mortality rates were based on the </w:t>
      </w:r>
      <w:r>
        <w:rPr>
          <w:rFonts w:eastAsia="Franklin Gothic Book" w:cstheme="minorHAnsi"/>
          <w:sz w:val="24"/>
          <w:szCs w:val="24"/>
        </w:rPr>
        <w:t>Pub-2010 amount-weighted</w:t>
      </w:r>
      <w:r w:rsidRPr="0066125B">
        <w:rPr>
          <w:rFonts w:eastAsia="Franklin Gothic Book" w:cstheme="minorHAnsi"/>
          <w:sz w:val="24"/>
          <w:szCs w:val="24"/>
        </w:rPr>
        <w:t xml:space="preserve"> </w:t>
      </w:r>
      <w:r w:rsidRPr="0066125B">
        <w:rPr>
          <w:rFonts w:eastAsia="Franklin Gothic Book" w:cstheme="minorHAnsi"/>
          <w:spacing w:val="-1"/>
          <w:sz w:val="24"/>
          <w:szCs w:val="24"/>
        </w:rPr>
        <w:t xml:space="preserve">Mortality Table </w:t>
      </w:r>
      <w:r>
        <w:rPr>
          <w:rFonts w:eastAsia="Franklin Gothic Book" w:cstheme="minorHAnsi"/>
          <w:spacing w:val="-1"/>
          <w:sz w:val="24"/>
          <w:szCs w:val="24"/>
        </w:rPr>
        <w:t>with</w:t>
      </w:r>
      <w:r w:rsidRPr="0066125B">
        <w:rPr>
          <w:rFonts w:eastAsia="Franklin Gothic Book" w:cstheme="minorHAnsi"/>
          <w:spacing w:val="-1"/>
          <w:sz w:val="24"/>
          <w:szCs w:val="24"/>
        </w:rPr>
        <w:t xml:space="preserve"> Scale MP-20</w:t>
      </w:r>
      <w:r>
        <w:rPr>
          <w:rFonts w:eastAsia="Franklin Gothic Book" w:cstheme="minorHAnsi"/>
          <w:spacing w:val="-1"/>
          <w:sz w:val="24"/>
          <w:szCs w:val="24"/>
        </w:rPr>
        <w:t>20</w:t>
      </w:r>
      <w:r w:rsidRPr="0066125B">
        <w:rPr>
          <w:rFonts w:eastAsia="Franklin Gothic Book" w:cstheme="minorHAnsi"/>
          <w:spacing w:val="-1"/>
          <w:sz w:val="24"/>
          <w:szCs w:val="24"/>
        </w:rPr>
        <w:t>.</w:t>
      </w:r>
      <w:r>
        <w:rPr>
          <w:rFonts w:eastAsia="Franklin Gothic Book" w:cstheme="minorHAnsi"/>
          <w:spacing w:val="-1"/>
          <w:sz w:val="24"/>
          <w:szCs w:val="24"/>
        </w:rPr>
        <w:t xml:space="preserve"> </w:t>
      </w:r>
      <w:r w:rsidRPr="00EE615A">
        <w:rPr>
          <w:rFonts w:eastAsia="Franklin Gothic Book" w:cstheme="minorHAnsi"/>
          <w:spacing w:val="-1"/>
          <w:sz w:val="24"/>
          <w:szCs w:val="24"/>
        </w:rPr>
        <w:t xml:space="preserve">For disabled lives, the mortality rates were based on the </w:t>
      </w:r>
      <w:r>
        <w:rPr>
          <w:rFonts w:eastAsia="Franklin Gothic Book" w:cstheme="minorHAnsi"/>
          <w:spacing w:val="-1"/>
          <w:sz w:val="24"/>
          <w:szCs w:val="24"/>
        </w:rPr>
        <w:t>Pub-2010</w:t>
      </w:r>
      <w:r w:rsidRPr="00EE615A">
        <w:rPr>
          <w:rFonts w:eastAsia="Franklin Gothic Book" w:cstheme="minorHAnsi"/>
          <w:spacing w:val="-1"/>
          <w:sz w:val="24"/>
          <w:szCs w:val="24"/>
        </w:rPr>
        <w:t xml:space="preserve"> </w:t>
      </w:r>
      <w:r>
        <w:rPr>
          <w:rFonts w:eastAsia="Franklin Gothic Book" w:cstheme="minorHAnsi"/>
          <w:spacing w:val="-1"/>
          <w:sz w:val="24"/>
          <w:szCs w:val="24"/>
        </w:rPr>
        <w:t xml:space="preserve">amount-weighted </w:t>
      </w:r>
      <w:r w:rsidRPr="00EE615A">
        <w:rPr>
          <w:rFonts w:eastAsia="Franklin Gothic Book" w:cstheme="minorHAnsi"/>
          <w:spacing w:val="-1"/>
          <w:sz w:val="24"/>
          <w:szCs w:val="24"/>
        </w:rPr>
        <w:t>Disabled Mortality Table</w:t>
      </w:r>
      <w:r>
        <w:rPr>
          <w:rFonts w:eastAsia="Franklin Gothic Book" w:cstheme="minorHAnsi"/>
          <w:spacing w:val="-1"/>
          <w:sz w:val="24"/>
          <w:szCs w:val="24"/>
        </w:rPr>
        <w:t xml:space="preserve"> with Scale MP-2020.</w:t>
      </w:r>
    </w:p>
    <w:p w14:paraId="3829A292" w14:textId="77777777" w:rsidR="00051D7E" w:rsidRPr="00895AE3" w:rsidRDefault="00051D7E" w:rsidP="00051D7E">
      <w:pPr>
        <w:widowControl w:val="0"/>
        <w:tabs>
          <w:tab w:val="left" w:pos="3510"/>
        </w:tabs>
        <w:ind w:right="360"/>
        <w:rPr>
          <w:rFonts w:eastAsia="Franklin Gothic Book" w:cstheme="minorHAnsi"/>
          <w:spacing w:val="-1"/>
          <w:sz w:val="24"/>
          <w:szCs w:val="24"/>
        </w:rPr>
      </w:pPr>
    </w:p>
    <w:p w14:paraId="304E9B9F" w14:textId="77777777" w:rsidR="00051D7E" w:rsidRDefault="00051D7E" w:rsidP="00051D7E">
      <w:pPr>
        <w:widowControl w:val="0"/>
        <w:ind w:right="-7"/>
        <w:rPr>
          <w:rFonts w:eastAsia="Franklin Gothic Book" w:cstheme="minorHAnsi"/>
          <w:sz w:val="24"/>
        </w:rPr>
      </w:pPr>
      <w:r w:rsidRPr="00F54559">
        <w:rPr>
          <w:rFonts w:eastAsia="Franklin Gothic Book" w:cstheme="minorHAnsi"/>
          <w:spacing w:val="-1"/>
          <w:sz w:val="24"/>
        </w:rPr>
        <w:t>T</w:t>
      </w:r>
      <w:r w:rsidRPr="00F54559">
        <w:rPr>
          <w:rFonts w:eastAsia="Franklin Gothic Book" w:cstheme="minorHAnsi"/>
          <w:sz w:val="24"/>
        </w:rPr>
        <w:t>he</w:t>
      </w:r>
      <w:r w:rsidRPr="00F54559">
        <w:rPr>
          <w:rFonts w:eastAsia="Franklin Gothic Book" w:cstheme="minorHAnsi"/>
          <w:spacing w:val="11"/>
          <w:sz w:val="24"/>
        </w:rPr>
        <w:t xml:space="preserve"> </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ng-te</w:t>
      </w:r>
      <w:r w:rsidRPr="00F54559">
        <w:rPr>
          <w:rFonts w:eastAsia="Franklin Gothic Book" w:cstheme="minorHAnsi"/>
          <w:spacing w:val="-2"/>
          <w:sz w:val="24"/>
        </w:rPr>
        <w:t>r</w:t>
      </w:r>
      <w:r w:rsidRPr="00F54559">
        <w:rPr>
          <w:rFonts w:eastAsia="Franklin Gothic Book" w:cstheme="minorHAnsi"/>
          <w:sz w:val="24"/>
        </w:rPr>
        <w:t>m</w:t>
      </w:r>
      <w:r w:rsidRPr="00F54559">
        <w:rPr>
          <w:rFonts w:eastAsia="Franklin Gothic Book" w:cstheme="minorHAnsi"/>
          <w:spacing w:val="11"/>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2"/>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9"/>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12"/>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9"/>
          <w:sz w:val="24"/>
        </w:rPr>
        <w:t xml:space="preserve"> </w:t>
      </w:r>
      <w:r w:rsidRPr="00F54559">
        <w:rPr>
          <w:rFonts w:eastAsia="Franklin Gothic Book" w:cstheme="minorHAnsi"/>
          <w:spacing w:val="-1"/>
          <w:sz w:val="24"/>
        </w:rPr>
        <w:t>o</w:t>
      </w:r>
      <w:r w:rsidRPr="00F54559">
        <w:rPr>
          <w:rFonts w:eastAsia="Franklin Gothic Book" w:cstheme="minorHAnsi"/>
          <w:sz w:val="24"/>
        </w:rPr>
        <w:t>n</w:t>
      </w:r>
      <w:r w:rsidRPr="00F54559">
        <w:rPr>
          <w:rFonts w:eastAsia="Franklin Gothic Book" w:cstheme="minorHAnsi"/>
          <w:spacing w:val="11"/>
          <w:sz w:val="24"/>
        </w:rPr>
        <w:t xml:space="preserve"> </w:t>
      </w:r>
      <w:r w:rsidRPr="00F54559">
        <w:rPr>
          <w:rFonts w:eastAsia="Franklin Gothic Book" w:cstheme="minorHAnsi"/>
          <w:spacing w:val="-1"/>
          <w:sz w:val="24"/>
        </w:rPr>
        <w:t>the P</w:t>
      </w:r>
      <w:r w:rsidRPr="00F54559">
        <w:rPr>
          <w:rFonts w:eastAsia="Franklin Gothic Book" w:cstheme="minorHAnsi"/>
          <w:sz w:val="24"/>
        </w:rPr>
        <w:t>lan’s</w:t>
      </w:r>
      <w:r w:rsidRPr="00F54559">
        <w:rPr>
          <w:rFonts w:eastAsia="Franklin Gothic Book" w:cstheme="minorHAnsi"/>
          <w:spacing w:val="11"/>
          <w:sz w:val="24"/>
        </w:rPr>
        <w:t xml:space="preserve"> </w:t>
      </w: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ments</w:t>
      </w:r>
      <w:r w:rsidRPr="00F54559">
        <w:rPr>
          <w:rFonts w:eastAsia="Franklin Gothic Book" w:cstheme="minorHAnsi"/>
          <w:spacing w:val="12"/>
          <w:sz w:val="24"/>
        </w:rPr>
        <w:t xml:space="preserve"> </w:t>
      </w:r>
      <w:r w:rsidRPr="00F54559">
        <w:rPr>
          <w:rFonts w:eastAsia="Franklin Gothic Book" w:cstheme="minorHAnsi"/>
          <w:sz w:val="24"/>
        </w:rPr>
        <w:t>was</w:t>
      </w:r>
      <w:r w:rsidRPr="00F54559">
        <w:rPr>
          <w:rFonts w:eastAsia="Franklin Gothic Book" w:cstheme="minorHAnsi"/>
          <w:spacing w:val="12"/>
          <w:sz w:val="24"/>
        </w:rPr>
        <w:t xml:space="preserve"> </w:t>
      </w:r>
      <w:r w:rsidRPr="00F54559">
        <w:rPr>
          <w:rFonts w:eastAsia="Franklin Gothic Book" w:cstheme="minorHAnsi"/>
          <w:sz w:val="24"/>
        </w:rPr>
        <w:t>dete</w:t>
      </w:r>
      <w:r w:rsidRPr="00F54559">
        <w:rPr>
          <w:rFonts w:eastAsia="Franklin Gothic Book" w:cstheme="minorHAnsi"/>
          <w:spacing w:val="-1"/>
          <w:sz w:val="24"/>
        </w:rPr>
        <w:t>r</w:t>
      </w:r>
      <w:r w:rsidRPr="00F54559">
        <w:rPr>
          <w:rFonts w:eastAsia="Franklin Gothic Book" w:cstheme="minorHAnsi"/>
          <w:sz w:val="24"/>
        </w:rPr>
        <w:t>mined</w:t>
      </w:r>
      <w:r w:rsidRPr="00F54559">
        <w:rPr>
          <w:rFonts w:eastAsia="Franklin Gothic Book" w:cstheme="minorHAnsi"/>
          <w:spacing w:val="10"/>
          <w:sz w:val="24"/>
        </w:rPr>
        <w:t xml:space="preserve"> </w:t>
      </w:r>
      <w:r w:rsidRPr="00F54559">
        <w:rPr>
          <w:rFonts w:eastAsia="Franklin Gothic Book" w:cstheme="minorHAnsi"/>
          <w:sz w:val="24"/>
        </w:rPr>
        <w:t>u</w:t>
      </w:r>
      <w:r w:rsidRPr="00F54559">
        <w:rPr>
          <w:rFonts w:eastAsia="Franklin Gothic Book" w:cstheme="minorHAnsi"/>
          <w:spacing w:val="1"/>
          <w:sz w:val="24"/>
        </w:rPr>
        <w:t>s</w:t>
      </w:r>
      <w:r w:rsidRPr="00F54559">
        <w:rPr>
          <w:rFonts w:eastAsia="Franklin Gothic Book" w:cstheme="minorHAnsi"/>
          <w:sz w:val="24"/>
        </w:rPr>
        <w:t>ing</w:t>
      </w:r>
      <w:r w:rsidRPr="00F54559">
        <w:rPr>
          <w:rFonts w:eastAsia="Franklin Gothic Book" w:cstheme="minorHAnsi"/>
          <w:spacing w:val="11"/>
          <w:sz w:val="24"/>
        </w:rPr>
        <w:t xml:space="preserve"> </w:t>
      </w:r>
      <w:r w:rsidRPr="00F54559">
        <w:rPr>
          <w:rFonts w:eastAsia="Franklin Gothic Book" w:cstheme="minorHAnsi"/>
          <w:sz w:val="24"/>
        </w:rPr>
        <w:t>a</w:t>
      </w:r>
      <w:r w:rsidRPr="00F54559">
        <w:rPr>
          <w:rFonts w:eastAsia="Franklin Gothic Book" w:cstheme="minorHAnsi"/>
          <w:spacing w:val="10"/>
          <w:sz w:val="24"/>
        </w:rPr>
        <w:t xml:space="preserve"> </w:t>
      </w:r>
      <w:r w:rsidRPr="00F54559">
        <w:rPr>
          <w:rFonts w:eastAsia="Franklin Gothic Book" w:cstheme="minorHAnsi"/>
          <w:sz w:val="24"/>
        </w:rPr>
        <w:t>building-bl</w:t>
      </w:r>
      <w:r w:rsidRPr="00F54559">
        <w:rPr>
          <w:rFonts w:eastAsia="Franklin Gothic Book" w:cstheme="minorHAnsi"/>
          <w:spacing w:val="-1"/>
          <w:sz w:val="24"/>
        </w:rPr>
        <w:t>o</w:t>
      </w:r>
      <w:r w:rsidRPr="00F54559">
        <w:rPr>
          <w:rFonts w:eastAsia="Franklin Gothic Book" w:cstheme="minorHAnsi"/>
          <w:sz w:val="24"/>
        </w:rPr>
        <w:t>ck</w:t>
      </w:r>
      <w:r w:rsidRPr="00F54559">
        <w:rPr>
          <w:rFonts w:eastAsia="Franklin Gothic Book" w:cstheme="minorHAnsi"/>
          <w:w w:val="99"/>
          <w:sz w:val="24"/>
        </w:rPr>
        <w:t xml:space="preserve"> </w:t>
      </w:r>
      <w:r w:rsidRPr="00F54559">
        <w:rPr>
          <w:rFonts w:eastAsia="Franklin Gothic Book" w:cstheme="minorHAnsi"/>
          <w:sz w:val="24"/>
        </w:rPr>
        <w:t>method</w:t>
      </w:r>
      <w:r w:rsidRPr="00F54559">
        <w:rPr>
          <w:rFonts w:eastAsia="Franklin Gothic Book" w:cstheme="minorHAnsi"/>
          <w:spacing w:val="34"/>
          <w:sz w:val="24"/>
        </w:rPr>
        <w:t xml:space="preserve"> </w:t>
      </w:r>
      <w:r w:rsidRPr="00F54559">
        <w:rPr>
          <w:rFonts w:eastAsia="Franklin Gothic Book" w:cstheme="minorHAnsi"/>
          <w:sz w:val="24"/>
        </w:rPr>
        <w:t>in</w:t>
      </w:r>
      <w:r w:rsidRPr="00F54559">
        <w:rPr>
          <w:rFonts w:eastAsia="Franklin Gothic Book" w:cstheme="minorHAnsi"/>
          <w:spacing w:val="33"/>
          <w:sz w:val="24"/>
        </w:rPr>
        <w:t xml:space="preserve"> </w:t>
      </w:r>
      <w:r w:rsidRPr="00F54559">
        <w:rPr>
          <w:rFonts w:eastAsia="Franklin Gothic Book" w:cstheme="minorHAnsi"/>
          <w:sz w:val="24"/>
        </w:rPr>
        <w:t>which</w:t>
      </w:r>
      <w:r w:rsidRPr="00F54559">
        <w:rPr>
          <w:rFonts w:eastAsia="Franklin Gothic Book" w:cstheme="minorHAnsi"/>
          <w:spacing w:val="34"/>
          <w:sz w:val="24"/>
        </w:rPr>
        <w:t xml:space="preserve"> </w:t>
      </w:r>
      <w:r w:rsidRPr="00F54559">
        <w:rPr>
          <w:rFonts w:eastAsia="Franklin Gothic Book" w:cstheme="minorHAnsi"/>
          <w:sz w:val="24"/>
        </w:rPr>
        <w:t>bes</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ima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35"/>
          <w:sz w:val="24"/>
        </w:rPr>
        <w:t xml:space="preserve"> </w:t>
      </w:r>
      <w:r w:rsidRPr="00F54559">
        <w:rPr>
          <w:rFonts w:eastAsia="Franklin Gothic Book" w:cstheme="minorHAnsi"/>
          <w:spacing w:val="-1"/>
          <w:sz w:val="24"/>
        </w:rPr>
        <w:t>r</w:t>
      </w:r>
      <w:r w:rsidRPr="00F54559">
        <w:rPr>
          <w:rFonts w:eastAsia="Franklin Gothic Book" w:cstheme="minorHAnsi"/>
          <w:sz w:val="24"/>
        </w:rPr>
        <w:t>anges</w:t>
      </w:r>
      <w:r w:rsidRPr="00F54559">
        <w:rPr>
          <w:rFonts w:eastAsia="Franklin Gothic Book" w:cstheme="minorHAnsi"/>
          <w:spacing w:val="34"/>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3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31"/>
          <w:sz w:val="24"/>
        </w:rPr>
        <w:t xml:space="preserve"> </w:t>
      </w:r>
      <w:r w:rsidRPr="00F54559">
        <w:rPr>
          <w:rFonts w:eastAsia="Franklin Gothic Book" w:cstheme="minorHAnsi"/>
          <w:sz w:val="24"/>
        </w:rPr>
        <w:t>fu</w:t>
      </w:r>
      <w:r w:rsidRPr="00F54559">
        <w:rPr>
          <w:rFonts w:eastAsia="Franklin Gothic Book" w:cstheme="minorHAnsi"/>
          <w:spacing w:val="1"/>
          <w:sz w:val="24"/>
        </w:rPr>
        <w:t>t</w:t>
      </w:r>
      <w:r w:rsidRPr="00F54559">
        <w:rPr>
          <w:rFonts w:eastAsia="Franklin Gothic Book" w:cstheme="minorHAnsi"/>
          <w:sz w:val="24"/>
        </w:rPr>
        <w:t>u</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34"/>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34"/>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34"/>
          <w:sz w:val="24"/>
        </w:rPr>
        <w:t xml:space="preserve"> </w:t>
      </w:r>
      <w:r w:rsidRPr="00F54559">
        <w:rPr>
          <w:rFonts w:eastAsia="Franklin Gothic Book" w:cstheme="minorHAnsi"/>
          <w:spacing w:val="-1"/>
          <w:sz w:val="24"/>
        </w:rPr>
        <w:t>(</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1"/>
          <w:sz w:val="24"/>
        </w:rPr>
        <w:t>s</w:t>
      </w:r>
      <w:r w:rsidRPr="00F54559">
        <w:rPr>
          <w:rFonts w:eastAsia="Franklin Gothic Book" w:cstheme="minorHAnsi"/>
          <w:sz w:val="24"/>
        </w:rPr>
        <w:t>,</w:t>
      </w:r>
      <w:r w:rsidRPr="00F54559">
        <w:rPr>
          <w:rFonts w:eastAsia="Franklin Gothic Book" w:cstheme="minorHAnsi"/>
          <w:spacing w:val="34"/>
          <w:sz w:val="24"/>
        </w:rPr>
        <w:t xml:space="preserve"> </w:t>
      </w:r>
      <w:r w:rsidRPr="00F54559">
        <w:rPr>
          <w:rFonts w:eastAsia="Franklin Gothic Book" w:cstheme="minorHAnsi"/>
          <w:sz w:val="24"/>
        </w:rPr>
        <w:t>net</w:t>
      </w:r>
      <w:r w:rsidRPr="00F54559">
        <w:rPr>
          <w:rFonts w:eastAsia="Franklin Gothic Book" w:cstheme="minorHAnsi"/>
          <w:spacing w:val="32"/>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pacing w:val="-1"/>
          <w:sz w:val="24"/>
        </w:rPr>
        <w:t>p</w:t>
      </w:r>
      <w:r w:rsidRPr="00F54559">
        <w:rPr>
          <w:rFonts w:eastAsia="Franklin Gothic Book" w:cstheme="minorHAnsi"/>
          <w:sz w:val="24"/>
        </w:rPr>
        <w:t>ension</w:t>
      </w:r>
      <w:r w:rsidRPr="00F54559">
        <w:rPr>
          <w:rFonts w:eastAsia="Franklin Gothic Book" w:cstheme="minorHAnsi"/>
          <w:spacing w:val="-5"/>
          <w:sz w:val="24"/>
        </w:rPr>
        <w:t xml:space="preserve"> </w:t>
      </w:r>
      <w:r w:rsidRPr="00F54559">
        <w:rPr>
          <w:rFonts w:eastAsia="Franklin Gothic Book" w:cstheme="minorHAnsi"/>
          <w:spacing w:val="-1"/>
          <w:sz w:val="24"/>
        </w:rPr>
        <w:t>p</w:t>
      </w:r>
      <w:r w:rsidRPr="00F54559">
        <w:rPr>
          <w:rFonts w:eastAsia="Franklin Gothic Book" w:cstheme="minorHAnsi"/>
          <w:sz w:val="24"/>
        </w:rPr>
        <w:t>lan</w:t>
      </w:r>
      <w:r w:rsidRPr="00F54559">
        <w:rPr>
          <w:rFonts w:eastAsia="Franklin Gothic Book" w:cstheme="minorHAnsi"/>
          <w:spacing w:val="-5"/>
          <w:sz w:val="24"/>
        </w:rPr>
        <w:t xml:space="preserve"> </w:t>
      </w: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w:t>
      </w:r>
      <w:r w:rsidRPr="00F54559">
        <w:rPr>
          <w:rFonts w:eastAsia="Franklin Gothic Book" w:cstheme="minorHAnsi"/>
          <w:spacing w:val="-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ense</w:t>
      </w:r>
      <w:r w:rsidRPr="00F54559">
        <w:rPr>
          <w:rFonts w:eastAsia="Franklin Gothic Book" w:cstheme="minorHAnsi"/>
          <w:spacing w:val="-4"/>
          <w:sz w:val="24"/>
        </w:rPr>
        <w:t xml:space="preserve"> </w:t>
      </w:r>
      <w:r w:rsidRPr="00F54559">
        <w:rPr>
          <w:rFonts w:eastAsia="Franklin Gothic Book" w:cstheme="minorHAnsi"/>
          <w:sz w:val="24"/>
        </w:rPr>
        <w:t>and</w:t>
      </w:r>
      <w:r w:rsidRPr="00F54559">
        <w:rPr>
          <w:rFonts w:eastAsia="Franklin Gothic Book" w:cstheme="minorHAnsi"/>
          <w:spacing w:val="-5"/>
          <w:sz w:val="24"/>
        </w:rPr>
        <w:t xml:space="preserve"> </w:t>
      </w: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4"/>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5"/>
          <w:sz w:val="24"/>
        </w:rPr>
        <w:t xml:space="preserve"> </w:t>
      </w:r>
      <w:r w:rsidRPr="00F54559">
        <w:rPr>
          <w:rFonts w:eastAsia="Franklin Gothic Book" w:cstheme="minorHAnsi"/>
          <w:sz w:val="24"/>
        </w:rPr>
        <w:t>de</w:t>
      </w:r>
      <w:r w:rsidRPr="00F54559">
        <w:rPr>
          <w:rFonts w:eastAsia="Franklin Gothic Book" w:cstheme="minorHAnsi"/>
          <w:spacing w:val="-2"/>
          <w:sz w:val="24"/>
        </w:rPr>
        <w:t>v</w:t>
      </w:r>
      <w:r w:rsidRPr="00F54559">
        <w:rPr>
          <w:rFonts w:eastAsia="Franklin Gothic Book" w:cstheme="minorHAnsi"/>
          <w:sz w:val="24"/>
        </w:rPr>
        <w:t>e</w:t>
      </w:r>
      <w:r w:rsidRPr="00F54559">
        <w:rPr>
          <w:rFonts w:eastAsia="Franklin Gothic Book" w:cstheme="minorHAnsi"/>
          <w:spacing w:val="-1"/>
          <w:sz w:val="24"/>
        </w:rPr>
        <w:t>l</w:t>
      </w:r>
      <w:r w:rsidRPr="00F54559">
        <w:rPr>
          <w:rFonts w:eastAsia="Franklin Gothic Book" w:cstheme="minorHAnsi"/>
          <w:sz w:val="24"/>
        </w:rPr>
        <w:t>o</w:t>
      </w:r>
      <w:r w:rsidRPr="00F54559">
        <w:rPr>
          <w:rFonts w:eastAsia="Franklin Gothic Book" w:cstheme="minorHAnsi"/>
          <w:spacing w:val="-2"/>
          <w:sz w:val="24"/>
        </w:rPr>
        <w:t>p</w:t>
      </w:r>
      <w:r w:rsidRPr="00F54559">
        <w:rPr>
          <w:rFonts w:eastAsia="Franklin Gothic Book" w:cstheme="minorHAnsi"/>
          <w:sz w:val="24"/>
        </w:rPr>
        <w:t>ed</w:t>
      </w:r>
      <w:r w:rsidRPr="00F54559">
        <w:rPr>
          <w:rFonts w:eastAsia="Franklin Gothic Book" w:cstheme="minorHAnsi"/>
          <w:spacing w:val="-2"/>
          <w:sz w:val="24"/>
        </w:rPr>
        <w:t xml:space="preserve"> </w:t>
      </w:r>
      <w:r w:rsidRPr="00F54559">
        <w:rPr>
          <w:rFonts w:eastAsia="Franklin Gothic Book" w:cstheme="minorHAnsi"/>
          <w:sz w:val="24"/>
        </w:rPr>
        <w:t>for</w:t>
      </w:r>
      <w:r w:rsidRPr="00F54559">
        <w:rPr>
          <w:rFonts w:eastAsia="Franklin Gothic Book" w:cstheme="minorHAnsi"/>
          <w:spacing w:val="-5"/>
          <w:sz w:val="24"/>
        </w:rPr>
        <w:t xml:space="preserve"> </w:t>
      </w:r>
      <w:r w:rsidRPr="00F54559">
        <w:rPr>
          <w:rFonts w:eastAsia="Franklin Gothic Book" w:cstheme="minorHAnsi"/>
          <w:sz w:val="24"/>
        </w:rPr>
        <w:t>each</w:t>
      </w:r>
      <w:r w:rsidRPr="00F54559">
        <w:rPr>
          <w:rFonts w:eastAsia="Franklin Gothic Book" w:cstheme="minorHAnsi"/>
          <w:spacing w:val="-2"/>
          <w:sz w:val="24"/>
        </w:rPr>
        <w:t xml:space="preserve"> </w:t>
      </w:r>
      <w:r w:rsidRPr="00F54559">
        <w:rPr>
          <w:rFonts w:eastAsia="Franklin Gothic Book" w:cstheme="minorHAnsi"/>
          <w:sz w:val="24"/>
        </w:rPr>
        <w:t>major</w:t>
      </w:r>
      <w:r w:rsidRPr="00F54559">
        <w:rPr>
          <w:rFonts w:eastAsia="Franklin Gothic Book" w:cstheme="minorHAnsi"/>
          <w:spacing w:val="-6"/>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1"/>
          <w:sz w:val="24"/>
        </w:rPr>
        <w:t xml:space="preserve"> </w:t>
      </w:r>
      <w:r w:rsidRPr="00F54559">
        <w:rPr>
          <w:rFonts w:eastAsia="Franklin Gothic Book" w:cstheme="minorHAnsi"/>
          <w:sz w:val="24"/>
        </w:rPr>
        <w:t>cla</w:t>
      </w:r>
      <w:r w:rsidRPr="00F54559">
        <w:rPr>
          <w:rFonts w:eastAsia="Franklin Gothic Book" w:cstheme="minorHAnsi"/>
          <w:spacing w:val="1"/>
          <w:sz w:val="24"/>
        </w:rPr>
        <w:t>ss</w:t>
      </w:r>
      <w:r w:rsidRPr="00F54559">
        <w:rPr>
          <w:rFonts w:eastAsia="Franklin Gothic Book" w:cstheme="minorHAnsi"/>
          <w:sz w:val="24"/>
        </w:rPr>
        <w:t>.</w:t>
      </w:r>
      <w:r w:rsidRPr="00F54559">
        <w:rPr>
          <w:rFonts w:eastAsia="Franklin Gothic Book" w:cstheme="minorHAnsi"/>
          <w:spacing w:val="41"/>
          <w:sz w:val="24"/>
        </w:rPr>
        <w:t xml:space="preserve"> </w:t>
      </w:r>
      <w:r w:rsidRPr="00F54559">
        <w:rPr>
          <w:rFonts w:eastAsia="Franklin Gothic Book" w:cstheme="minorHAnsi"/>
          <w:spacing w:val="-1"/>
          <w:sz w:val="24"/>
        </w:rPr>
        <w:t>T</w:t>
      </w:r>
      <w:r w:rsidRPr="00F54559">
        <w:rPr>
          <w:rFonts w:eastAsia="Franklin Gothic Book" w:cstheme="minorHAnsi"/>
          <w:sz w:val="24"/>
        </w:rPr>
        <w:t>hese</w:t>
      </w:r>
      <w:r w:rsidRPr="00F54559">
        <w:rPr>
          <w:rFonts w:eastAsia="Franklin Gothic Book" w:cstheme="minorHAnsi"/>
          <w:spacing w:val="-3"/>
          <w:sz w:val="24"/>
        </w:rPr>
        <w:t xml:space="preserve"> </w:t>
      </w:r>
      <w:r w:rsidRPr="00F54559">
        <w:rPr>
          <w:rFonts w:eastAsia="Franklin Gothic Book" w:cstheme="minorHAnsi"/>
          <w:spacing w:val="-1"/>
          <w:sz w:val="24"/>
        </w:rPr>
        <w:t>r</w:t>
      </w:r>
      <w:r w:rsidRPr="00F54559">
        <w:rPr>
          <w:rFonts w:eastAsia="Franklin Gothic Book" w:cstheme="minorHAnsi"/>
          <w:sz w:val="24"/>
        </w:rPr>
        <w:t>anges</w:t>
      </w:r>
      <w:r w:rsidRPr="00F54559">
        <w:rPr>
          <w:rFonts w:eastAsia="Franklin Gothic Book" w:cstheme="minorHAnsi"/>
          <w:spacing w:val="-3"/>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w w:val="99"/>
          <w:sz w:val="24"/>
        </w:rPr>
        <w:t xml:space="preserve"> </w:t>
      </w:r>
      <w:r w:rsidRPr="00F54559">
        <w:rPr>
          <w:rFonts w:eastAsia="Franklin Gothic Book" w:cstheme="minorHAnsi"/>
          <w:sz w:val="24"/>
        </w:rPr>
        <w:t>combined</w:t>
      </w:r>
      <w:r w:rsidRPr="00F54559">
        <w:rPr>
          <w:rFonts w:eastAsia="Franklin Gothic Book" w:cstheme="minorHAnsi"/>
          <w:spacing w:val="15"/>
          <w:sz w:val="24"/>
        </w:rPr>
        <w:t xml:space="preserve"> </w:t>
      </w:r>
      <w:r w:rsidRPr="00F54559">
        <w:rPr>
          <w:rFonts w:eastAsia="Franklin Gothic Book" w:cstheme="minorHAnsi"/>
          <w:spacing w:val="1"/>
          <w:sz w:val="24"/>
        </w:rPr>
        <w:t>t</w:t>
      </w:r>
      <w:r w:rsidRPr="00F54559">
        <w:rPr>
          <w:rFonts w:eastAsia="Franklin Gothic Book" w:cstheme="minorHAnsi"/>
          <w:sz w:val="24"/>
        </w:rPr>
        <w:t>o</w:t>
      </w:r>
      <w:r w:rsidRPr="00F54559">
        <w:rPr>
          <w:rFonts w:eastAsia="Franklin Gothic Book" w:cstheme="minorHAnsi"/>
          <w:spacing w:val="14"/>
          <w:sz w:val="24"/>
        </w:rPr>
        <w:t xml:space="preserve"> </w:t>
      </w:r>
      <w:r w:rsidRPr="00F54559">
        <w:rPr>
          <w:rFonts w:eastAsia="Franklin Gothic Book" w:cstheme="minorHAnsi"/>
          <w:spacing w:val="-1"/>
          <w:sz w:val="24"/>
        </w:rPr>
        <w:t>pr</w:t>
      </w:r>
      <w:r w:rsidRPr="00F54559">
        <w:rPr>
          <w:rFonts w:eastAsia="Franklin Gothic Book" w:cstheme="minorHAnsi"/>
          <w:sz w:val="24"/>
        </w:rPr>
        <w:t>odu</w:t>
      </w:r>
      <w:r w:rsidRPr="00F54559">
        <w:rPr>
          <w:rFonts w:eastAsia="Franklin Gothic Book" w:cstheme="minorHAnsi"/>
          <w:spacing w:val="1"/>
          <w:sz w:val="24"/>
        </w:rPr>
        <w:t>c</w:t>
      </w:r>
      <w:r w:rsidRPr="00F54559">
        <w:rPr>
          <w:rFonts w:eastAsia="Franklin Gothic Book" w:cstheme="minorHAnsi"/>
          <w:sz w:val="24"/>
        </w:rPr>
        <w:t>e</w:t>
      </w:r>
      <w:r w:rsidRPr="00F54559">
        <w:rPr>
          <w:rFonts w:eastAsia="Franklin Gothic Book" w:cstheme="minorHAnsi"/>
          <w:spacing w:val="16"/>
          <w:sz w:val="24"/>
        </w:rPr>
        <w:t xml:space="preserve"> </w:t>
      </w:r>
      <w:r w:rsidRPr="00F54559">
        <w:rPr>
          <w:rFonts w:eastAsia="Franklin Gothic Book" w:cstheme="minorHAnsi"/>
          <w:sz w:val="24"/>
        </w:rPr>
        <w:t>the</w:t>
      </w:r>
      <w:r w:rsidRPr="00F54559">
        <w:rPr>
          <w:rFonts w:eastAsia="Franklin Gothic Book" w:cstheme="minorHAnsi"/>
          <w:spacing w:val="15"/>
          <w:sz w:val="24"/>
        </w:rPr>
        <w:t xml:space="preserve"> </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ng-te</w:t>
      </w:r>
      <w:r w:rsidRPr="00F54559">
        <w:rPr>
          <w:rFonts w:eastAsia="Franklin Gothic Book" w:cstheme="minorHAnsi"/>
          <w:spacing w:val="-2"/>
          <w:sz w:val="24"/>
        </w:rPr>
        <w:t>r</w:t>
      </w:r>
      <w:r w:rsidRPr="00F54559">
        <w:rPr>
          <w:rFonts w:eastAsia="Franklin Gothic Book" w:cstheme="minorHAnsi"/>
          <w:sz w:val="24"/>
        </w:rPr>
        <w:t>m</w:t>
      </w:r>
      <w:r w:rsidRPr="00F54559">
        <w:rPr>
          <w:rFonts w:eastAsia="Franklin Gothic Book" w:cstheme="minorHAnsi"/>
          <w:spacing w:val="19"/>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5"/>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16"/>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15"/>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17"/>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13"/>
          <w:sz w:val="24"/>
        </w:rPr>
        <w:t xml:space="preserve"> </w:t>
      </w:r>
      <w:r w:rsidRPr="00F54559">
        <w:rPr>
          <w:rFonts w:eastAsia="Franklin Gothic Book" w:cstheme="minorHAnsi"/>
          <w:sz w:val="24"/>
        </w:rPr>
        <w:t>w</w:t>
      </w:r>
      <w:r w:rsidRPr="00F54559">
        <w:rPr>
          <w:rFonts w:eastAsia="Franklin Gothic Book" w:cstheme="minorHAnsi"/>
          <w:spacing w:val="-1"/>
          <w:sz w:val="24"/>
        </w:rPr>
        <w:t>e</w:t>
      </w:r>
      <w:r w:rsidRPr="00F54559">
        <w:rPr>
          <w:rFonts w:eastAsia="Franklin Gothic Book" w:cstheme="minorHAnsi"/>
          <w:sz w:val="24"/>
        </w:rPr>
        <w:t>ighting</w:t>
      </w:r>
      <w:r w:rsidRPr="00F54559">
        <w:rPr>
          <w:rFonts w:eastAsia="Franklin Gothic Book" w:cstheme="minorHAnsi"/>
          <w:spacing w:val="18"/>
          <w:sz w:val="24"/>
        </w:rPr>
        <w:t xml:space="preserve"> </w:t>
      </w:r>
      <w:r w:rsidRPr="00F54559">
        <w:rPr>
          <w:rFonts w:eastAsia="Franklin Gothic Book" w:cstheme="minorHAnsi"/>
          <w:sz w:val="24"/>
        </w:rPr>
        <w:t>the</w:t>
      </w:r>
      <w:r w:rsidRPr="00F54559">
        <w:rPr>
          <w:rFonts w:eastAsia="Franklin Gothic Book" w:cstheme="minorHAnsi"/>
          <w:spacing w:val="1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8"/>
          <w:sz w:val="24"/>
        </w:rPr>
        <w:t xml:space="preserve"> </w:t>
      </w:r>
      <w:r w:rsidRPr="00F54559">
        <w:rPr>
          <w:rFonts w:eastAsia="Franklin Gothic Book" w:cstheme="minorHAnsi"/>
          <w:sz w:val="24"/>
        </w:rPr>
        <w:t>fu</w:t>
      </w:r>
      <w:r w:rsidRPr="00F54559">
        <w:rPr>
          <w:rFonts w:eastAsia="Franklin Gothic Book" w:cstheme="minorHAnsi"/>
          <w:spacing w:val="1"/>
          <w:sz w:val="24"/>
        </w:rPr>
        <w:t>t</w:t>
      </w:r>
      <w:r w:rsidRPr="00F54559">
        <w:rPr>
          <w:rFonts w:eastAsia="Franklin Gothic Book" w:cstheme="minorHAnsi"/>
          <w:sz w:val="24"/>
        </w:rPr>
        <w:t>u</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14"/>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17"/>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15"/>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45"/>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44"/>
          <w:sz w:val="24"/>
        </w:rPr>
        <w:t xml:space="preserve"> </w:t>
      </w:r>
      <w:r w:rsidRPr="00F54559">
        <w:rPr>
          <w:rFonts w:eastAsia="Franklin Gothic Book" w:cstheme="minorHAnsi"/>
          <w:sz w:val="24"/>
        </w:rPr>
        <w:t>the</w:t>
      </w:r>
      <w:r w:rsidRPr="00F54559">
        <w:rPr>
          <w:rFonts w:eastAsia="Franklin Gothic Book" w:cstheme="minorHAnsi"/>
          <w:spacing w:val="46"/>
          <w:sz w:val="24"/>
        </w:rPr>
        <w:t xml:space="preserve"> </w:t>
      </w:r>
      <w:r w:rsidRPr="00F54559">
        <w:rPr>
          <w:rFonts w:eastAsia="Franklin Gothic Book" w:cstheme="minorHAnsi"/>
          <w:sz w:val="24"/>
        </w:rPr>
        <w:t>ta</w:t>
      </w:r>
      <w:r w:rsidRPr="00F54559">
        <w:rPr>
          <w:rFonts w:eastAsia="Franklin Gothic Book" w:cstheme="minorHAnsi"/>
          <w:spacing w:val="-1"/>
          <w:sz w:val="24"/>
        </w:rPr>
        <w:t>r</w:t>
      </w:r>
      <w:r w:rsidRPr="00F54559">
        <w:rPr>
          <w:rFonts w:eastAsia="Franklin Gothic Book" w:cstheme="minorHAnsi"/>
          <w:sz w:val="24"/>
        </w:rPr>
        <w:t>get</w:t>
      </w:r>
      <w:r w:rsidRPr="00F54559">
        <w:rPr>
          <w:rFonts w:eastAsia="Franklin Gothic Book" w:cstheme="minorHAnsi"/>
          <w:spacing w:val="47"/>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46"/>
          <w:sz w:val="24"/>
        </w:rPr>
        <w:t xml:space="preserve"> </w:t>
      </w:r>
      <w:r w:rsidRPr="00F54559">
        <w:rPr>
          <w:rFonts w:eastAsia="Franklin Gothic Book" w:cstheme="minorHAnsi"/>
          <w:sz w:val="24"/>
        </w:rPr>
        <w:t>alloca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b/>
          <w:i/>
          <w:sz w:val="24"/>
        </w:rPr>
        <w:t xml:space="preserve"> </w:t>
      </w:r>
      <w:r w:rsidRPr="00F54559">
        <w:rPr>
          <w:rFonts w:eastAsia="Franklin Gothic Book" w:cstheme="minorHAnsi"/>
          <w:spacing w:val="-1"/>
          <w:sz w:val="24"/>
        </w:rPr>
        <w:t>p</w:t>
      </w:r>
      <w:r w:rsidRPr="00F54559">
        <w:rPr>
          <w:rFonts w:eastAsia="Franklin Gothic Book" w:cstheme="minorHAnsi"/>
          <w:sz w:val="24"/>
        </w:rPr>
        <w:t>e</w:t>
      </w:r>
      <w:r w:rsidRPr="00F54559">
        <w:rPr>
          <w:rFonts w:eastAsia="Franklin Gothic Book" w:cstheme="minorHAnsi"/>
          <w:spacing w:val="-2"/>
          <w:sz w:val="24"/>
        </w:rPr>
        <w:t>r</w:t>
      </w:r>
      <w:r w:rsidRPr="00F54559">
        <w:rPr>
          <w:rFonts w:eastAsia="Franklin Gothic Book" w:cstheme="minorHAnsi"/>
          <w:sz w:val="24"/>
        </w:rPr>
        <w:t>centage</w:t>
      </w:r>
      <w:r w:rsidRPr="00F54559">
        <w:rPr>
          <w:rFonts w:eastAsia="Franklin Gothic Book" w:cstheme="minorHAnsi"/>
          <w:spacing w:val="46"/>
          <w:sz w:val="24"/>
        </w:rPr>
        <w:t xml:space="preserve"> </w:t>
      </w:r>
      <w:r w:rsidRPr="00F54559">
        <w:rPr>
          <w:rFonts w:eastAsia="Franklin Gothic Book" w:cstheme="minorHAnsi"/>
          <w:sz w:val="24"/>
        </w:rPr>
        <w:t>and</w:t>
      </w:r>
      <w:r w:rsidRPr="00F54559">
        <w:rPr>
          <w:rFonts w:eastAsia="Franklin Gothic Book" w:cstheme="minorHAnsi"/>
          <w:spacing w:val="46"/>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44"/>
          <w:sz w:val="24"/>
        </w:rPr>
        <w:t xml:space="preserve"> </w:t>
      </w:r>
      <w:r w:rsidRPr="00F54559">
        <w:rPr>
          <w:rFonts w:eastAsia="Franklin Gothic Book" w:cstheme="minorHAnsi"/>
          <w:sz w:val="24"/>
        </w:rPr>
        <w:t>adding</w:t>
      </w:r>
      <w:r w:rsidRPr="00F54559">
        <w:rPr>
          <w:rFonts w:eastAsia="Franklin Gothic Book" w:cstheme="minorHAnsi"/>
          <w:spacing w:val="4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46"/>
          <w:sz w:val="24"/>
        </w:rPr>
        <w:t xml:space="preserve"> </w:t>
      </w: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r>
        <w:rPr>
          <w:rFonts w:eastAsia="Franklin Gothic Book" w:cstheme="minorHAnsi"/>
          <w:sz w:val="24"/>
        </w:rPr>
        <w:br w:type="page"/>
      </w:r>
    </w:p>
    <w:p w14:paraId="52B501C5" w14:textId="77777777" w:rsidR="00051D7E" w:rsidRPr="00F54559" w:rsidRDefault="00051D7E" w:rsidP="009014A7">
      <w:pPr>
        <w:pStyle w:val="AFR3"/>
        <w:rPr>
          <w:rFonts w:cstheme="minorHAnsi"/>
        </w:rPr>
      </w:pPr>
      <w:r w:rsidRPr="00F54559">
        <w:rPr>
          <w:rFonts w:cstheme="minorHAnsi"/>
        </w:rPr>
        <w:lastRenderedPageBreak/>
        <w:t>13d. Defined Benefit Plan – Classified Employees - continued</w:t>
      </w:r>
    </w:p>
    <w:p w14:paraId="0511C8B3" w14:textId="77777777" w:rsidR="00051D7E" w:rsidRDefault="00051D7E" w:rsidP="00051D7E">
      <w:pPr>
        <w:spacing w:line="259" w:lineRule="auto"/>
        <w:rPr>
          <w:rFonts w:eastAsia="Franklin Gothic Book" w:cstheme="minorHAnsi"/>
          <w:sz w:val="24"/>
        </w:rPr>
      </w:pPr>
      <w:r w:rsidRPr="00F54559">
        <w:rPr>
          <w:rFonts w:eastAsia="Franklin Gothic Book" w:cstheme="minorHAnsi"/>
          <w:sz w:val="24"/>
        </w:rPr>
        <w:t>B</w:t>
      </w:r>
      <w:r w:rsidRPr="00F54559">
        <w:rPr>
          <w:rFonts w:eastAsia="Franklin Gothic Book" w:cstheme="minorHAnsi"/>
          <w:spacing w:val="-1"/>
          <w:sz w:val="24"/>
        </w:rPr>
        <w:t>e</w:t>
      </w:r>
      <w:r w:rsidRPr="00F54559">
        <w:rPr>
          <w:rFonts w:eastAsia="Franklin Gothic Book" w:cstheme="minorHAnsi"/>
          <w:spacing w:val="1"/>
          <w:sz w:val="24"/>
        </w:rPr>
        <w:t>s</w:t>
      </w:r>
      <w:r w:rsidRPr="00F54559">
        <w:rPr>
          <w:rFonts w:eastAsia="Franklin Gothic Book" w:cstheme="minorHAnsi"/>
          <w:sz w:val="24"/>
        </w:rPr>
        <w:t>t</w:t>
      </w:r>
      <w:r w:rsidRPr="00F54559">
        <w:rPr>
          <w:rFonts w:eastAsia="Franklin Gothic Book" w:cstheme="minorHAnsi"/>
          <w:spacing w:val="47"/>
          <w:sz w:val="24"/>
        </w:rPr>
        <w:t xml:space="preserve"> </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ima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44"/>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ith</w:t>
      </w:r>
      <w:r w:rsidRPr="00F54559">
        <w:rPr>
          <w:rFonts w:eastAsia="Franklin Gothic Book" w:cstheme="minorHAnsi"/>
          <w:spacing w:val="1"/>
          <w:sz w:val="24"/>
        </w:rPr>
        <w:t>m</w:t>
      </w:r>
      <w:r w:rsidRPr="00F54559">
        <w:rPr>
          <w:rFonts w:eastAsia="Franklin Gothic Book" w:cstheme="minorHAnsi"/>
          <w:sz w:val="24"/>
        </w:rPr>
        <w:t>etic</w:t>
      </w:r>
      <w:r w:rsidRPr="00F54559">
        <w:rPr>
          <w:rFonts w:eastAsia="Franklin Gothic Book" w:cstheme="minorHAnsi"/>
          <w:spacing w:val="45"/>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40"/>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45"/>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4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45"/>
          <w:sz w:val="24"/>
        </w:rPr>
        <w:t xml:space="preserve"> </w:t>
      </w:r>
      <w:r w:rsidRPr="00F54559">
        <w:rPr>
          <w:rFonts w:eastAsia="Franklin Gothic Book" w:cstheme="minorHAnsi"/>
          <w:sz w:val="24"/>
        </w:rPr>
        <w:t>for</w:t>
      </w:r>
      <w:r w:rsidRPr="00F54559">
        <w:rPr>
          <w:rFonts w:eastAsia="Franklin Gothic Book" w:cstheme="minorHAnsi"/>
          <w:spacing w:val="40"/>
          <w:sz w:val="24"/>
        </w:rPr>
        <w:t xml:space="preserve"> </w:t>
      </w:r>
      <w:r w:rsidRPr="00F54559">
        <w:rPr>
          <w:rFonts w:eastAsia="Franklin Gothic Book" w:cstheme="minorHAnsi"/>
          <w:sz w:val="24"/>
        </w:rPr>
        <w:t>each</w:t>
      </w:r>
      <w:r w:rsidRPr="00F54559">
        <w:rPr>
          <w:rFonts w:eastAsia="Franklin Gothic Book" w:cstheme="minorHAnsi"/>
          <w:spacing w:val="45"/>
          <w:sz w:val="24"/>
        </w:rPr>
        <w:t xml:space="preserve"> </w:t>
      </w:r>
      <w:r w:rsidRPr="00F54559">
        <w:rPr>
          <w:rFonts w:eastAsia="Franklin Gothic Book" w:cstheme="minorHAnsi"/>
          <w:sz w:val="24"/>
        </w:rPr>
        <w:t>major</w:t>
      </w:r>
      <w:r w:rsidRPr="00F54559">
        <w:rPr>
          <w:rFonts w:eastAsia="Franklin Gothic Book" w:cstheme="minorHAnsi"/>
          <w:spacing w:val="40"/>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44"/>
          <w:sz w:val="24"/>
        </w:rPr>
        <w:t xml:space="preserve"> </w:t>
      </w:r>
      <w:r w:rsidRPr="00F54559">
        <w:rPr>
          <w:rFonts w:eastAsia="Franklin Gothic Book" w:cstheme="minorHAnsi"/>
          <w:sz w:val="24"/>
        </w:rPr>
        <w:t>cla</w:t>
      </w:r>
      <w:r w:rsidRPr="00F54559">
        <w:rPr>
          <w:rFonts w:eastAsia="Franklin Gothic Book" w:cstheme="minorHAnsi"/>
          <w:spacing w:val="1"/>
          <w:sz w:val="24"/>
        </w:rPr>
        <w:t>s</w:t>
      </w:r>
      <w:r w:rsidRPr="00F54559">
        <w:rPr>
          <w:rFonts w:eastAsia="Franklin Gothic Book" w:cstheme="minorHAnsi"/>
          <w:sz w:val="24"/>
        </w:rPr>
        <w:t>s</w:t>
      </w:r>
      <w:r w:rsidRPr="00F54559">
        <w:rPr>
          <w:rFonts w:eastAsia="Franklin Gothic Book" w:cstheme="minorHAnsi"/>
          <w:spacing w:val="43"/>
          <w:sz w:val="24"/>
        </w:rPr>
        <w:t xml:space="preserve"> </w:t>
      </w:r>
      <w:r w:rsidRPr="00F54559">
        <w:rPr>
          <w:rFonts w:eastAsia="Franklin Gothic Book" w:cstheme="minorHAnsi"/>
          <w:sz w:val="24"/>
        </w:rPr>
        <w:t>included</w:t>
      </w:r>
      <w:r w:rsidRPr="00F54559">
        <w:rPr>
          <w:rFonts w:eastAsia="Franklin Gothic Book" w:cstheme="minorHAnsi"/>
          <w:spacing w:val="44"/>
          <w:sz w:val="24"/>
        </w:rPr>
        <w:t xml:space="preserve"> </w:t>
      </w:r>
      <w:r w:rsidRPr="00F54559">
        <w:rPr>
          <w:rFonts w:eastAsia="Franklin Gothic Book" w:cstheme="minorHAnsi"/>
          <w:sz w:val="24"/>
        </w:rPr>
        <w:t>in</w:t>
      </w:r>
      <w:r w:rsidRPr="00F54559">
        <w:rPr>
          <w:rFonts w:eastAsia="Franklin Gothic Book" w:cstheme="minorHAnsi"/>
          <w:spacing w:val="41"/>
          <w:sz w:val="24"/>
        </w:rPr>
        <w:t xml:space="preserve"> </w:t>
      </w:r>
      <w:r w:rsidRPr="00F54559">
        <w:rPr>
          <w:rFonts w:eastAsia="Franklin Gothic Book" w:cstheme="minorHAnsi"/>
          <w:sz w:val="24"/>
        </w:rPr>
        <w:t>the</w:t>
      </w:r>
      <w:r w:rsidRPr="00F54559">
        <w:rPr>
          <w:rFonts w:eastAsia="Franklin Gothic Book" w:cstheme="minorHAnsi"/>
          <w:spacing w:val="43"/>
          <w:sz w:val="24"/>
        </w:rPr>
        <w:t xml:space="preserve"> </w:t>
      </w:r>
      <w:r w:rsidRPr="00F54559">
        <w:rPr>
          <w:rFonts w:eastAsia="Franklin Gothic Book" w:cstheme="minorHAnsi"/>
          <w:spacing w:val="-1"/>
          <w:sz w:val="24"/>
        </w:rPr>
        <w:t>P</w:t>
      </w:r>
      <w:r w:rsidRPr="00F54559">
        <w:rPr>
          <w:rFonts w:eastAsia="Franklin Gothic Book" w:cstheme="minorHAnsi"/>
          <w:sz w:val="24"/>
        </w:rPr>
        <w:t>lan's</w:t>
      </w:r>
      <w:r w:rsidRPr="00F54559">
        <w:rPr>
          <w:rFonts w:eastAsia="Franklin Gothic Book" w:cstheme="minorHAnsi"/>
          <w:spacing w:val="44"/>
          <w:sz w:val="24"/>
        </w:rPr>
        <w:t xml:space="preserve"> </w:t>
      </w:r>
      <w:r w:rsidRPr="00F54559">
        <w:rPr>
          <w:rFonts w:eastAsia="Franklin Gothic Book" w:cstheme="minorHAnsi"/>
          <w:sz w:val="24"/>
        </w:rPr>
        <w:t>ta</w:t>
      </w:r>
      <w:r w:rsidRPr="00F54559">
        <w:rPr>
          <w:rFonts w:eastAsia="Franklin Gothic Book" w:cstheme="minorHAnsi"/>
          <w:spacing w:val="-1"/>
          <w:sz w:val="24"/>
        </w:rPr>
        <w:t>r</w:t>
      </w:r>
      <w:r w:rsidRPr="00F54559">
        <w:rPr>
          <w:rFonts w:eastAsia="Franklin Gothic Book" w:cstheme="minorHAnsi"/>
          <w:sz w:val="24"/>
        </w:rPr>
        <w:t>get</w:t>
      </w:r>
      <w:r w:rsidRPr="00F54559">
        <w:rPr>
          <w:rFonts w:eastAsia="Franklin Gothic Book" w:cstheme="minorHAnsi"/>
          <w:spacing w:val="43"/>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w w:val="99"/>
          <w:sz w:val="24"/>
        </w:rPr>
        <w:t xml:space="preserve"> </w:t>
      </w:r>
      <w:r w:rsidRPr="00F54559">
        <w:rPr>
          <w:rFonts w:eastAsia="Franklin Gothic Book" w:cstheme="minorHAnsi"/>
          <w:sz w:val="24"/>
        </w:rPr>
        <w:t>alloca</w:t>
      </w:r>
      <w:r w:rsidRPr="00F54559">
        <w:rPr>
          <w:rFonts w:eastAsia="Franklin Gothic Book" w:cstheme="minorHAnsi"/>
          <w:spacing w:val="1"/>
          <w:sz w:val="24"/>
        </w:rPr>
        <w:t>t</w:t>
      </w:r>
      <w:r w:rsidRPr="00F54559">
        <w:rPr>
          <w:rFonts w:eastAsia="Franklin Gothic Book" w:cstheme="minorHAnsi"/>
          <w:sz w:val="24"/>
        </w:rPr>
        <w:t>ion as</w:t>
      </w:r>
      <w:r w:rsidRPr="00F54559">
        <w:rPr>
          <w:rFonts w:eastAsia="Franklin Gothic Book" w:cstheme="minorHAnsi"/>
          <w:spacing w:val="1"/>
          <w:sz w:val="24"/>
        </w:rPr>
        <w:t xml:space="preserve"> </w:t>
      </w:r>
      <w:r w:rsidRPr="00F54559">
        <w:rPr>
          <w:rFonts w:eastAsia="Franklin Gothic Book" w:cstheme="minorHAnsi"/>
          <w:spacing w:val="-1"/>
          <w:sz w:val="24"/>
        </w:rPr>
        <w:t>o</w:t>
      </w:r>
      <w:r w:rsidRPr="00F54559">
        <w:rPr>
          <w:rFonts w:eastAsia="Franklin Gothic Book" w:cstheme="minorHAnsi"/>
          <w:sz w:val="24"/>
        </w:rPr>
        <w:t xml:space="preserve">f </w:t>
      </w:r>
      <w:r w:rsidRPr="00F54559">
        <w:rPr>
          <w:rFonts w:eastAsia="Franklin Gothic Book" w:cstheme="minorHAnsi"/>
          <w:spacing w:val="-1"/>
          <w:sz w:val="24"/>
        </w:rPr>
        <w:t>Jun</w:t>
      </w:r>
      <w:r w:rsidRPr="00F54559">
        <w:rPr>
          <w:rFonts w:eastAsia="Franklin Gothic Book" w:cstheme="minorHAnsi"/>
          <w:sz w:val="24"/>
        </w:rPr>
        <w:t>e 30</w:t>
      </w:r>
      <w:r w:rsidRPr="00F54559">
        <w:rPr>
          <w:rFonts w:eastAsia="Franklin Gothic Book" w:cstheme="minorHAnsi"/>
          <w:spacing w:val="1"/>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2"/>
          <w:sz w:val="24"/>
        </w:rPr>
        <w:t xml:space="preserve"> </w:t>
      </w:r>
      <w:r w:rsidRPr="00F54559">
        <w:rPr>
          <w:rFonts w:eastAsia="Franklin Gothic Book" w:cstheme="minorHAnsi"/>
          <w:spacing w:val="1"/>
          <w:sz w:val="24"/>
        </w:rPr>
        <w:t>s</w:t>
      </w:r>
      <w:r w:rsidRPr="00F54559">
        <w:rPr>
          <w:rFonts w:eastAsia="Franklin Gothic Book" w:cstheme="minorHAnsi"/>
          <w:sz w:val="24"/>
        </w:rPr>
        <w:t>umma</w:t>
      </w:r>
      <w:r w:rsidRPr="00F54559">
        <w:rPr>
          <w:rFonts w:eastAsia="Franklin Gothic Book" w:cstheme="minorHAnsi"/>
          <w:spacing w:val="-1"/>
          <w:sz w:val="24"/>
        </w:rPr>
        <w:t>r</w:t>
      </w:r>
      <w:r w:rsidRPr="00F54559">
        <w:rPr>
          <w:rFonts w:eastAsia="Franklin Gothic Book" w:cstheme="minorHAnsi"/>
          <w:sz w:val="24"/>
        </w:rPr>
        <w:t>iz</w:t>
      </w:r>
      <w:r w:rsidRPr="00F54559">
        <w:rPr>
          <w:rFonts w:eastAsia="Franklin Gothic Book" w:cstheme="minorHAnsi"/>
          <w:spacing w:val="-1"/>
          <w:sz w:val="24"/>
        </w:rPr>
        <w:t>e</w:t>
      </w:r>
      <w:r w:rsidRPr="00F54559">
        <w:rPr>
          <w:rFonts w:eastAsia="Franklin Gothic Book" w:cstheme="minorHAnsi"/>
          <w:sz w:val="24"/>
        </w:rPr>
        <w:t>d</w:t>
      </w:r>
      <w:r w:rsidRPr="00F54559">
        <w:rPr>
          <w:rFonts w:eastAsia="Franklin Gothic Book" w:cstheme="minorHAnsi"/>
          <w:w w:val="99"/>
          <w:sz w:val="24"/>
        </w:rPr>
        <w:t xml:space="preserve"> </w:t>
      </w:r>
      <w:r w:rsidRPr="00F54559">
        <w:rPr>
          <w:rFonts w:eastAsia="Franklin Gothic Book" w:cstheme="minorHAnsi"/>
          <w:sz w:val="24"/>
        </w:rPr>
        <w:t>in</w:t>
      </w:r>
      <w:r w:rsidRPr="00F54559">
        <w:rPr>
          <w:rFonts w:eastAsia="Franklin Gothic Book" w:cstheme="minorHAnsi"/>
          <w:spacing w:val="-6"/>
          <w:sz w:val="24"/>
        </w:rPr>
        <w:t xml:space="preserve"> </w:t>
      </w:r>
      <w:r w:rsidRPr="00F54559">
        <w:rPr>
          <w:rFonts w:eastAsia="Franklin Gothic Book" w:cstheme="minorHAnsi"/>
          <w:sz w:val="24"/>
        </w:rPr>
        <w:t>the</w:t>
      </w:r>
      <w:r w:rsidRPr="00F54559">
        <w:rPr>
          <w:rFonts w:eastAsia="Franklin Gothic Book" w:cstheme="minorHAnsi"/>
          <w:spacing w:val="-6"/>
          <w:sz w:val="24"/>
        </w:rPr>
        <w:t xml:space="preserve"> </w:t>
      </w:r>
      <w:r w:rsidRPr="00F54559">
        <w:rPr>
          <w:rFonts w:eastAsia="Franklin Gothic Book" w:cstheme="minorHAnsi"/>
          <w:sz w:val="24"/>
        </w:rPr>
        <w:t>fo</w:t>
      </w:r>
      <w:r w:rsidRPr="00F54559">
        <w:rPr>
          <w:rFonts w:eastAsia="Franklin Gothic Book" w:cstheme="minorHAnsi"/>
          <w:spacing w:val="-1"/>
          <w:sz w:val="24"/>
        </w:rPr>
        <w:t>l</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wing</w:t>
      </w:r>
      <w:r w:rsidRPr="00F54559">
        <w:rPr>
          <w:rFonts w:eastAsia="Franklin Gothic Book" w:cstheme="minorHAnsi"/>
          <w:spacing w:val="-6"/>
          <w:sz w:val="24"/>
        </w:rPr>
        <w:t xml:space="preserve"> </w:t>
      </w:r>
      <w:r w:rsidRPr="00F54559">
        <w:rPr>
          <w:rFonts w:eastAsia="Franklin Gothic Book" w:cstheme="minorHAnsi"/>
          <w:sz w:val="24"/>
        </w:rPr>
        <w:t>ta</w:t>
      </w:r>
      <w:r w:rsidRPr="00F54559">
        <w:rPr>
          <w:rFonts w:eastAsia="Franklin Gothic Book" w:cstheme="minorHAnsi"/>
          <w:spacing w:val="1"/>
          <w:sz w:val="24"/>
        </w:rPr>
        <w:t>b</w:t>
      </w:r>
      <w:r w:rsidRPr="00F54559">
        <w:rPr>
          <w:rFonts w:eastAsia="Franklin Gothic Book" w:cstheme="minorHAnsi"/>
          <w:sz w:val="24"/>
        </w:rPr>
        <w:t>l</w:t>
      </w:r>
      <w:r w:rsidRPr="00F54559">
        <w:rPr>
          <w:rFonts w:eastAsia="Franklin Gothic Book" w:cstheme="minorHAnsi"/>
          <w:spacing w:val="-1"/>
          <w:sz w:val="24"/>
        </w:rPr>
        <w:t>e</w:t>
      </w:r>
      <w:r w:rsidRPr="00F54559">
        <w:rPr>
          <w:rFonts w:eastAsia="Franklin Gothic Book" w:cstheme="minorHAnsi"/>
          <w:sz w:val="24"/>
        </w:rPr>
        <w:t>:</w:t>
      </w:r>
    </w:p>
    <w:p w14:paraId="164D1E3F" w14:textId="77777777" w:rsidR="00051D7E" w:rsidRPr="00F54559" w:rsidRDefault="00051D7E" w:rsidP="00051D7E">
      <w:pPr>
        <w:spacing w:line="259" w:lineRule="auto"/>
        <w:rPr>
          <w:rFonts w:eastAsia="Franklin Gothic Book" w:cstheme="minorHAnsi"/>
          <w:sz w:val="24"/>
        </w:rPr>
      </w:pPr>
      <w:r>
        <w:rPr>
          <w:rFonts w:eastAsia="Franklin Gothic Book" w:cstheme="minorHAnsi"/>
          <w:sz w:val="24"/>
        </w:rPr>
        <w:fldChar w:fldCharType="begin"/>
      </w:r>
      <w:r>
        <w:rPr>
          <w:rFonts w:eastAsia="Franklin Gothic Book" w:cstheme="minorHAnsi"/>
          <w:sz w:val="24"/>
        </w:rPr>
        <w:fldChar w:fldCharType="end"/>
      </w:r>
    </w:p>
    <w:tbl>
      <w:tblPr>
        <w:tblW w:w="8208" w:type="dxa"/>
        <w:jc w:val="center"/>
        <w:tblLook w:val="04A0" w:firstRow="1" w:lastRow="0" w:firstColumn="1" w:lastColumn="0" w:noHBand="0" w:noVBand="1"/>
      </w:tblPr>
      <w:tblGrid>
        <w:gridCol w:w="2550"/>
        <w:gridCol w:w="1244"/>
        <w:gridCol w:w="1585"/>
        <w:gridCol w:w="1244"/>
        <w:gridCol w:w="1585"/>
      </w:tblGrid>
      <w:tr w:rsidR="00051D7E" w:rsidRPr="006539B7" w14:paraId="2F938167" w14:textId="77777777" w:rsidTr="007531FB">
        <w:trPr>
          <w:trHeight w:val="300"/>
          <w:tblHeader/>
          <w:jc w:val="center"/>
        </w:trPr>
        <w:tc>
          <w:tcPr>
            <w:tcW w:w="2550" w:type="dxa"/>
            <w:tcBorders>
              <w:top w:val="nil"/>
              <w:left w:val="nil"/>
              <w:bottom w:val="nil"/>
              <w:right w:val="nil"/>
            </w:tcBorders>
            <w:shd w:val="clear" w:color="000000" w:fill="FFFFFF"/>
            <w:noWrap/>
            <w:vAlign w:val="bottom"/>
            <w:hideMark/>
          </w:tcPr>
          <w:p w14:paraId="278E189A" w14:textId="77777777" w:rsidR="00051D7E" w:rsidRPr="006539B7" w:rsidRDefault="00051D7E" w:rsidP="007531FB">
            <w:pPr>
              <w:spacing w:before="240"/>
              <w:rPr>
                <w:rFonts w:ascii="Calibri" w:eastAsia="Times New Roman" w:hAnsi="Calibri" w:cs="Calibri"/>
                <w:b/>
                <w:bCs/>
                <w:color w:val="0D0D0D"/>
              </w:rPr>
            </w:pPr>
            <w:r w:rsidRPr="006539B7">
              <w:rPr>
                <w:rFonts w:ascii="Calibri" w:eastAsia="Times New Roman" w:hAnsi="Calibri" w:cs="Calibri"/>
                <w:b/>
                <w:bCs/>
                <w:color w:val="0D0D0D"/>
              </w:rPr>
              <w:t> </w:t>
            </w:r>
          </w:p>
        </w:tc>
        <w:tc>
          <w:tcPr>
            <w:tcW w:w="1244" w:type="dxa"/>
            <w:tcBorders>
              <w:top w:val="nil"/>
              <w:left w:val="nil"/>
              <w:bottom w:val="single" w:sz="12" w:space="0" w:color="00688D"/>
              <w:right w:val="nil"/>
            </w:tcBorders>
            <w:shd w:val="clear" w:color="000000" w:fill="FFFFFF"/>
            <w:vAlign w:val="bottom"/>
            <w:hideMark/>
          </w:tcPr>
          <w:p w14:paraId="11528AE3" w14:textId="77777777" w:rsidR="00051D7E" w:rsidRPr="006539B7" w:rsidRDefault="00051D7E" w:rsidP="007531FB">
            <w:pPr>
              <w:spacing w:before="240"/>
              <w:jc w:val="center"/>
              <w:rPr>
                <w:rFonts w:ascii="Calibri" w:eastAsia="Times New Roman" w:hAnsi="Calibri" w:cs="Calibri"/>
                <w:b/>
                <w:bCs/>
                <w:color w:val="0D0D0D"/>
              </w:rPr>
            </w:pPr>
          </w:p>
        </w:tc>
        <w:tc>
          <w:tcPr>
            <w:tcW w:w="1585" w:type="dxa"/>
            <w:tcBorders>
              <w:top w:val="nil"/>
              <w:left w:val="nil"/>
              <w:bottom w:val="single" w:sz="12" w:space="0" w:color="00688D"/>
              <w:right w:val="nil"/>
            </w:tcBorders>
            <w:shd w:val="clear" w:color="000000" w:fill="FFFFFF"/>
            <w:vAlign w:val="bottom"/>
          </w:tcPr>
          <w:p w14:paraId="26A6F01F" w14:textId="77777777" w:rsidR="00051D7E" w:rsidRPr="006539B7" w:rsidRDefault="00051D7E" w:rsidP="007531FB">
            <w:pPr>
              <w:spacing w:before="240"/>
              <w:rPr>
                <w:rFonts w:ascii="Calibri" w:eastAsia="Times New Roman" w:hAnsi="Calibri" w:cs="Calibri"/>
                <w:b/>
                <w:bCs/>
                <w:color w:val="0D0D0D"/>
              </w:rPr>
            </w:pPr>
            <w:r w:rsidRPr="006539B7">
              <w:rPr>
                <w:rFonts w:ascii="Calibri" w:eastAsia="Times New Roman" w:hAnsi="Calibri" w:cs="Calibri"/>
                <w:b/>
                <w:bCs/>
                <w:color w:val="0D0D0D"/>
              </w:rPr>
              <w:t>202</w:t>
            </w:r>
            <w:r>
              <w:rPr>
                <w:rFonts w:ascii="Calibri" w:eastAsia="Times New Roman" w:hAnsi="Calibri" w:cs="Calibri"/>
                <w:b/>
                <w:bCs/>
                <w:color w:val="0D0D0D"/>
              </w:rPr>
              <w:t>1</w:t>
            </w:r>
          </w:p>
        </w:tc>
        <w:tc>
          <w:tcPr>
            <w:tcW w:w="1244" w:type="dxa"/>
            <w:tcBorders>
              <w:top w:val="nil"/>
              <w:left w:val="nil"/>
              <w:bottom w:val="single" w:sz="12" w:space="0" w:color="00688D"/>
              <w:right w:val="nil"/>
            </w:tcBorders>
            <w:shd w:val="clear" w:color="auto" w:fill="D9D9D9" w:themeFill="background1" w:themeFillShade="D9"/>
            <w:vAlign w:val="bottom"/>
            <w:hideMark/>
          </w:tcPr>
          <w:p w14:paraId="6D569DF1" w14:textId="77777777" w:rsidR="00051D7E" w:rsidRPr="006539B7" w:rsidRDefault="00051D7E" w:rsidP="007531FB">
            <w:pPr>
              <w:spacing w:before="240"/>
              <w:jc w:val="center"/>
              <w:rPr>
                <w:rFonts w:ascii="Calibri" w:eastAsia="Times New Roman" w:hAnsi="Calibri" w:cs="Calibri"/>
                <w:b/>
                <w:bCs/>
                <w:color w:val="0D0D0D"/>
              </w:rPr>
            </w:pPr>
          </w:p>
        </w:tc>
        <w:tc>
          <w:tcPr>
            <w:tcW w:w="1585" w:type="dxa"/>
            <w:tcBorders>
              <w:top w:val="nil"/>
              <w:left w:val="nil"/>
              <w:bottom w:val="single" w:sz="12" w:space="0" w:color="00688D"/>
              <w:right w:val="nil"/>
            </w:tcBorders>
            <w:shd w:val="clear" w:color="auto" w:fill="D9D9D9" w:themeFill="background1" w:themeFillShade="D9"/>
            <w:vAlign w:val="bottom"/>
          </w:tcPr>
          <w:p w14:paraId="2EF607BC" w14:textId="77777777" w:rsidR="00051D7E" w:rsidRPr="006539B7" w:rsidRDefault="00051D7E" w:rsidP="007531FB">
            <w:pPr>
              <w:spacing w:before="240"/>
              <w:rPr>
                <w:rFonts w:ascii="Calibri" w:eastAsia="Times New Roman" w:hAnsi="Calibri" w:cs="Calibri"/>
                <w:b/>
                <w:bCs/>
                <w:color w:val="0D0D0D"/>
              </w:rPr>
            </w:pPr>
            <w:r>
              <w:rPr>
                <w:rFonts w:ascii="Calibri" w:eastAsia="Times New Roman" w:hAnsi="Calibri" w:cs="Calibri"/>
                <w:b/>
                <w:bCs/>
                <w:color w:val="0D0D0D"/>
              </w:rPr>
              <w:t>2020</w:t>
            </w:r>
          </w:p>
        </w:tc>
      </w:tr>
      <w:tr w:rsidR="00051D7E" w:rsidRPr="006539B7" w14:paraId="0B52043B" w14:textId="77777777" w:rsidTr="007531FB">
        <w:trPr>
          <w:trHeight w:val="924"/>
          <w:tblHeader/>
          <w:jc w:val="center"/>
        </w:trPr>
        <w:tc>
          <w:tcPr>
            <w:tcW w:w="2550" w:type="dxa"/>
            <w:tcBorders>
              <w:top w:val="nil"/>
              <w:left w:val="nil"/>
              <w:bottom w:val="single" w:sz="12" w:space="0" w:color="00688D"/>
              <w:right w:val="nil"/>
            </w:tcBorders>
            <w:shd w:val="clear" w:color="000000" w:fill="FFFFFF"/>
            <w:noWrap/>
            <w:vAlign w:val="bottom"/>
            <w:hideMark/>
          </w:tcPr>
          <w:p w14:paraId="48D8188B" w14:textId="77777777" w:rsidR="00051D7E" w:rsidRPr="006539B7" w:rsidRDefault="00051D7E" w:rsidP="007531FB">
            <w:pPr>
              <w:rPr>
                <w:rFonts w:ascii="Calibri" w:eastAsia="Times New Roman" w:hAnsi="Calibri" w:cs="Calibri"/>
                <w:b/>
                <w:bCs/>
                <w:color w:val="0D0D0D"/>
              </w:rPr>
            </w:pPr>
            <w:r w:rsidRPr="006539B7">
              <w:rPr>
                <w:rFonts w:ascii="Calibri" w:eastAsia="Times New Roman" w:hAnsi="Calibri" w:cs="Calibri"/>
                <w:b/>
                <w:bCs/>
                <w:color w:val="0D0D0D"/>
              </w:rPr>
              <w:t>Asset Class</w:t>
            </w:r>
          </w:p>
        </w:tc>
        <w:tc>
          <w:tcPr>
            <w:tcW w:w="1244" w:type="dxa"/>
            <w:tcBorders>
              <w:top w:val="nil"/>
              <w:left w:val="nil"/>
              <w:bottom w:val="single" w:sz="12" w:space="0" w:color="00688D"/>
              <w:right w:val="nil"/>
            </w:tcBorders>
            <w:shd w:val="clear" w:color="000000" w:fill="FFFFFF"/>
            <w:vAlign w:val="bottom"/>
            <w:hideMark/>
          </w:tcPr>
          <w:p w14:paraId="25327B51" w14:textId="77777777" w:rsidR="00051D7E" w:rsidRPr="006539B7" w:rsidRDefault="00051D7E" w:rsidP="007531FB">
            <w:pPr>
              <w:jc w:val="center"/>
              <w:rPr>
                <w:rFonts w:ascii="Calibri" w:eastAsia="Times New Roman" w:hAnsi="Calibri" w:cs="Calibri"/>
                <w:b/>
                <w:bCs/>
                <w:color w:val="0D0D0D"/>
              </w:rPr>
            </w:pPr>
            <w:r w:rsidRPr="006539B7">
              <w:rPr>
                <w:rFonts w:ascii="Calibri" w:eastAsia="Times New Roman" w:hAnsi="Calibri" w:cs="Calibri"/>
                <w:b/>
                <w:bCs/>
                <w:color w:val="0D0D0D"/>
              </w:rPr>
              <w:t>Target</w:t>
            </w:r>
            <w:r w:rsidRPr="006539B7">
              <w:rPr>
                <w:rFonts w:ascii="Calibri" w:eastAsia="Times New Roman" w:hAnsi="Calibri" w:cs="Calibri"/>
                <w:b/>
                <w:bCs/>
                <w:color w:val="0D0D0D"/>
              </w:rPr>
              <w:br/>
              <w:t>Allocation</w:t>
            </w:r>
          </w:p>
        </w:tc>
        <w:tc>
          <w:tcPr>
            <w:tcW w:w="1585" w:type="dxa"/>
            <w:tcBorders>
              <w:top w:val="nil"/>
              <w:left w:val="nil"/>
              <w:bottom w:val="single" w:sz="12" w:space="0" w:color="00688D"/>
              <w:right w:val="nil"/>
            </w:tcBorders>
            <w:shd w:val="clear" w:color="000000" w:fill="FFFFFF"/>
            <w:vAlign w:val="bottom"/>
            <w:hideMark/>
          </w:tcPr>
          <w:p w14:paraId="1CB19EB5" w14:textId="77777777" w:rsidR="00051D7E" w:rsidRPr="006539B7" w:rsidRDefault="00051D7E" w:rsidP="007531FB">
            <w:pPr>
              <w:jc w:val="center"/>
              <w:rPr>
                <w:rFonts w:ascii="Calibri" w:eastAsia="Times New Roman" w:hAnsi="Calibri" w:cs="Calibri"/>
                <w:b/>
                <w:bCs/>
                <w:color w:val="0D0D0D"/>
              </w:rPr>
            </w:pPr>
            <w:r w:rsidRPr="006539B7">
              <w:rPr>
                <w:rFonts w:ascii="Calibri" w:eastAsia="Times New Roman" w:hAnsi="Calibri" w:cs="Calibri"/>
                <w:b/>
                <w:bCs/>
                <w:color w:val="0D0D0D"/>
              </w:rPr>
              <w:t xml:space="preserve">Long-Term </w:t>
            </w:r>
            <w:r w:rsidRPr="006539B7">
              <w:rPr>
                <w:rFonts w:ascii="Calibri" w:eastAsia="Times New Roman" w:hAnsi="Calibri" w:cs="Calibri"/>
                <w:b/>
                <w:bCs/>
                <w:color w:val="0D0D0D"/>
              </w:rPr>
              <w:br/>
              <w:t xml:space="preserve">Expected Real </w:t>
            </w:r>
            <w:r w:rsidRPr="006539B7">
              <w:rPr>
                <w:rFonts w:ascii="Calibri" w:eastAsia="Times New Roman" w:hAnsi="Calibri" w:cs="Calibri"/>
                <w:b/>
                <w:bCs/>
                <w:color w:val="0D0D0D"/>
              </w:rPr>
              <w:br/>
              <w:t>Rates of Return</w:t>
            </w:r>
          </w:p>
        </w:tc>
        <w:tc>
          <w:tcPr>
            <w:tcW w:w="1244" w:type="dxa"/>
            <w:tcBorders>
              <w:top w:val="nil"/>
              <w:left w:val="nil"/>
              <w:bottom w:val="single" w:sz="12" w:space="0" w:color="00688D"/>
              <w:right w:val="nil"/>
            </w:tcBorders>
            <w:shd w:val="clear" w:color="auto" w:fill="D9D9D9" w:themeFill="background1" w:themeFillShade="D9"/>
            <w:vAlign w:val="bottom"/>
            <w:hideMark/>
          </w:tcPr>
          <w:p w14:paraId="652235C8" w14:textId="77777777" w:rsidR="00051D7E" w:rsidRPr="006539B7" w:rsidRDefault="00051D7E" w:rsidP="007531FB">
            <w:pPr>
              <w:jc w:val="center"/>
              <w:rPr>
                <w:rFonts w:ascii="Calibri" w:eastAsia="Times New Roman" w:hAnsi="Calibri" w:cs="Calibri"/>
                <w:b/>
                <w:bCs/>
                <w:color w:val="0D0D0D"/>
              </w:rPr>
            </w:pPr>
            <w:r w:rsidRPr="006539B7">
              <w:rPr>
                <w:rFonts w:ascii="Calibri" w:eastAsia="Times New Roman" w:hAnsi="Calibri" w:cs="Calibri"/>
                <w:b/>
                <w:bCs/>
                <w:color w:val="0D0D0D"/>
              </w:rPr>
              <w:t>Target</w:t>
            </w:r>
            <w:r w:rsidRPr="006539B7">
              <w:rPr>
                <w:rFonts w:ascii="Calibri" w:eastAsia="Times New Roman" w:hAnsi="Calibri" w:cs="Calibri"/>
                <w:b/>
                <w:bCs/>
                <w:color w:val="0D0D0D"/>
              </w:rPr>
              <w:br/>
              <w:t>Allocation</w:t>
            </w:r>
          </w:p>
        </w:tc>
        <w:tc>
          <w:tcPr>
            <w:tcW w:w="1585" w:type="dxa"/>
            <w:tcBorders>
              <w:top w:val="nil"/>
              <w:left w:val="nil"/>
              <w:bottom w:val="single" w:sz="12" w:space="0" w:color="00688D"/>
              <w:right w:val="nil"/>
            </w:tcBorders>
            <w:shd w:val="clear" w:color="auto" w:fill="D9D9D9" w:themeFill="background1" w:themeFillShade="D9"/>
            <w:vAlign w:val="bottom"/>
            <w:hideMark/>
          </w:tcPr>
          <w:p w14:paraId="6C76240D" w14:textId="77777777" w:rsidR="00051D7E" w:rsidRPr="006539B7" w:rsidRDefault="00051D7E" w:rsidP="007531FB">
            <w:pPr>
              <w:jc w:val="center"/>
              <w:rPr>
                <w:rFonts w:ascii="Calibri" w:eastAsia="Times New Roman" w:hAnsi="Calibri" w:cs="Calibri"/>
                <w:b/>
                <w:bCs/>
                <w:color w:val="0D0D0D"/>
              </w:rPr>
            </w:pPr>
            <w:r w:rsidRPr="006539B7">
              <w:rPr>
                <w:rFonts w:ascii="Calibri" w:eastAsia="Times New Roman" w:hAnsi="Calibri" w:cs="Calibri"/>
                <w:b/>
                <w:bCs/>
                <w:color w:val="0D0D0D"/>
              </w:rPr>
              <w:t xml:space="preserve">Long-Term </w:t>
            </w:r>
            <w:r w:rsidRPr="006539B7">
              <w:rPr>
                <w:rFonts w:ascii="Calibri" w:eastAsia="Times New Roman" w:hAnsi="Calibri" w:cs="Calibri"/>
                <w:b/>
                <w:bCs/>
                <w:color w:val="0D0D0D"/>
              </w:rPr>
              <w:br/>
              <w:t xml:space="preserve">Expected Real </w:t>
            </w:r>
            <w:r w:rsidRPr="006539B7">
              <w:rPr>
                <w:rFonts w:ascii="Calibri" w:eastAsia="Times New Roman" w:hAnsi="Calibri" w:cs="Calibri"/>
                <w:b/>
                <w:bCs/>
                <w:color w:val="0D0D0D"/>
              </w:rPr>
              <w:br/>
              <w:t>Rates of Return</w:t>
            </w:r>
          </w:p>
        </w:tc>
      </w:tr>
      <w:tr w:rsidR="00051D7E" w:rsidRPr="006539B7" w14:paraId="5B1282CF" w14:textId="77777777" w:rsidTr="007531FB">
        <w:trPr>
          <w:trHeight w:val="468"/>
          <w:jc w:val="center"/>
        </w:trPr>
        <w:tc>
          <w:tcPr>
            <w:tcW w:w="2550" w:type="dxa"/>
            <w:tcBorders>
              <w:top w:val="nil"/>
              <w:left w:val="nil"/>
              <w:bottom w:val="nil"/>
              <w:right w:val="nil"/>
            </w:tcBorders>
            <w:shd w:val="clear" w:color="000000" w:fill="FFFFFF"/>
            <w:noWrap/>
            <w:vAlign w:val="bottom"/>
            <w:hideMark/>
          </w:tcPr>
          <w:p w14:paraId="64790880"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Global Equity</w:t>
            </w:r>
          </w:p>
        </w:tc>
        <w:tc>
          <w:tcPr>
            <w:tcW w:w="1244" w:type="dxa"/>
            <w:tcBorders>
              <w:top w:val="nil"/>
              <w:left w:val="nil"/>
              <w:bottom w:val="nil"/>
              <w:right w:val="nil"/>
            </w:tcBorders>
            <w:shd w:val="clear" w:color="000000" w:fill="FFFFFF"/>
            <w:noWrap/>
            <w:vAlign w:val="bottom"/>
            <w:hideMark/>
          </w:tcPr>
          <w:p w14:paraId="1247F1C4"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30 %</w:t>
            </w:r>
          </w:p>
        </w:tc>
        <w:tc>
          <w:tcPr>
            <w:tcW w:w="1585" w:type="dxa"/>
            <w:tcBorders>
              <w:top w:val="nil"/>
              <w:left w:val="nil"/>
              <w:bottom w:val="nil"/>
              <w:right w:val="nil"/>
            </w:tcBorders>
            <w:shd w:val="clear" w:color="000000" w:fill="FFFFFF"/>
            <w:noWrap/>
            <w:vAlign w:val="bottom"/>
            <w:hideMark/>
          </w:tcPr>
          <w:p w14:paraId="6D12A8D1" w14:textId="77777777" w:rsidR="00051D7E" w:rsidRPr="006539B7" w:rsidRDefault="00051D7E" w:rsidP="007531FB">
            <w:pPr>
              <w:jc w:val="center"/>
              <w:rPr>
                <w:rFonts w:ascii="Calibri" w:eastAsia="Times New Roman" w:hAnsi="Calibri" w:cs="Calibri"/>
                <w:color w:val="0D0D0D"/>
              </w:rPr>
            </w:pPr>
            <w:r>
              <w:rPr>
                <w:rFonts w:ascii="Calibri" w:eastAsia="Times New Roman" w:hAnsi="Calibri" w:cs="Calibri"/>
                <w:color w:val="0D0D0D"/>
              </w:rPr>
              <w:t>4.40</w:t>
            </w:r>
            <w:r w:rsidRPr="006539B7">
              <w:rPr>
                <w:rFonts w:ascii="Calibri" w:eastAsia="Times New Roman" w:hAnsi="Calibri" w:cs="Calibri"/>
                <w:color w:val="0D0D0D"/>
              </w:rPr>
              <w:t>%</w:t>
            </w:r>
          </w:p>
        </w:tc>
        <w:tc>
          <w:tcPr>
            <w:tcW w:w="1244" w:type="dxa"/>
            <w:tcBorders>
              <w:top w:val="nil"/>
              <w:left w:val="nil"/>
              <w:bottom w:val="nil"/>
              <w:right w:val="nil"/>
            </w:tcBorders>
            <w:shd w:val="clear" w:color="auto" w:fill="D9D9D9" w:themeFill="background1" w:themeFillShade="D9"/>
            <w:noWrap/>
            <w:vAlign w:val="bottom"/>
            <w:hideMark/>
          </w:tcPr>
          <w:p w14:paraId="7FE3581A"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30%</w:t>
            </w:r>
          </w:p>
        </w:tc>
        <w:tc>
          <w:tcPr>
            <w:tcW w:w="1585" w:type="dxa"/>
            <w:tcBorders>
              <w:top w:val="nil"/>
              <w:left w:val="nil"/>
              <w:bottom w:val="nil"/>
              <w:right w:val="nil"/>
            </w:tcBorders>
            <w:shd w:val="clear" w:color="auto" w:fill="D9D9D9" w:themeFill="background1" w:themeFillShade="D9"/>
            <w:noWrap/>
            <w:vAlign w:val="bottom"/>
            <w:hideMark/>
          </w:tcPr>
          <w:p w14:paraId="4FB7D927"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5.70%</w:t>
            </w:r>
          </w:p>
        </w:tc>
      </w:tr>
      <w:tr w:rsidR="00051D7E" w:rsidRPr="006539B7" w14:paraId="71201EFE" w14:textId="77777777" w:rsidTr="007531FB">
        <w:trPr>
          <w:trHeight w:val="288"/>
          <w:jc w:val="center"/>
        </w:trPr>
        <w:tc>
          <w:tcPr>
            <w:tcW w:w="2550" w:type="dxa"/>
            <w:tcBorders>
              <w:top w:val="nil"/>
              <w:left w:val="nil"/>
              <w:bottom w:val="nil"/>
              <w:right w:val="nil"/>
            </w:tcBorders>
            <w:shd w:val="clear" w:color="000000" w:fill="FFFFFF"/>
            <w:noWrap/>
            <w:vAlign w:val="center"/>
            <w:hideMark/>
          </w:tcPr>
          <w:p w14:paraId="703130A3"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Emerging Market Equity</w:t>
            </w:r>
          </w:p>
        </w:tc>
        <w:tc>
          <w:tcPr>
            <w:tcW w:w="1244" w:type="dxa"/>
            <w:tcBorders>
              <w:top w:val="nil"/>
              <w:left w:val="nil"/>
              <w:bottom w:val="nil"/>
              <w:right w:val="nil"/>
            </w:tcBorders>
            <w:shd w:val="clear" w:color="000000" w:fill="FFFFFF"/>
            <w:noWrap/>
            <w:vAlign w:val="bottom"/>
            <w:hideMark/>
          </w:tcPr>
          <w:p w14:paraId="2A23DD92"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3%</w:t>
            </w:r>
          </w:p>
        </w:tc>
        <w:tc>
          <w:tcPr>
            <w:tcW w:w="1585" w:type="dxa"/>
            <w:tcBorders>
              <w:top w:val="nil"/>
              <w:left w:val="nil"/>
              <w:bottom w:val="nil"/>
              <w:right w:val="nil"/>
            </w:tcBorders>
            <w:shd w:val="clear" w:color="000000" w:fill="FFFFFF"/>
            <w:noWrap/>
            <w:vAlign w:val="bottom"/>
            <w:hideMark/>
          </w:tcPr>
          <w:p w14:paraId="3CF7E35C" w14:textId="77777777" w:rsidR="00051D7E" w:rsidRPr="006539B7" w:rsidRDefault="00051D7E" w:rsidP="007531FB">
            <w:pPr>
              <w:jc w:val="center"/>
              <w:rPr>
                <w:rFonts w:ascii="Calibri" w:eastAsia="Times New Roman" w:hAnsi="Calibri" w:cs="Calibri"/>
                <w:color w:val="0D0D0D"/>
              </w:rPr>
            </w:pPr>
            <w:r>
              <w:rPr>
                <w:rFonts w:ascii="Calibri" w:eastAsia="Times New Roman" w:hAnsi="Calibri" w:cs="Calibri"/>
                <w:color w:val="0D0D0D"/>
              </w:rPr>
              <w:t>6.10</w:t>
            </w:r>
            <w:r w:rsidRPr="006539B7">
              <w:rPr>
                <w:rFonts w:ascii="Calibri" w:eastAsia="Times New Roman" w:hAnsi="Calibri" w:cs="Calibri"/>
                <w:color w:val="0D0D0D"/>
              </w:rPr>
              <w:t>%</w:t>
            </w:r>
          </w:p>
        </w:tc>
        <w:tc>
          <w:tcPr>
            <w:tcW w:w="1244" w:type="dxa"/>
            <w:tcBorders>
              <w:top w:val="nil"/>
              <w:left w:val="nil"/>
              <w:bottom w:val="nil"/>
              <w:right w:val="nil"/>
            </w:tcBorders>
            <w:shd w:val="clear" w:color="auto" w:fill="D9D9D9" w:themeFill="background1" w:themeFillShade="D9"/>
            <w:noWrap/>
            <w:vAlign w:val="bottom"/>
            <w:hideMark/>
          </w:tcPr>
          <w:p w14:paraId="0CDA188A"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3%</w:t>
            </w:r>
          </w:p>
        </w:tc>
        <w:tc>
          <w:tcPr>
            <w:tcW w:w="1585" w:type="dxa"/>
            <w:tcBorders>
              <w:top w:val="nil"/>
              <w:left w:val="nil"/>
              <w:bottom w:val="nil"/>
              <w:right w:val="nil"/>
            </w:tcBorders>
            <w:shd w:val="clear" w:color="auto" w:fill="D9D9D9" w:themeFill="background1" w:themeFillShade="D9"/>
            <w:noWrap/>
            <w:vAlign w:val="bottom"/>
            <w:hideMark/>
          </w:tcPr>
          <w:p w14:paraId="25EC30FD"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7.60%</w:t>
            </w:r>
          </w:p>
        </w:tc>
      </w:tr>
      <w:tr w:rsidR="00051D7E" w:rsidRPr="006539B7" w14:paraId="0F83BCAD" w14:textId="77777777" w:rsidTr="007531FB">
        <w:trPr>
          <w:trHeight w:val="288"/>
          <w:jc w:val="center"/>
        </w:trPr>
        <w:tc>
          <w:tcPr>
            <w:tcW w:w="2550" w:type="dxa"/>
            <w:tcBorders>
              <w:top w:val="nil"/>
              <w:left w:val="nil"/>
              <w:bottom w:val="nil"/>
              <w:right w:val="nil"/>
            </w:tcBorders>
            <w:shd w:val="clear" w:color="000000" w:fill="FFFFFF"/>
            <w:noWrap/>
            <w:vAlign w:val="center"/>
            <w:hideMark/>
          </w:tcPr>
          <w:p w14:paraId="7851E23E"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Core Fixed Income</w:t>
            </w:r>
          </w:p>
        </w:tc>
        <w:tc>
          <w:tcPr>
            <w:tcW w:w="1244" w:type="dxa"/>
            <w:tcBorders>
              <w:top w:val="nil"/>
              <w:left w:val="nil"/>
              <w:bottom w:val="nil"/>
              <w:right w:val="nil"/>
            </w:tcBorders>
            <w:shd w:val="clear" w:color="000000" w:fill="FFFFFF"/>
            <w:noWrap/>
            <w:vAlign w:val="bottom"/>
            <w:hideMark/>
          </w:tcPr>
          <w:p w14:paraId="78615AFB"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43%</w:t>
            </w:r>
          </w:p>
        </w:tc>
        <w:tc>
          <w:tcPr>
            <w:tcW w:w="1585" w:type="dxa"/>
            <w:tcBorders>
              <w:top w:val="nil"/>
              <w:left w:val="nil"/>
              <w:bottom w:val="nil"/>
              <w:right w:val="nil"/>
            </w:tcBorders>
            <w:shd w:val="clear" w:color="000000" w:fill="FFFFFF"/>
            <w:noWrap/>
            <w:vAlign w:val="bottom"/>
            <w:hideMark/>
          </w:tcPr>
          <w:p w14:paraId="49EC5621"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0.</w:t>
            </w:r>
            <w:r>
              <w:rPr>
                <w:rFonts w:ascii="Calibri" w:eastAsia="Times New Roman" w:hAnsi="Calibri" w:cs="Calibri"/>
                <w:color w:val="0D0D0D"/>
              </w:rPr>
              <w:t>97</w:t>
            </w:r>
            <w:r w:rsidRPr="006539B7">
              <w:rPr>
                <w:rFonts w:ascii="Calibri" w:eastAsia="Times New Roman" w:hAnsi="Calibri" w:cs="Calibri"/>
                <w:color w:val="0D0D0D"/>
              </w:rPr>
              <w:t>%</w:t>
            </w:r>
          </w:p>
        </w:tc>
        <w:tc>
          <w:tcPr>
            <w:tcW w:w="1244" w:type="dxa"/>
            <w:tcBorders>
              <w:top w:val="nil"/>
              <w:left w:val="nil"/>
              <w:bottom w:val="nil"/>
              <w:right w:val="nil"/>
            </w:tcBorders>
            <w:shd w:val="clear" w:color="auto" w:fill="D9D9D9" w:themeFill="background1" w:themeFillShade="D9"/>
            <w:noWrap/>
            <w:vAlign w:val="bottom"/>
            <w:hideMark/>
          </w:tcPr>
          <w:p w14:paraId="0AB10F13"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43%</w:t>
            </w:r>
          </w:p>
        </w:tc>
        <w:tc>
          <w:tcPr>
            <w:tcW w:w="1585" w:type="dxa"/>
            <w:tcBorders>
              <w:top w:val="nil"/>
              <w:left w:val="nil"/>
              <w:bottom w:val="nil"/>
              <w:right w:val="nil"/>
            </w:tcBorders>
            <w:shd w:val="clear" w:color="auto" w:fill="D9D9D9" w:themeFill="background1" w:themeFillShade="D9"/>
            <w:noWrap/>
            <w:vAlign w:val="bottom"/>
            <w:hideMark/>
          </w:tcPr>
          <w:p w14:paraId="459C12A2"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0.50%</w:t>
            </w:r>
          </w:p>
        </w:tc>
      </w:tr>
      <w:tr w:rsidR="00051D7E" w:rsidRPr="006539B7" w14:paraId="47C7A89A" w14:textId="77777777" w:rsidTr="007531FB">
        <w:trPr>
          <w:trHeight w:val="288"/>
          <w:jc w:val="center"/>
        </w:trPr>
        <w:tc>
          <w:tcPr>
            <w:tcW w:w="2550" w:type="dxa"/>
            <w:tcBorders>
              <w:top w:val="nil"/>
              <w:left w:val="nil"/>
              <w:bottom w:val="nil"/>
              <w:right w:val="nil"/>
            </w:tcBorders>
            <w:shd w:val="clear" w:color="000000" w:fill="FFFFFF"/>
            <w:noWrap/>
            <w:vAlign w:val="center"/>
            <w:hideMark/>
          </w:tcPr>
          <w:p w14:paraId="4BE9FAEF"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Global Asset Allocation</w:t>
            </w:r>
          </w:p>
        </w:tc>
        <w:tc>
          <w:tcPr>
            <w:tcW w:w="1244" w:type="dxa"/>
            <w:tcBorders>
              <w:top w:val="nil"/>
              <w:left w:val="nil"/>
              <w:bottom w:val="nil"/>
              <w:right w:val="nil"/>
            </w:tcBorders>
            <w:shd w:val="clear" w:color="000000" w:fill="FFFFFF"/>
            <w:noWrap/>
            <w:vAlign w:val="bottom"/>
            <w:hideMark/>
          </w:tcPr>
          <w:p w14:paraId="6A4C849A"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8 %</w:t>
            </w:r>
          </w:p>
        </w:tc>
        <w:tc>
          <w:tcPr>
            <w:tcW w:w="1585" w:type="dxa"/>
            <w:tcBorders>
              <w:top w:val="nil"/>
              <w:left w:val="nil"/>
              <w:bottom w:val="nil"/>
              <w:right w:val="nil"/>
            </w:tcBorders>
            <w:shd w:val="clear" w:color="000000" w:fill="FFFFFF"/>
            <w:noWrap/>
            <w:vAlign w:val="bottom"/>
            <w:hideMark/>
          </w:tcPr>
          <w:p w14:paraId="148809B9"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2.</w:t>
            </w:r>
            <w:r>
              <w:rPr>
                <w:rFonts w:ascii="Calibri" w:eastAsia="Times New Roman" w:hAnsi="Calibri" w:cs="Calibri"/>
                <w:color w:val="0D0D0D"/>
              </w:rPr>
              <w:t>3</w:t>
            </w:r>
            <w:r w:rsidRPr="006539B7">
              <w:rPr>
                <w:rFonts w:ascii="Calibri" w:eastAsia="Times New Roman" w:hAnsi="Calibri" w:cs="Calibri"/>
                <w:color w:val="0D0D0D"/>
              </w:rPr>
              <w:t>0%</w:t>
            </w:r>
          </w:p>
        </w:tc>
        <w:tc>
          <w:tcPr>
            <w:tcW w:w="1244" w:type="dxa"/>
            <w:tcBorders>
              <w:top w:val="nil"/>
              <w:left w:val="nil"/>
              <w:bottom w:val="nil"/>
              <w:right w:val="nil"/>
            </w:tcBorders>
            <w:shd w:val="clear" w:color="auto" w:fill="D9D9D9" w:themeFill="background1" w:themeFillShade="D9"/>
            <w:noWrap/>
            <w:vAlign w:val="bottom"/>
            <w:hideMark/>
          </w:tcPr>
          <w:p w14:paraId="41E9C8C3"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8%</w:t>
            </w:r>
          </w:p>
        </w:tc>
        <w:tc>
          <w:tcPr>
            <w:tcW w:w="1585" w:type="dxa"/>
            <w:tcBorders>
              <w:top w:val="nil"/>
              <w:left w:val="nil"/>
              <w:bottom w:val="nil"/>
              <w:right w:val="nil"/>
            </w:tcBorders>
            <w:shd w:val="clear" w:color="auto" w:fill="D9D9D9" w:themeFill="background1" w:themeFillShade="D9"/>
            <w:noWrap/>
            <w:vAlign w:val="bottom"/>
            <w:hideMark/>
          </w:tcPr>
          <w:p w14:paraId="40C7B06A"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2.20%</w:t>
            </w:r>
          </w:p>
        </w:tc>
      </w:tr>
      <w:tr w:rsidR="00051D7E" w:rsidRPr="006539B7" w14:paraId="568AA537" w14:textId="77777777" w:rsidTr="007531FB">
        <w:trPr>
          <w:trHeight w:val="288"/>
          <w:jc w:val="center"/>
        </w:trPr>
        <w:tc>
          <w:tcPr>
            <w:tcW w:w="2550" w:type="dxa"/>
            <w:tcBorders>
              <w:top w:val="nil"/>
              <w:left w:val="nil"/>
              <w:bottom w:val="nil"/>
              <w:right w:val="nil"/>
            </w:tcBorders>
            <w:shd w:val="clear" w:color="000000" w:fill="FFFFFF"/>
            <w:noWrap/>
            <w:vAlign w:val="center"/>
            <w:hideMark/>
          </w:tcPr>
          <w:p w14:paraId="519BEA78"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Real Estate</w:t>
            </w:r>
          </w:p>
        </w:tc>
        <w:tc>
          <w:tcPr>
            <w:tcW w:w="1244" w:type="dxa"/>
            <w:tcBorders>
              <w:top w:val="nil"/>
              <w:left w:val="nil"/>
              <w:bottom w:val="nil"/>
              <w:right w:val="nil"/>
            </w:tcBorders>
            <w:shd w:val="clear" w:color="000000" w:fill="FFFFFF"/>
            <w:noWrap/>
            <w:vAlign w:val="bottom"/>
            <w:hideMark/>
          </w:tcPr>
          <w:p w14:paraId="657EE538"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8%</w:t>
            </w:r>
          </w:p>
        </w:tc>
        <w:tc>
          <w:tcPr>
            <w:tcW w:w="1585" w:type="dxa"/>
            <w:tcBorders>
              <w:top w:val="nil"/>
              <w:left w:val="nil"/>
              <w:bottom w:val="nil"/>
              <w:right w:val="nil"/>
            </w:tcBorders>
            <w:shd w:val="clear" w:color="000000" w:fill="FFFFFF"/>
            <w:noWrap/>
            <w:vAlign w:val="bottom"/>
            <w:hideMark/>
          </w:tcPr>
          <w:p w14:paraId="502C7733"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3.</w:t>
            </w:r>
            <w:r>
              <w:rPr>
                <w:rFonts w:ascii="Calibri" w:eastAsia="Times New Roman" w:hAnsi="Calibri" w:cs="Calibri"/>
                <w:color w:val="0D0D0D"/>
              </w:rPr>
              <w:t>1</w:t>
            </w:r>
            <w:r w:rsidRPr="006539B7">
              <w:rPr>
                <w:rFonts w:ascii="Calibri" w:eastAsia="Times New Roman" w:hAnsi="Calibri" w:cs="Calibri"/>
                <w:color w:val="0D0D0D"/>
              </w:rPr>
              <w:t>0%</w:t>
            </w:r>
          </w:p>
        </w:tc>
        <w:tc>
          <w:tcPr>
            <w:tcW w:w="1244" w:type="dxa"/>
            <w:tcBorders>
              <w:top w:val="nil"/>
              <w:left w:val="nil"/>
              <w:bottom w:val="nil"/>
              <w:right w:val="nil"/>
            </w:tcBorders>
            <w:shd w:val="clear" w:color="auto" w:fill="D9D9D9" w:themeFill="background1" w:themeFillShade="D9"/>
            <w:noWrap/>
            <w:vAlign w:val="bottom"/>
            <w:hideMark/>
          </w:tcPr>
          <w:p w14:paraId="54E5C1E8"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8%</w:t>
            </w:r>
          </w:p>
        </w:tc>
        <w:tc>
          <w:tcPr>
            <w:tcW w:w="1585" w:type="dxa"/>
            <w:tcBorders>
              <w:top w:val="nil"/>
              <w:left w:val="nil"/>
              <w:bottom w:val="nil"/>
              <w:right w:val="nil"/>
            </w:tcBorders>
            <w:shd w:val="clear" w:color="auto" w:fill="D9D9D9" w:themeFill="background1" w:themeFillShade="D9"/>
            <w:noWrap/>
            <w:vAlign w:val="bottom"/>
            <w:hideMark/>
          </w:tcPr>
          <w:p w14:paraId="0D4CCE15"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3.30%</w:t>
            </w:r>
          </w:p>
        </w:tc>
      </w:tr>
      <w:tr w:rsidR="00051D7E" w:rsidRPr="006539B7" w14:paraId="53F7FD7E" w14:textId="77777777" w:rsidTr="007531FB">
        <w:trPr>
          <w:trHeight w:val="288"/>
          <w:jc w:val="center"/>
        </w:trPr>
        <w:tc>
          <w:tcPr>
            <w:tcW w:w="2550" w:type="dxa"/>
            <w:tcBorders>
              <w:top w:val="nil"/>
              <w:left w:val="nil"/>
              <w:bottom w:val="nil"/>
              <w:right w:val="nil"/>
            </w:tcBorders>
            <w:shd w:val="clear" w:color="000000" w:fill="FFFFFF"/>
            <w:noWrap/>
            <w:vAlign w:val="center"/>
            <w:hideMark/>
          </w:tcPr>
          <w:p w14:paraId="1FF1018E"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Alternative Investments</w:t>
            </w:r>
          </w:p>
        </w:tc>
        <w:tc>
          <w:tcPr>
            <w:tcW w:w="1244" w:type="dxa"/>
            <w:tcBorders>
              <w:top w:val="nil"/>
              <w:left w:val="nil"/>
              <w:bottom w:val="nil"/>
              <w:right w:val="nil"/>
            </w:tcBorders>
            <w:shd w:val="clear" w:color="000000" w:fill="FFFFFF"/>
            <w:noWrap/>
            <w:vAlign w:val="bottom"/>
            <w:hideMark/>
          </w:tcPr>
          <w:p w14:paraId="7BD55E81"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5%</w:t>
            </w:r>
          </w:p>
        </w:tc>
        <w:tc>
          <w:tcPr>
            <w:tcW w:w="1585" w:type="dxa"/>
            <w:tcBorders>
              <w:top w:val="nil"/>
              <w:left w:val="nil"/>
              <w:bottom w:val="nil"/>
              <w:right w:val="nil"/>
            </w:tcBorders>
            <w:shd w:val="clear" w:color="000000" w:fill="FFFFFF"/>
            <w:noWrap/>
            <w:vAlign w:val="bottom"/>
            <w:hideMark/>
          </w:tcPr>
          <w:p w14:paraId="4397645D"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3.</w:t>
            </w:r>
            <w:r>
              <w:rPr>
                <w:rFonts w:ascii="Calibri" w:eastAsia="Times New Roman" w:hAnsi="Calibri" w:cs="Calibri"/>
                <w:color w:val="0D0D0D"/>
              </w:rPr>
              <w:t>1</w:t>
            </w:r>
            <w:r w:rsidRPr="006539B7">
              <w:rPr>
                <w:rFonts w:ascii="Calibri" w:eastAsia="Times New Roman" w:hAnsi="Calibri" w:cs="Calibri"/>
                <w:color w:val="0D0D0D"/>
              </w:rPr>
              <w:t>0%</w:t>
            </w:r>
          </w:p>
        </w:tc>
        <w:tc>
          <w:tcPr>
            <w:tcW w:w="1244" w:type="dxa"/>
            <w:tcBorders>
              <w:top w:val="nil"/>
              <w:left w:val="nil"/>
              <w:bottom w:val="nil"/>
              <w:right w:val="nil"/>
            </w:tcBorders>
            <w:shd w:val="clear" w:color="auto" w:fill="D9D9D9" w:themeFill="background1" w:themeFillShade="D9"/>
            <w:noWrap/>
            <w:vAlign w:val="bottom"/>
            <w:hideMark/>
          </w:tcPr>
          <w:p w14:paraId="21F21409"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5%</w:t>
            </w:r>
          </w:p>
        </w:tc>
        <w:tc>
          <w:tcPr>
            <w:tcW w:w="1585" w:type="dxa"/>
            <w:tcBorders>
              <w:top w:val="nil"/>
              <w:left w:val="nil"/>
              <w:bottom w:val="nil"/>
              <w:right w:val="nil"/>
            </w:tcBorders>
            <w:shd w:val="clear" w:color="auto" w:fill="D9D9D9" w:themeFill="background1" w:themeFillShade="D9"/>
            <w:noWrap/>
            <w:vAlign w:val="bottom"/>
            <w:hideMark/>
          </w:tcPr>
          <w:p w14:paraId="5EF76559"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3.20%</w:t>
            </w:r>
          </w:p>
        </w:tc>
      </w:tr>
      <w:tr w:rsidR="00051D7E" w:rsidRPr="006539B7" w14:paraId="000E3A06" w14:textId="77777777" w:rsidTr="007531FB">
        <w:trPr>
          <w:trHeight w:val="288"/>
          <w:jc w:val="center"/>
        </w:trPr>
        <w:tc>
          <w:tcPr>
            <w:tcW w:w="2550" w:type="dxa"/>
            <w:tcBorders>
              <w:top w:val="nil"/>
              <w:left w:val="nil"/>
              <w:bottom w:val="nil"/>
              <w:right w:val="nil"/>
            </w:tcBorders>
            <w:shd w:val="clear" w:color="000000" w:fill="FFFFFF"/>
            <w:noWrap/>
            <w:vAlign w:val="center"/>
            <w:hideMark/>
          </w:tcPr>
          <w:p w14:paraId="6BC4B5C5"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Cash</w:t>
            </w:r>
          </w:p>
        </w:tc>
        <w:tc>
          <w:tcPr>
            <w:tcW w:w="1244" w:type="dxa"/>
            <w:tcBorders>
              <w:top w:val="nil"/>
              <w:left w:val="nil"/>
              <w:bottom w:val="nil"/>
              <w:right w:val="nil"/>
            </w:tcBorders>
            <w:shd w:val="clear" w:color="000000" w:fill="FFFFFF"/>
            <w:noWrap/>
            <w:vAlign w:val="bottom"/>
            <w:hideMark/>
          </w:tcPr>
          <w:p w14:paraId="747E2F17"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3%</w:t>
            </w:r>
          </w:p>
        </w:tc>
        <w:tc>
          <w:tcPr>
            <w:tcW w:w="1585" w:type="dxa"/>
            <w:tcBorders>
              <w:top w:val="nil"/>
              <w:left w:val="nil"/>
              <w:bottom w:val="nil"/>
              <w:right w:val="nil"/>
            </w:tcBorders>
            <w:shd w:val="clear" w:color="000000" w:fill="FFFFFF"/>
            <w:noWrap/>
            <w:vAlign w:val="bottom"/>
            <w:hideMark/>
          </w:tcPr>
          <w:p w14:paraId="27E16E2F"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-0.</w:t>
            </w:r>
            <w:r>
              <w:rPr>
                <w:rFonts w:ascii="Calibri" w:eastAsia="Times New Roman" w:hAnsi="Calibri" w:cs="Calibri"/>
                <w:color w:val="0D0D0D"/>
              </w:rPr>
              <w:t>1</w:t>
            </w:r>
            <w:r w:rsidRPr="006539B7">
              <w:rPr>
                <w:rFonts w:ascii="Calibri" w:eastAsia="Times New Roman" w:hAnsi="Calibri" w:cs="Calibri"/>
                <w:color w:val="0D0D0D"/>
              </w:rPr>
              <w:t>0%</w:t>
            </w:r>
          </w:p>
        </w:tc>
        <w:tc>
          <w:tcPr>
            <w:tcW w:w="1244" w:type="dxa"/>
            <w:tcBorders>
              <w:top w:val="nil"/>
              <w:left w:val="nil"/>
              <w:bottom w:val="nil"/>
              <w:right w:val="nil"/>
            </w:tcBorders>
            <w:shd w:val="clear" w:color="auto" w:fill="D9D9D9" w:themeFill="background1" w:themeFillShade="D9"/>
            <w:noWrap/>
            <w:vAlign w:val="bottom"/>
            <w:hideMark/>
          </w:tcPr>
          <w:p w14:paraId="0E4CB90D"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3%</w:t>
            </w:r>
          </w:p>
        </w:tc>
        <w:tc>
          <w:tcPr>
            <w:tcW w:w="1585" w:type="dxa"/>
            <w:tcBorders>
              <w:top w:val="nil"/>
              <w:left w:val="nil"/>
              <w:bottom w:val="nil"/>
              <w:right w:val="nil"/>
            </w:tcBorders>
            <w:shd w:val="clear" w:color="auto" w:fill="D9D9D9" w:themeFill="background1" w:themeFillShade="D9"/>
            <w:noWrap/>
            <w:vAlign w:val="bottom"/>
            <w:hideMark/>
          </w:tcPr>
          <w:p w14:paraId="3063CF23"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-0.60%</w:t>
            </w:r>
          </w:p>
        </w:tc>
      </w:tr>
      <w:tr w:rsidR="00051D7E" w:rsidRPr="006539B7" w14:paraId="0AAE09BF" w14:textId="77777777" w:rsidTr="007531FB">
        <w:trPr>
          <w:trHeight w:val="300"/>
          <w:jc w:val="center"/>
        </w:trPr>
        <w:tc>
          <w:tcPr>
            <w:tcW w:w="2550" w:type="dxa"/>
            <w:tcBorders>
              <w:top w:val="single" w:sz="4" w:space="0" w:color="00688D"/>
              <w:left w:val="nil"/>
              <w:bottom w:val="double" w:sz="6" w:space="0" w:color="00688D"/>
              <w:right w:val="nil"/>
            </w:tcBorders>
            <w:shd w:val="clear" w:color="000000" w:fill="FFFFFF"/>
            <w:noWrap/>
            <w:vAlign w:val="bottom"/>
            <w:hideMark/>
          </w:tcPr>
          <w:p w14:paraId="3CD4B685"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Total</w:t>
            </w:r>
          </w:p>
        </w:tc>
        <w:tc>
          <w:tcPr>
            <w:tcW w:w="1244" w:type="dxa"/>
            <w:tcBorders>
              <w:top w:val="single" w:sz="4" w:space="0" w:color="00688D"/>
              <w:left w:val="nil"/>
              <w:bottom w:val="double" w:sz="6" w:space="0" w:color="00688D"/>
              <w:right w:val="nil"/>
            </w:tcBorders>
            <w:shd w:val="clear" w:color="000000" w:fill="FFFFFF"/>
            <w:noWrap/>
            <w:vAlign w:val="bottom"/>
            <w:hideMark/>
          </w:tcPr>
          <w:p w14:paraId="476AEAF4"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100%</w:t>
            </w:r>
          </w:p>
        </w:tc>
        <w:tc>
          <w:tcPr>
            <w:tcW w:w="1585" w:type="dxa"/>
            <w:tcBorders>
              <w:top w:val="nil"/>
              <w:left w:val="nil"/>
              <w:bottom w:val="nil"/>
              <w:right w:val="nil"/>
            </w:tcBorders>
            <w:shd w:val="clear" w:color="000000" w:fill="FFFFFF"/>
            <w:noWrap/>
            <w:vAlign w:val="bottom"/>
            <w:hideMark/>
          </w:tcPr>
          <w:p w14:paraId="6BC46390"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 </w:t>
            </w:r>
          </w:p>
        </w:tc>
        <w:tc>
          <w:tcPr>
            <w:tcW w:w="1244"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682C6BBE"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100.0%</w:t>
            </w:r>
          </w:p>
        </w:tc>
        <w:tc>
          <w:tcPr>
            <w:tcW w:w="1585" w:type="dxa"/>
            <w:tcBorders>
              <w:top w:val="nil"/>
              <w:left w:val="nil"/>
              <w:bottom w:val="nil"/>
              <w:right w:val="nil"/>
            </w:tcBorders>
            <w:shd w:val="clear" w:color="auto" w:fill="D9D9D9" w:themeFill="background1" w:themeFillShade="D9"/>
            <w:noWrap/>
            <w:vAlign w:val="bottom"/>
            <w:hideMark/>
          </w:tcPr>
          <w:p w14:paraId="0B2E4F8A" w14:textId="77777777" w:rsidR="00051D7E" w:rsidRPr="006539B7" w:rsidRDefault="00051D7E" w:rsidP="007531FB">
            <w:pPr>
              <w:jc w:val="center"/>
              <w:rPr>
                <w:rFonts w:ascii="Calibri" w:eastAsia="Times New Roman" w:hAnsi="Calibri" w:cs="Calibri"/>
                <w:color w:val="0D0D0D"/>
              </w:rPr>
            </w:pPr>
            <w:r w:rsidRPr="006539B7">
              <w:rPr>
                <w:rFonts w:ascii="Calibri" w:eastAsia="Times New Roman" w:hAnsi="Calibri" w:cs="Calibri"/>
                <w:color w:val="0D0D0D"/>
              </w:rPr>
              <w:t> </w:t>
            </w:r>
          </w:p>
        </w:tc>
      </w:tr>
    </w:tbl>
    <w:p w14:paraId="51B8A918" w14:textId="77777777" w:rsidR="00051D7E" w:rsidRPr="00F54559" w:rsidRDefault="00051D7E" w:rsidP="00051D7E">
      <w:pPr>
        <w:spacing w:before="240"/>
        <w:ind w:right="-7"/>
        <w:rPr>
          <w:rFonts w:eastAsia="Times New Roman" w:cstheme="minorHAnsi"/>
          <w:spacing w:val="-1"/>
          <w:sz w:val="24"/>
        </w:rPr>
      </w:pPr>
      <w:r w:rsidRPr="00F54559">
        <w:rPr>
          <w:rFonts w:eastAsia="Times New Roman" w:cstheme="minorHAnsi"/>
          <w:b/>
          <w:i/>
          <w:spacing w:val="-1"/>
          <w:sz w:val="24"/>
        </w:rPr>
        <w:t>Discount Rate</w:t>
      </w:r>
      <w:r w:rsidRPr="00F54559">
        <w:rPr>
          <w:rFonts w:eastAsia="Times New Roman" w:cstheme="minorHAnsi"/>
          <w:b/>
          <w:spacing w:val="-1"/>
          <w:sz w:val="24"/>
        </w:rPr>
        <w:t>:</w:t>
      </w:r>
      <w:r w:rsidRPr="00F54559">
        <w:rPr>
          <w:rFonts w:eastAsia="Times New Roman" w:cstheme="minorHAnsi"/>
          <w:spacing w:val="-1"/>
          <w:sz w:val="24"/>
        </w:rPr>
        <w:t xml:space="preserve">  GASB Statement No. 68, </w:t>
      </w:r>
      <w:r w:rsidRPr="00F54559">
        <w:rPr>
          <w:rFonts w:eastAsia="Times New Roman" w:cstheme="minorHAnsi"/>
          <w:i/>
          <w:spacing w:val="-1"/>
          <w:sz w:val="24"/>
        </w:rPr>
        <w:t>Accounting and Financial Reporting for Pensions,</w:t>
      </w:r>
      <w:r w:rsidRPr="00F54559">
        <w:rPr>
          <w:rFonts w:eastAsia="Times New Roman" w:cstheme="minorHAnsi"/>
          <w:spacing w:val="-1"/>
          <w:sz w:val="24"/>
        </w:rPr>
        <w:t xml:space="preserve"> requires that projected benefit payments be discounted to their actuarial present value using the single rate that reflects (1) a long-term expected rate of return on pension plan investments to the extent that the pension plan's assets are sufficient to pay benefits and pension plan assets are expected to be invested using a strategy to achieve that return and (2) a tax-exempt, high-quality municipal bond rate to the extent that the conditions for use of the long-term expected rate of return are not met.</w:t>
      </w:r>
    </w:p>
    <w:p w14:paraId="343BED37" w14:textId="77777777" w:rsidR="00051D7E" w:rsidRPr="00F54559" w:rsidRDefault="00051D7E" w:rsidP="00051D7E">
      <w:pPr>
        <w:rPr>
          <w:rFonts w:eastAsia="Times New Roman" w:cstheme="minorHAnsi"/>
          <w:spacing w:val="-1"/>
          <w:sz w:val="24"/>
        </w:rPr>
      </w:pPr>
    </w:p>
    <w:p w14:paraId="7A08153E" w14:textId="77777777" w:rsidR="00051D7E" w:rsidRPr="00F54559" w:rsidRDefault="00051D7E" w:rsidP="00051D7E">
      <w:pPr>
        <w:spacing w:after="160" w:line="259" w:lineRule="auto"/>
        <w:rPr>
          <w:rFonts w:eastAsia="Franklin Gothic Book" w:cstheme="minorHAnsi"/>
          <w:b/>
          <w:i/>
          <w:spacing w:val="-2"/>
          <w:sz w:val="24"/>
        </w:rPr>
      </w:pPr>
      <w:r w:rsidRPr="00F54559">
        <w:rPr>
          <w:rFonts w:eastAsia="Times New Roman" w:cstheme="minorHAnsi"/>
          <w:spacing w:val="-1"/>
          <w:sz w:val="24"/>
        </w:rPr>
        <w:t>For the Plan, the discount rate used to measure the total pension liability at June 30, 20</w:t>
      </w:r>
      <w:r>
        <w:rPr>
          <w:rFonts w:eastAsia="Times New Roman" w:cstheme="minorHAnsi"/>
          <w:spacing w:val="-1"/>
          <w:sz w:val="24"/>
        </w:rPr>
        <w:t>21</w:t>
      </w:r>
      <w:r w:rsidRPr="00F54559">
        <w:rPr>
          <w:rFonts w:eastAsia="Times New Roman" w:cstheme="minorHAnsi"/>
          <w:spacing w:val="-1"/>
          <w:sz w:val="24"/>
        </w:rPr>
        <w:t xml:space="preserve"> and 20</w:t>
      </w:r>
      <w:r>
        <w:rPr>
          <w:rFonts w:eastAsia="Times New Roman" w:cstheme="minorHAnsi"/>
          <w:spacing w:val="-1"/>
          <w:sz w:val="24"/>
        </w:rPr>
        <w:t>20</w:t>
      </w:r>
      <w:r w:rsidRPr="00F54559">
        <w:rPr>
          <w:rFonts w:eastAsia="Times New Roman" w:cstheme="minorHAnsi"/>
          <w:spacing w:val="-1"/>
          <w:sz w:val="24"/>
        </w:rPr>
        <w:t xml:space="preserve"> </w:t>
      </w:r>
      <w:r w:rsidRPr="0066125B">
        <w:rPr>
          <w:rFonts w:eastAsia="Times New Roman" w:cstheme="minorHAnsi"/>
          <w:spacing w:val="-1"/>
          <w:sz w:val="24"/>
        </w:rPr>
        <w:t>was 6.25%.</w:t>
      </w:r>
      <w:r w:rsidRPr="00F54559">
        <w:rPr>
          <w:rFonts w:eastAsia="Times New Roman" w:cstheme="minorHAnsi"/>
          <w:spacing w:val="-1"/>
          <w:sz w:val="24"/>
        </w:rPr>
        <w:t xml:space="preserve"> The projection of cash flows used to determine the discount rate assumed that contributions from the System will be made in accordance with the Plan’s funding policy adopted on February 27, 2014. Based on those assumptions, the Plan's fiduciary net position was projected to be available to make all projected benefit payments of current plan participants. </w:t>
      </w:r>
      <w:r w:rsidRPr="000D3ACF">
        <w:rPr>
          <w:rFonts w:eastAsia="Times New Roman" w:cstheme="minorHAnsi"/>
          <w:spacing w:val="-1"/>
          <w:sz w:val="24"/>
          <w:szCs w:val="24"/>
        </w:rPr>
        <w:t xml:space="preserve">Therefore, the </w:t>
      </w:r>
      <w:r w:rsidRPr="000D3ACF">
        <w:rPr>
          <w:rFonts w:cstheme="minorHAnsi"/>
          <w:sz w:val="24"/>
          <w:szCs w:val="24"/>
        </w:rPr>
        <w:t>long-term expected rate of return on pension plan investments was applied to all periods of projected benefit payments to determine the Total Pension Liability.</w:t>
      </w:r>
      <w:r w:rsidRPr="00F54559">
        <w:rPr>
          <w:rFonts w:eastAsia="Franklin Gothic Book" w:cstheme="minorHAnsi"/>
          <w:b/>
          <w:i/>
          <w:spacing w:val="-2"/>
          <w:sz w:val="24"/>
        </w:rPr>
        <w:br w:type="page"/>
      </w:r>
    </w:p>
    <w:p w14:paraId="2323E98E" w14:textId="77777777" w:rsidR="00051D7E" w:rsidRPr="00F54559" w:rsidRDefault="00051D7E" w:rsidP="009014A7">
      <w:pPr>
        <w:spacing w:before="240" w:after="120" w:line="259" w:lineRule="auto"/>
        <w:rPr>
          <w:rFonts w:cstheme="minorHAnsi"/>
          <w:b/>
          <w:i/>
          <w:sz w:val="26"/>
          <w:u w:val="single" w:color="000000" w:themeColor="text1"/>
        </w:rPr>
      </w:pPr>
      <w:r w:rsidRPr="00F54559">
        <w:rPr>
          <w:rFonts w:cstheme="minorHAnsi"/>
          <w:b/>
          <w:i/>
          <w:sz w:val="26"/>
          <w:u w:val="single" w:color="000000" w:themeColor="text1"/>
        </w:rPr>
        <w:lastRenderedPageBreak/>
        <w:t>13d. Defined Benefit Plan – Classified Employees - continued</w:t>
      </w:r>
      <w:r w:rsidRPr="00F54559" w:rsidDel="00C6783E">
        <w:rPr>
          <w:rFonts w:cstheme="minorHAnsi"/>
          <w:b/>
          <w:i/>
          <w:sz w:val="26"/>
          <w:u w:val="single" w:color="000000" w:themeColor="text1"/>
        </w:rPr>
        <w:t xml:space="preserve"> </w:t>
      </w:r>
    </w:p>
    <w:p w14:paraId="33C3B425" w14:textId="77777777" w:rsidR="00051D7E" w:rsidRPr="00F54559" w:rsidRDefault="00051D7E" w:rsidP="00051D7E">
      <w:pPr>
        <w:spacing w:after="240" w:line="259" w:lineRule="auto"/>
        <w:rPr>
          <w:rFonts w:eastAsia="Times New Roman" w:cstheme="minorHAnsi"/>
          <w:sz w:val="24"/>
        </w:rPr>
      </w:pPr>
      <w:r w:rsidRPr="00F54559">
        <w:rPr>
          <w:rFonts w:eastAsia="Franklin Gothic Book" w:cstheme="minorHAnsi"/>
          <w:b/>
          <w:i/>
          <w:spacing w:val="-2"/>
          <w:sz w:val="24"/>
        </w:rPr>
        <w:t>S</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2"/>
          <w:sz w:val="24"/>
        </w:rPr>
        <w:t>t</w:t>
      </w:r>
      <w:r w:rsidRPr="00F54559">
        <w:rPr>
          <w:rFonts w:eastAsia="Franklin Gothic Book" w:cstheme="minorHAnsi"/>
          <w:b/>
          <w:i/>
          <w:sz w:val="24"/>
        </w:rPr>
        <w:t>ivi</w:t>
      </w:r>
      <w:r w:rsidRPr="00F54559">
        <w:rPr>
          <w:rFonts w:eastAsia="Franklin Gothic Book" w:cstheme="minorHAnsi"/>
          <w:b/>
          <w:i/>
          <w:spacing w:val="-1"/>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z w:val="24"/>
        </w:rPr>
        <w:t>of</w:t>
      </w:r>
      <w:r w:rsidRPr="00F54559">
        <w:rPr>
          <w:rFonts w:eastAsia="Franklin Gothic Book" w:cstheme="minorHAnsi"/>
          <w:b/>
          <w:i/>
          <w:spacing w:val="-6"/>
          <w:sz w:val="24"/>
        </w:rPr>
        <w:t xml:space="preserve"> </w:t>
      </w:r>
      <w:r w:rsidRPr="00F54559">
        <w:rPr>
          <w:rFonts w:eastAsia="Franklin Gothic Book" w:cstheme="minorHAnsi"/>
          <w:b/>
          <w:i/>
          <w:spacing w:val="-1"/>
          <w:sz w:val="24"/>
        </w:rPr>
        <w:t>t</w:t>
      </w:r>
      <w:r w:rsidRPr="00F54559">
        <w:rPr>
          <w:rFonts w:eastAsia="Franklin Gothic Book" w:cstheme="minorHAnsi"/>
          <w:b/>
          <w:i/>
          <w:sz w:val="24"/>
        </w:rPr>
        <w:t>he</w:t>
      </w:r>
      <w:r w:rsidRPr="00F54559">
        <w:rPr>
          <w:rFonts w:eastAsia="Franklin Gothic Book" w:cstheme="minorHAnsi"/>
          <w:b/>
          <w:i/>
          <w:spacing w:val="-6"/>
          <w:sz w:val="24"/>
        </w:rPr>
        <w:t xml:space="preserve"> </w:t>
      </w:r>
      <w:r w:rsidRPr="00F54559">
        <w:rPr>
          <w:rFonts w:eastAsia="Franklin Gothic Book" w:cstheme="minorHAnsi"/>
          <w:b/>
          <w:i/>
          <w:spacing w:val="-2"/>
          <w:sz w:val="24"/>
        </w:rPr>
        <w:t>n</w:t>
      </w:r>
      <w:r w:rsidRPr="00F54559">
        <w:rPr>
          <w:rFonts w:eastAsia="Franklin Gothic Book" w:cstheme="minorHAnsi"/>
          <w:b/>
          <w:i/>
          <w:sz w:val="24"/>
        </w:rPr>
        <w:t>et</w:t>
      </w:r>
      <w:r w:rsidRPr="00F54559">
        <w:rPr>
          <w:rFonts w:eastAsia="Franklin Gothic Book" w:cstheme="minorHAnsi"/>
          <w:b/>
          <w:i/>
          <w:spacing w:val="-7"/>
          <w:sz w:val="24"/>
        </w:rPr>
        <w:t xml:space="preserve"> </w:t>
      </w:r>
      <w:r w:rsidRPr="00F54559">
        <w:rPr>
          <w:rFonts w:eastAsia="Franklin Gothic Book" w:cstheme="minorHAnsi"/>
          <w:b/>
          <w:i/>
          <w:spacing w:val="-2"/>
          <w:sz w:val="24"/>
        </w:rPr>
        <w:t>p</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1"/>
          <w:sz w:val="24"/>
        </w:rPr>
        <w:t>o</w:t>
      </w:r>
      <w:r w:rsidRPr="00F54559">
        <w:rPr>
          <w:rFonts w:eastAsia="Franklin Gothic Book" w:cstheme="minorHAnsi"/>
          <w:b/>
          <w:i/>
          <w:sz w:val="24"/>
        </w:rPr>
        <w:t>n</w:t>
      </w:r>
      <w:r w:rsidRPr="00F54559">
        <w:rPr>
          <w:rFonts w:eastAsia="Franklin Gothic Book" w:cstheme="minorHAnsi"/>
          <w:b/>
          <w:i/>
          <w:spacing w:val="-5"/>
          <w:sz w:val="24"/>
        </w:rPr>
        <w:t xml:space="preserve"> </w:t>
      </w:r>
      <w:r w:rsidRPr="00F54559">
        <w:rPr>
          <w:rFonts w:eastAsia="Franklin Gothic Book" w:cstheme="minorHAnsi"/>
          <w:b/>
          <w:i/>
          <w:sz w:val="24"/>
        </w:rPr>
        <w:t>li</w:t>
      </w:r>
      <w:r w:rsidRPr="00F54559">
        <w:rPr>
          <w:rFonts w:eastAsia="Franklin Gothic Book" w:cstheme="minorHAnsi"/>
          <w:b/>
          <w:i/>
          <w:spacing w:val="-2"/>
          <w:sz w:val="24"/>
        </w:rPr>
        <w:t>a</w:t>
      </w:r>
      <w:r w:rsidRPr="00F54559">
        <w:rPr>
          <w:rFonts w:eastAsia="Franklin Gothic Book" w:cstheme="minorHAnsi"/>
          <w:b/>
          <w:i/>
          <w:sz w:val="24"/>
        </w:rPr>
        <w:t>bili</w:t>
      </w:r>
      <w:r w:rsidRPr="00F54559">
        <w:rPr>
          <w:rFonts w:eastAsia="Franklin Gothic Book" w:cstheme="minorHAnsi"/>
          <w:b/>
          <w:i/>
          <w:spacing w:val="-2"/>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o</w:t>
      </w:r>
      <w:r w:rsidRPr="00F54559">
        <w:rPr>
          <w:rFonts w:eastAsia="Franklin Gothic Book" w:cstheme="minorHAnsi"/>
          <w:b/>
          <w:i/>
          <w:spacing w:val="-6"/>
          <w:sz w:val="24"/>
        </w:rPr>
        <w:t xml:space="preserve"> </w:t>
      </w:r>
      <w:r w:rsidRPr="00F54559">
        <w:rPr>
          <w:rFonts w:eastAsia="Franklin Gothic Book" w:cstheme="minorHAnsi"/>
          <w:b/>
          <w:i/>
          <w:spacing w:val="-1"/>
          <w:sz w:val="24"/>
        </w:rPr>
        <w:t>c</w:t>
      </w:r>
      <w:r w:rsidRPr="00F54559">
        <w:rPr>
          <w:rFonts w:eastAsia="Franklin Gothic Book" w:cstheme="minorHAnsi"/>
          <w:b/>
          <w:i/>
          <w:sz w:val="24"/>
        </w:rPr>
        <w:t>h</w:t>
      </w:r>
      <w:r w:rsidRPr="00F54559">
        <w:rPr>
          <w:rFonts w:eastAsia="Franklin Gothic Book" w:cstheme="minorHAnsi"/>
          <w:b/>
          <w:i/>
          <w:spacing w:val="-2"/>
          <w:sz w:val="24"/>
        </w:rPr>
        <w:t>an</w:t>
      </w:r>
      <w:r w:rsidRPr="00F54559">
        <w:rPr>
          <w:rFonts w:eastAsia="Franklin Gothic Book" w:cstheme="minorHAnsi"/>
          <w:b/>
          <w:i/>
          <w:sz w:val="24"/>
        </w:rPr>
        <w:t>ges</w:t>
      </w:r>
      <w:r w:rsidRPr="00F54559">
        <w:rPr>
          <w:rFonts w:eastAsia="Franklin Gothic Book" w:cstheme="minorHAnsi"/>
          <w:b/>
          <w:i/>
          <w:spacing w:val="-6"/>
          <w:sz w:val="24"/>
        </w:rPr>
        <w:t xml:space="preserve"> </w:t>
      </w:r>
      <w:r w:rsidRPr="00F54559">
        <w:rPr>
          <w:rFonts w:eastAsia="Franklin Gothic Book" w:cstheme="minorHAnsi"/>
          <w:b/>
          <w:i/>
          <w:sz w:val="24"/>
        </w:rPr>
        <w:t>in</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he</w:t>
      </w:r>
      <w:r w:rsidRPr="00F54559">
        <w:rPr>
          <w:rFonts w:eastAsia="Franklin Gothic Book" w:cstheme="minorHAnsi"/>
          <w:b/>
          <w:i/>
          <w:spacing w:val="-6"/>
          <w:sz w:val="24"/>
        </w:rPr>
        <w:t xml:space="preserve"> d</w:t>
      </w:r>
      <w:r w:rsidRPr="00F54559">
        <w:rPr>
          <w:rFonts w:eastAsia="Franklin Gothic Book" w:cstheme="minorHAnsi"/>
          <w:b/>
          <w:i/>
          <w:sz w:val="24"/>
        </w:rPr>
        <w:t>i</w:t>
      </w:r>
      <w:r w:rsidRPr="00F54559">
        <w:rPr>
          <w:rFonts w:eastAsia="Franklin Gothic Book" w:cstheme="minorHAnsi"/>
          <w:b/>
          <w:i/>
          <w:spacing w:val="-1"/>
          <w:sz w:val="24"/>
        </w:rPr>
        <w:t>sc</w:t>
      </w:r>
      <w:r w:rsidRPr="00F54559">
        <w:rPr>
          <w:rFonts w:eastAsia="Franklin Gothic Book" w:cstheme="minorHAnsi"/>
          <w:b/>
          <w:i/>
          <w:sz w:val="24"/>
        </w:rPr>
        <w:t>ou</w:t>
      </w:r>
      <w:r w:rsidRPr="00F54559">
        <w:rPr>
          <w:rFonts w:eastAsia="Franklin Gothic Book" w:cstheme="minorHAnsi"/>
          <w:b/>
          <w:i/>
          <w:spacing w:val="-2"/>
          <w:sz w:val="24"/>
        </w:rPr>
        <w:t>n</w:t>
      </w:r>
      <w:r w:rsidRPr="00F54559">
        <w:rPr>
          <w:rFonts w:eastAsia="Franklin Gothic Book" w:cstheme="minorHAnsi"/>
          <w:b/>
          <w:i/>
          <w:sz w:val="24"/>
        </w:rPr>
        <w:t>t</w:t>
      </w:r>
      <w:r w:rsidRPr="00F54559">
        <w:rPr>
          <w:rFonts w:eastAsia="Franklin Gothic Book" w:cstheme="minorHAnsi"/>
          <w:b/>
          <w:i/>
          <w:spacing w:val="-6"/>
          <w:sz w:val="24"/>
        </w:rPr>
        <w:t xml:space="preserve"> </w:t>
      </w:r>
      <w:r w:rsidRPr="00F54559">
        <w:rPr>
          <w:rFonts w:eastAsia="Franklin Gothic Book" w:cstheme="minorHAnsi"/>
          <w:b/>
          <w:i/>
          <w:sz w:val="24"/>
        </w:rPr>
        <w:t>r</w:t>
      </w:r>
      <w:r w:rsidRPr="00F54559">
        <w:rPr>
          <w:rFonts w:eastAsia="Franklin Gothic Book" w:cstheme="minorHAnsi"/>
          <w:b/>
          <w:i/>
          <w:spacing w:val="-2"/>
          <w:sz w:val="24"/>
        </w:rPr>
        <w:t>at</w:t>
      </w:r>
      <w:r w:rsidRPr="00F54559">
        <w:rPr>
          <w:rFonts w:eastAsia="Franklin Gothic Book" w:cstheme="minorHAnsi"/>
          <w:b/>
          <w:i/>
          <w:sz w:val="24"/>
        </w:rPr>
        <w:t>e:</w:t>
      </w:r>
      <w:r w:rsidRPr="00F54559">
        <w:rPr>
          <w:rFonts w:eastAsia="Franklin Gothic Book" w:cstheme="minorHAnsi"/>
          <w:i/>
          <w:sz w:val="24"/>
        </w:rPr>
        <w:t xml:space="preserve">  </w:t>
      </w:r>
      <w:r w:rsidRPr="00F54559">
        <w:rPr>
          <w:rFonts w:eastAsia="Times New Roman" w:cstheme="minorHAnsi"/>
          <w:spacing w:val="-1"/>
          <w:sz w:val="24"/>
        </w:rPr>
        <w:t>T</w:t>
      </w:r>
      <w:r w:rsidRPr="00F54559">
        <w:rPr>
          <w:rFonts w:eastAsia="Times New Roman" w:cstheme="minorHAnsi"/>
          <w:sz w:val="24"/>
        </w:rPr>
        <w:t>he foll</w:t>
      </w:r>
      <w:r w:rsidRPr="00F54559">
        <w:rPr>
          <w:rFonts w:eastAsia="Times New Roman" w:cstheme="minorHAnsi"/>
          <w:spacing w:val="-1"/>
          <w:sz w:val="24"/>
        </w:rPr>
        <w:t>o</w:t>
      </w:r>
      <w:r w:rsidRPr="00F54559">
        <w:rPr>
          <w:rFonts w:eastAsia="Times New Roman" w:cstheme="minorHAnsi"/>
          <w:sz w:val="24"/>
        </w:rPr>
        <w:t>wing</w:t>
      </w:r>
      <w:r w:rsidRPr="00F54559">
        <w:rPr>
          <w:rFonts w:eastAsia="Times New Roman" w:cstheme="minorHAnsi"/>
          <w:spacing w:val="1"/>
          <w:sz w:val="24"/>
        </w:rPr>
        <w:t xml:space="preserve"> </w:t>
      </w:r>
      <w:r w:rsidRPr="00F54559">
        <w:rPr>
          <w:rFonts w:eastAsia="Times New Roman" w:cstheme="minorHAnsi"/>
          <w:spacing w:val="-1"/>
          <w:sz w:val="24"/>
        </w:rPr>
        <w:t>pr</w:t>
      </w:r>
      <w:r w:rsidRPr="00F54559">
        <w:rPr>
          <w:rFonts w:eastAsia="Times New Roman" w:cstheme="minorHAnsi"/>
          <w:sz w:val="24"/>
        </w:rPr>
        <w:t>esen</w:t>
      </w:r>
      <w:r w:rsidRPr="00F54559">
        <w:rPr>
          <w:rFonts w:eastAsia="Times New Roman" w:cstheme="minorHAnsi"/>
          <w:spacing w:val="1"/>
          <w:sz w:val="24"/>
        </w:rPr>
        <w:t>t</w:t>
      </w:r>
      <w:r w:rsidRPr="00F54559">
        <w:rPr>
          <w:rFonts w:eastAsia="Times New Roman" w:cstheme="minorHAnsi"/>
          <w:sz w:val="24"/>
        </w:rPr>
        <w:t>s</w:t>
      </w:r>
      <w:r w:rsidRPr="00F54559">
        <w:rPr>
          <w:rFonts w:eastAsia="Times New Roman" w:cstheme="minorHAnsi"/>
          <w:spacing w:val="1"/>
          <w:sz w:val="24"/>
        </w:rPr>
        <w:t xml:space="preserve"> </w:t>
      </w:r>
      <w:r w:rsidRPr="00F54559">
        <w:rPr>
          <w:rFonts w:eastAsia="Times New Roman" w:cstheme="minorHAnsi"/>
          <w:sz w:val="24"/>
        </w:rPr>
        <w:t>the</w:t>
      </w:r>
      <w:r w:rsidRPr="00F54559">
        <w:rPr>
          <w:rFonts w:eastAsia="Times New Roman" w:cstheme="minorHAnsi"/>
          <w:spacing w:val="1"/>
          <w:sz w:val="24"/>
        </w:rPr>
        <w:t xml:space="preserve"> </w:t>
      </w:r>
      <w:r w:rsidRPr="00F54559">
        <w:rPr>
          <w:rFonts w:eastAsia="Times New Roman" w:cstheme="minorHAnsi"/>
          <w:sz w:val="24"/>
        </w:rPr>
        <w:t xml:space="preserve">net </w:t>
      </w:r>
      <w:r w:rsidRPr="00F54559">
        <w:rPr>
          <w:rFonts w:eastAsia="Times New Roman" w:cstheme="minorHAnsi"/>
          <w:spacing w:val="-1"/>
          <w:sz w:val="24"/>
        </w:rPr>
        <w:t>p</w:t>
      </w:r>
      <w:r w:rsidRPr="00F54559">
        <w:rPr>
          <w:rFonts w:eastAsia="Times New Roman" w:cstheme="minorHAnsi"/>
          <w:sz w:val="24"/>
        </w:rPr>
        <w:t>ension</w:t>
      </w:r>
      <w:r w:rsidRPr="00F54559">
        <w:rPr>
          <w:rFonts w:eastAsia="Times New Roman" w:cstheme="minorHAnsi"/>
          <w:spacing w:val="1"/>
          <w:sz w:val="24"/>
        </w:rPr>
        <w:t xml:space="preserve"> </w:t>
      </w:r>
      <w:r w:rsidRPr="00F54559">
        <w:rPr>
          <w:rFonts w:eastAsia="Times New Roman" w:cstheme="minorHAnsi"/>
          <w:sz w:val="24"/>
        </w:rPr>
        <w:t>liability</w:t>
      </w:r>
      <w:r w:rsidRPr="00F54559">
        <w:rPr>
          <w:rFonts w:eastAsia="Times New Roman" w:cstheme="minorHAnsi"/>
          <w:spacing w:val="-1"/>
          <w:sz w:val="24"/>
        </w:rPr>
        <w:t xml:space="preserve"> as of June 30</w:t>
      </w:r>
      <w:r>
        <w:rPr>
          <w:rFonts w:eastAsia="Times New Roman" w:cstheme="minorHAnsi"/>
          <w:spacing w:val="-1"/>
          <w:sz w:val="24"/>
        </w:rPr>
        <w:t xml:space="preserve"> </w:t>
      </w:r>
      <w:r w:rsidRPr="005C3E71">
        <w:rPr>
          <w:rFonts w:eastAsia="Times New Roman" w:cstheme="minorHAnsi"/>
          <w:sz w:val="24"/>
        </w:rPr>
        <w:t>calcula</w:t>
      </w:r>
      <w:r w:rsidRPr="005C3E71">
        <w:rPr>
          <w:rFonts w:eastAsia="Times New Roman" w:cstheme="minorHAnsi"/>
          <w:spacing w:val="1"/>
          <w:sz w:val="24"/>
        </w:rPr>
        <w:t>t</w:t>
      </w:r>
      <w:r w:rsidRPr="005C3E71">
        <w:rPr>
          <w:rFonts w:eastAsia="Times New Roman" w:cstheme="minorHAnsi"/>
          <w:sz w:val="24"/>
        </w:rPr>
        <w:t>ed</w:t>
      </w:r>
      <w:r w:rsidRPr="005C3E71">
        <w:rPr>
          <w:rFonts w:eastAsia="Times New Roman" w:cstheme="minorHAnsi"/>
          <w:spacing w:val="2"/>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 the</w:t>
      </w:r>
      <w:r w:rsidRPr="00F54559">
        <w:rPr>
          <w:rFonts w:eastAsia="Times New Roman" w:cstheme="minorHAnsi"/>
          <w:spacing w:val="1"/>
          <w:sz w:val="24"/>
        </w:rPr>
        <w:t xml:space="preserve"> </w:t>
      </w:r>
      <w:r w:rsidRPr="00F54559">
        <w:rPr>
          <w:rFonts w:eastAsia="Times New Roman" w:cstheme="minorHAnsi"/>
          <w:sz w:val="24"/>
        </w:rPr>
        <w:t>discount</w:t>
      </w:r>
      <w:r w:rsidRPr="00F54559">
        <w:rPr>
          <w:rFonts w:eastAsia="Times New Roman" w:cstheme="minorHAnsi"/>
          <w:spacing w:val="1"/>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1"/>
          <w:sz w:val="24"/>
        </w:rPr>
        <w:t xml:space="preserve"> </w:t>
      </w:r>
      <w:r w:rsidRPr="00F54559">
        <w:rPr>
          <w:rFonts w:eastAsia="Times New Roman" w:cstheme="minorHAnsi"/>
          <w:spacing w:val="-1"/>
          <w:sz w:val="24"/>
        </w:rPr>
        <w:t>o</w:t>
      </w:r>
      <w:r w:rsidRPr="00F54559">
        <w:rPr>
          <w:rFonts w:eastAsia="Times New Roman" w:cstheme="minorHAnsi"/>
          <w:sz w:val="24"/>
        </w:rPr>
        <w:t xml:space="preserve">f </w:t>
      </w:r>
      <w:r w:rsidRPr="000C4239">
        <w:rPr>
          <w:rFonts w:eastAsia="Times New Roman" w:cstheme="minorHAnsi"/>
          <w:sz w:val="24"/>
        </w:rPr>
        <w:t>6.25</w:t>
      </w:r>
      <w:r w:rsidRPr="00F54559">
        <w:rPr>
          <w:rFonts w:eastAsia="Times New Roman" w:cstheme="minorHAnsi"/>
          <w:sz w:val="24"/>
        </w:rPr>
        <w:t>%,</w:t>
      </w:r>
      <w:r w:rsidRPr="00F54559">
        <w:rPr>
          <w:rFonts w:eastAsia="Times New Roman" w:cstheme="minorHAnsi"/>
          <w:spacing w:val="3"/>
          <w:sz w:val="24"/>
        </w:rPr>
        <w:t xml:space="preserve"> </w:t>
      </w:r>
      <w:r w:rsidRPr="00F54559">
        <w:rPr>
          <w:rFonts w:eastAsia="Times New Roman" w:cstheme="minorHAnsi"/>
          <w:sz w:val="24"/>
        </w:rPr>
        <w:t>as</w:t>
      </w:r>
      <w:r w:rsidRPr="00F54559">
        <w:rPr>
          <w:rFonts w:eastAsia="Times New Roman" w:cstheme="minorHAnsi"/>
          <w:spacing w:val="1"/>
          <w:sz w:val="24"/>
        </w:rPr>
        <w:t xml:space="preserve"> </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ll as</w:t>
      </w:r>
      <w:r w:rsidRPr="00F54559">
        <w:rPr>
          <w:rFonts w:eastAsia="Times New Roman" w:cstheme="minorHAnsi"/>
          <w:spacing w:val="1"/>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w:t>
      </w:r>
      <w:r w:rsidRPr="00F54559">
        <w:rPr>
          <w:rFonts w:eastAsia="Times New Roman" w:cstheme="minorHAnsi"/>
          <w:spacing w:val="41"/>
          <w:sz w:val="24"/>
        </w:rPr>
        <w:t xml:space="preserve"> </w:t>
      </w:r>
      <w:r w:rsidRPr="00F54559">
        <w:rPr>
          <w:rFonts w:eastAsia="Times New Roman" w:cstheme="minorHAnsi"/>
          <w:sz w:val="24"/>
        </w:rPr>
        <w:t>a</w:t>
      </w:r>
      <w:r w:rsidRPr="00F54559">
        <w:rPr>
          <w:rFonts w:eastAsia="Times New Roman" w:cstheme="minorHAnsi"/>
          <w:spacing w:val="39"/>
          <w:sz w:val="24"/>
        </w:rPr>
        <w:t xml:space="preserve"> </w:t>
      </w:r>
      <w:r w:rsidRPr="00F54559">
        <w:rPr>
          <w:rFonts w:eastAsia="Times New Roman" w:cstheme="minorHAnsi"/>
          <w:sz w:val="24"/>
        </w:rPr>
        <w:t>discount</w:t>
      </w:r>
      <w:r w:rsidRPr="00F54559">
        <w:rPr>
          <w:rFonts w:eastAsia="Times New Roman" w:cstheme="minorHAnsi"/>
          <w:spacing w:val="42"/>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40"/>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41"/>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39"/>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r</w:t>
      </w:r>
      <w:r w:rsidRPr="00F54559">
        <w:rPr>
          <w:rFonts w:eastAsia="Times New Roman" w:cstheme="minorHAnsi"/>
          <w:w w:val="99"/>
          <w:sz w:val="24"/>
        </w:rPr>
        <w:t xml:space="preserve"> </w:t>
      </w:r>
      <w:r w:rsidRPr="00F54559">
        <w:rPr>
          <w:rFonts w:eastAsia="Times New Roman" w:cstheme="minorHAnsi"/>
          <w:sz w:val="24"/>
        </w:rPr>
        <w:t>or</w:t>
      </w:r>
      <w:r w:rsidRPr="00F54559">
        <w:rPr>
          <w:rFonts w:eastAsia="Times New Roman" w:cstheme="minorHAnsi"/>
          <w:spacing w:val="-7"/>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6"/>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6"/>
          <w:sz w:val="24"/>
        </w:rPr>
        <w:t xml:space="preserve"> </w:t>
      </w:r>
      <w:r w:rsidRPr="00F54559">
        <w:rPr>
          <w:rFonts w:eastAsia="Times New Roman" w:cstheme="minorHAnsi"/>
          <w:sz w:val="24"/>
        </w:rPr>
        <w:t>higher</w:t>
      </w:r>
      <w:r w:rsidRPr="00F54559">
        <w:rPr>
          <w:rFonts w:eastAsia="Times New Roman" w:cstheme="minorHAnsi"/>
          <w:spacing w:val="-6"/>
          <w:sz w:val="24"/>
        </w:rPr>
        <w:t xml:space="preserve"> </w:t>
      </w:r>
      <w:r w:rsidRPr="00F54559">
        <w:rPr>
          <w:rFonts w:eastAsia="Times New Roman" w:cstheme="minorHAnsi"/>
          <w:spacing w:val="1"/>
          <w:sz w:val="24"/>
        </w:rPr>
        <w:t>t</w:t>
      </w:r>
      <w:r w:rsidRPr="00F54559">
        <w:rPr>
          <w:rFonts w:eastAsia="Times New Roman" w:cstheme="minorHAnsi"/>
          <w:sz w:val="24"/>
        </w:rPr>
        <w:t>han</w:t>
      </w:r>
      <w:r w:rsidRPr="00F54559">
        <w:rPr>
          <w:rFonts w:eastAsia="Times New Roman" w:cstheme="minorHAnsi"/>
          <w:spacing w:val="-6"/>
          <w:sz w:val="24"/>
        </w:rPr>
        <w:t xml:space="preserve"> </w:t>
      </w:r>
      <w:r w:rsidRPr="00F54559">
        <w:rPr>
          <w:rFonts w:eastAsia="Times New Roman" w:cstheme="minorHAnsi"/>
          <w:sz w:val="24"/>
        </w:rPr>
        <w:t>the</w:t>
      </w:r>
      <w:r w:rsidRPr="00F54559">
        <w:rPr>
          <w:rFonts w:eastAsia="Times New Roman" w:cstheme="minorHAnsi"/>
          <w:spacing w:val="-7"/>
          <w:sz w:val="24"/>
        </w:rPr>
        <w:t xml:space="preserve"> </w:t>
      </w:r>
      <w:r w:rsidRPr="00F54559">
        <w:rPr>
          <w:rFonts w:eastAsia="Times New Roman" w:cstheme="minorHAnsi"/>
          <w:spacing w:val="1"/>
          <w:sz w:val="24"/>
        </w:rPr>
        <w:t>c</w:t>
      </w:r>
      <w:r w:rsidRPr="00F54559">
        <w:rPr>
          <w:rFonts w:eastAsia="Times New Roman" w:cstheme="minorHAnsi"/>
          <w:sz w:val="24"/>
        </w:rPr>
        <w:t>u</w:t>
      </w:r>
      <w:r w:rsidRPr="00F54559">
        <w:rPr>
          <w:rFonts w:eastAsia="Times New Roman" w:cstheme="minorHAnsi"/>
          <w:spacing w:val="-1"/>
          <w:sz w:val="24"/>
        </w:rPr>
        <w:t>rr</w:t>
      </w:r>
      <w:r w:rsidRPr="00F54559">
        <w:rPr>
          <w:rFonts w:eastAsia="Times New Roman" w:cstheme="minorHAnsi"/>
          <w:sz w:val="24"/>
        </w:rPr>
        <w:t>ent</w:t>
      </w:r>
      <w:r w:rsidRPr="00F54559">
        <w:rPr>
          <w:rFonts w:eastAsia="Times New Roman" w:cstheme="minorHAnsi"/>
          <w:spacing w:val="-6"/>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Pr>
          <w:rFonts w:eastAsia="Times New Roman" w:cstheme="minorHAnsi"/>
          <w:sz w:val="24"/>
        </w:rPr>
        <w:fldChar w:fldCharType="begin"/>
      </w:r>
      <w:r>
        <w:rPr>
          <w:rFonts w:eastAsia="Times New Roman" w:cstheme="minorHAnsi"/>
          <w:sz w:val="24"/>
        </w:rPr>
        <w:fldChar w:fldCharType="end"/>
      </w:r>
    </w:p>
    <w:tbl>
      <w:tblPr>
        <w:tblW w:w="9405" w:type="dxa"/>
        <w:tblLook w:val="04A0" w:firstRow="1" w:lastRow="0" w:firstColumn="1" w:lastColumn="0" w:noHBand="0" w:noVBand="1"/>
      </w:tblPr>
      <w:tblGrid>
        <w:gridCol w:w="2360"/>
        <w:gridCol w:w="1179"/>
        <w:gridCol w:w="1179"/>
        <w:gridCol w:w="1148"/>
        <w:gridCol w:w="1179"/>
        <w:gridCol w:w="1179"/>
        <w:gridCol w:w="1181"/>
      </w:tblGrid>
      <w:tr w:rsidR="00051D7E" w:rsidRPr="006539B7" w14:paraId="12D4C286" w14:textId="77777777" w:rsidTr="007531FB">
        <w:trPr>
          <w:trHeight w:val="317"/>
          <w:tblHeader/>
        </w:trPr>
        <w:tc>
          <w:tcPr>
            <w:tcW w:w="2360" w:type="dxa"/>
            <w:tcBorders>
              <w:top w:val="nil"/>
              <w:left w:val="nil"/>
              <w:bottom w:val="nil"/>
              <w:right w:val="nil"/>
            </w:tcBorders>
            <w:shd w:val="clear" w:color="000000" w:fill="FFFFFF"/>
            <w:noWrap/>
            <w:vAlign w:val="bottom"/>
            <w:hideMark/>
          </w:tcPr>
          <w:p w14:paraId="75E2B4D2" w14:textId="77777777" w:rsidR="00051D7E" w:rsidRPr="006539B7" w:rsidRDefault="00051D7E" w:rsidP="007531FB">
            <w:pPr>
              <w:rPr>
                <w:rFonts w:ascii="Calibri" w:eastAsia="Times New Roman" w:hAnsi="Calibri" w:cs="Calibri"/>
                <w:b/>
                <w:bCs/>
                <w:color w:val="0D0D0D"/>
              </w:rPr>
            </w:pPr>
            <w:r w:rsidRPr="006539B7">
              <w:rPr>
                <w:rFonts w:ascii="Calibri" w:eastAsia="Times New Roman" w:hAnsi="Calibri" w:cs="Calibri"/>
                <w:b/>
                <w:bCs/>
                <w:color w:val="0D0D0D"/>
              </w:rPr>
              <w:t> </w:t>
            </w:r>
          </w:p>
        </w:tc>
        <w:tc>
          <w:tcPr>
            <w:tcW w:w="3506" w:type="dxa"/>
            <w:gridSpan w:val="3"/>
            <w:tcBorders>
              <w:top w:val="nil"/>
              <w:left w:val="nil"/>
              <w:bottom w:val="single" w:sz="4" w:space="0" w:color="auto"/>
              <w:right w:val="nil"/>
            </w:tcBorders>
            <w:shd w:val="clear" w:color="000000" w:fill="FFFFFF"/>
            <w:vAlign w:val="bottom"/>
            <w:hideMark/>
          </w:tcPr>
          <w:p w14:paraId="153FE423" w14:textId="77777777" w:rsidR="00051D7E" w:rsidRPr="006539B7" w:rsidRDefault="00051D7E" w:rsidP="007531FB">
            <w:pPr>
              <w:jc w:val="center"/>
              <w:rPr>
                <w:rFonts w:ascii="Calibri" w:eastAsia="Times New Roman" w:hAnsi="Calibri" w:cs="Calibri"/>
                <w:b/>
                <w:bCs/>
                <w:color w:val="0D0D0D"/>
              </w:rPr>
            </w:pPr>
            <w:r w:rsidRPr="006539B7">
              <w:rPr>
                <w:rFonts w:ascii="Calibri" w:eastAsia="Times New Roman" w:hAnsi="Calibri" w:cs="Calibri"/>
                <w:b/>
                <w:bCs/>
                <w:color w:val="0D0D0D"/>
              </w:rPr>
              <w:t>June 30, 202</w:t>
            </w:r>
            <w:r>
              <w:rPr>
                <w:rFonts w:ascii="Calibri" w:eastAsia="Times New Roman" w:hAnsi="Calibri" w:cs="Calibri"/>
                <w:b/>
                <w:bCs/>
                <w:color w:val="0D0D0D"/>
              </w:rPr>
              <w:t>1</w:t>
            </w:r>
          </w:p>
        </w:tc>
        <w:tc>
          <w:tcPr>
            <w:tcW w:w="3539" w:type="dxa"/>
            <w:gridSpan w:val="3"/>
            <w:tcBorders>
              <w:top w:val="nil"/>
              <w:left w:val="nil"/>
              <w:bottom w:val="single" w:sz="4" w:space="0" w:color="auto"/>
              <w:right w:val="nil"/>
            </w:tcBorders>
            <w:shd w:val="clear" w:color="auto" w:fill="D9D9D9" w:themeFill="background1" w:themeFillShade="D9"/>
            <w:vAlign w:val="bottom"/>
            <w:hideMark/>
          </w:tcPr>
          <w:p w14:paraId="4F1FD254" w14:textId="77777777" w:rsidR="00051D7E" w:rsidRPr="006539B7" w:rsidRDefault="00051D7E" w:rsidP="007531FB">
            <w:pPr>
              <w:jc w:val="center"/>
              <w:rPr>
                <w:rFonts w:ascii="Calibri" w:eastAsia="Times New Roman" w:hAnsi="Calibri" w:cs="Calibri"/>
                <w:b/>
                <w:bCs/>
                <w:color w:val="0D0D0D"/>
              </w:rPr>
            </w:pPr>
            <w:r w:rsidRPr="006539B7">
              <w:rPr>
                <w:rFonts w:ascii="Calibri" w:eastAsia="Times New Roman" w:hAnsi="Calibri" w:cs="Calibri"/>
                <w:b/>
                <w:bCs/>
                <w:color w:val="0D0D0D"/>
              </w:rPr>
              <w:t>June 30, 20</w:t>
            </w:r>
            <w:r>
              <w:rPr>
                <w:rFonts w:ascii="Calibri" w:eastAsia="Times New Roman" w:hAnsi="Calibri" w:cs="Calibri"/>
                <w:b/>
                <w:bCs/>
                <w:color w:val="0D0D0D"/>
              </w:rPr>
              <w:t>20</w:t>
            </w:r>
          </w:p>
        </w:tc>
      </w:tr>
      <w:tr w:rsidR="00051D7E" w:rsidRPr="006539B7" w14:paraId="77E26EFC" w14:textId="77777777" w:rsidTr="007531FB">
        <w:trPr>
          <w:trHeight w:val="880"/>
          <w:tblHeader/>
        </w:trPr>
        <w:tc>
          <w:tcPr>
            <w:tcW w:w="2360" w:type="dxa"/>
            <w:tcBorders>
              <w:top w:val="nil"/>
              <w:left w:val="nil"/>
              <w:bottom w:val="nil"/>
              <w:right w:val="nil"/>
            </w:tcBorders>
            <w:shd w:val="clear" w:color="000000" w:fill="FFFFFF"/>
            <w:noWrap/>
            <w:vAlign w:val="bottom"/>
            <w:hideMark/>
          </w:tcPr>
          <w:p w14:paraId="073758A3" w14:textId="77777777" w:rsidR="00051D7E" w:rsidRPr="006539B7" w:rsidRDefault="00051D7E" w:rsidP="007531FB">
            <w:pPr>
              <w:rPr>
                <w:rFonts w:ascii="Calibri" w:eastAsia="Times New Roman" w:hAnsi="Calibri" w:cs="Calibri"/>
                <w:b/>
                <w:bCs/>
                <w:color w:val="0D0D0D"/>
              </w:rPr>
            </w:pPr>
            <w:r w:rsidRPr="006539B7">
              <w:rPr>
                <w:rFonts w:ascii="Calibri" w:eastAsia="Times New Roman" w:hAnsi="Calibri" w:cs="Calibri"/>
                <w:b/>
                <w:bCs/>
                <w:color w:val="0D0D0D"/>
              </w:rPr>
              <w:t> </w:t>
            </w:r>
          </w:p>
        </w:tc>
        <w:tc>
          <w:tcPr>
            <w:tcW w:w="1179" w:type="dxa"/>
            <w:tcBorders>
              <w:top w:val="nil"/>
              <w:left w:val="nil"/>
              <w:bottom w:val="nil"/>
              <w:right w:val="nil"/>
            </w:tcBorders>
            <w:shd w:val="clear" w:color="000000" w:fill="FFFFFF"/>
            <w:vAlign w:val="bottom"/>
            <w:hideMark/>
          </w:tcPr>
          <w:p w14:paraId="71502367" w14:textId="77777777" w:rsidR="00051D7E" w:rsidRPr="00B77D08"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1% Decrease</w:t>
            </w:r>
            <w:r w:rsidRPr="00B77D08">
              <w:rPr>
                <w:rFonts w:ascii="Calibri" w:eastAsia="Times New Roman" w:hAnsi="Calibri" w:cs="Calibri"/>
                <w:bCs/>
                <w:color w:val="0D0D0D"/>
              </w:rPr>
              <w:br/>
              <w:t>(5.25%)</w:t>
            </w:r>
          </w:p>
        </w:tc>
        <w:tc>
          <w:tcPr>
            <w:tcW w:w="1179" w:type="dxa"/>
            <w:tcBorders>
              <w:top w:val="nil"/>
              <w:left w:val="nil"/>
              <w:bottom w:val="nil"/>
              <w:right w:val="nil"/>
            </w:tcBorders>
            <w:shd w:val="clear" w:color="000000" w:fill="FFFFFF"/>
            <w:vAlign w:val="bottom"/>
            <w:hideMark/>
          </w:tcPr>
          <w:p w14:paraId="2A6B1D7B" w14:textId="77777777" w:rsidR="00051D7E" w:rsidRPr="00B77D08"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 xml:space="preserve">Current Discount </w:t>
            </w:r>
            <w:r w:rsidRPr="00B77D08">
              <w:rPr>
                <w:rFonts w:ascii="Calibri" w:eastAsia="Times New Roman" w:hAnsi="Calibri" w:cs="Calibri"/>
                <w:bCs/>
                <w:color w:val="0D0D0D"/>
              </w:rPr>
              <w:br/>
              <w:t>Rate (6.25%)</w:t>
            </w:r>
          </w:p>
        </w:tc>
        <w:tc>
          <w:tcPr>
            <w:tcW w:w="1146" w:type="dxa"/>
            <w:tcBorders>
              <w:top w:val="nil"/>
              <w:left w:val="nil"/>
              <w:bottom w:val="nil"/>
              <w:right w:val="nil"/>
            </w:tcBorders>
            <w:shd w:val="clear" w:color="000000" w:fill="FFFFFF"/>
            <w:vAlign w:val="bottom"/>
            <w:hideMark/>
          </w:tcPr>
          <w:p w14:paraId="6A56C349" w14:textId="77777777" w:rsidR="00051D7E" w:rsidRPr="00B77D08"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1% Increase</w:t>
            </w:r>
            <w:r w:rsidRPr="00B77D08">
              <w:rPr>
                <w:rFonts w:ascii="Calibri" w:eastAsia="Times New Roman" w:hAnsi="Calibri" w:cs="Calibri"/>
                <w:bCs/>
                <w:color w:val="0D0D0D"/>
              </w:rPr>
              <w:br/>
              <w:t>(7.25%)</w:t>
            </w:r>
          </w:p>
        </w:tc>
        <w:tc>
          <w:tcPr>
            <w:tcW w:w="1179" w:type="dxa"/>
            <w:tcBorders>
              <w:top w:val="nil"/>
              <w:left w:val="nil"/>
              <w:bottom w:val="nil"/>
              <w:right w:val="nil"/>
            </w:tcBorders>
            <w:shd w:val="clear" w:color="auto" w:fill="D9D9D9" w:themeFill="background1" w:themeFillShade="D9"/>
            <w:vAlign w:val="bottom"/>
            <w:hideMark/>
          </w:tcPr>
          <w:p w14:paraId="1D8EABED" w14:textId="77777777" w:rsidR="00051D7E" w:rsidRPr="00B77D08"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1% Decrease</w:t>
            </w:r>
            <w:r w:rsidRPr="00B77D08">
              <w:rPr>
                <w:rFonts w:ascii="Calibri" w:eastAsia="Times New Roman" w:hAnsi="Calibri" w:cs="Calibri"/>
                <w:bCs/>
                <w:color w:val="0D0D0D"/>
              </w:rPr>
              <w:br/>
              <w:t>(5.25%)</w:t>
            </w:r>
          </w:p>
        </w:tc>
        <w:tc>
          <w:tcPr>
            <w:tcW w:w="1179" w:type="dxa"/>
            <w:tcBorders>
              <w:top w:val="nil"/>
              <w:left w:val="nil"/>
              <w:bottom w:val="nil"/>
              <w:right w:val="nil"/>
            </w:tcBorders>
            <w:shd w:val="clear" w:color="auto" w:fill="D9D9D9" w:themeFill="background1" w:themeFillShade="D9"/>
            <w:vAlign w:val="bottom"/>
            <w:hideMark/>
          </w:tcPr>
          <w:p w14:paraId="056665DD" w14:textId="77777777" w:rsidR="00051D7E" w:rsidRPr="00B77D08"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 xml:space="preserve">Current Discount </w:t>
            </w:r>
            <w:r w:rsidRPr="00B77D08">
              <w:rPr>
                <w:rFonts w:ascii="Calibri" w:eastAsia="Times New Roman" w:hAnsi="Calibri" w:cs="Calibri"/>
                <w:bCs/>
                <w:color w:val="0D0D0D"/>
              </w:rPr>
              <w:br/>
              <w:t>Rate (6.25%)</w:t>
            </w:r>
          </w:p>
        </w:tc>
        <w:tc>
          <w:tcPr>
            <w:tcW w:w="1179" w:type="dxa"/>
            <w:tcBorders>
              <w:top w:val="nil"/>
              <w:left w:val="nil"/>
              <w:bottom w:val="nil"/>
              <w:right w:val="nil"/>
            </w:tcBorders>
            <w:shd w:val="clear" w:color="auto" w:fill="D9D9D9" w:themeFill="background1" w:themeFillShade="D9"/>
            <w:vAlign w:val="bottom"/>
            <w:hideMark/>
          </w:tcPr>
          <w:p w14:paraId="445E7CB1" w14:textId="77777777" w:rsidR="00051D7E" w:rsidRPr="00B77D08"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1% Increase</w:t>
            </w:r>
            <w:r w:rsidRPr="00B77D08">
              <w:rPr>
                <w:rFonts w:ascii="Calibri" w:eastAsia="Times New Roman" w:hAnsi="Calibri" w:cs="Calibri"/>
                <w:bCs/>
                <w:color w:val="0D0D0D"/>
              </w:rPr>
              <w:br/>
              <w:t>(7.25%)</w:t>
            </w:r>
          </w:p>
        </w:tc>
      </w:tr>
      <w:tr w:rsidR="00051D7E" w:rsidRPr="006539B7" w14:paraId="70FD4388" w14:textId="77777777" w:rsidTr="007531FB">
        <w:trPr>
          <w:trHeight w:val="403"/>
        </w:trPr>
        <w:tc>
          <w:tcPr>
            <w:tcW w:w="2360" w:type="dxa"/>
            <w:tcBorders>
              <w:top w:val="nil"/>
              <w:left w:val="nil"/>
              <w:bottom w:val="nil"/>
              <w:right w:val="nil"/>
            </w:tcBorders>
            <w:shd w:val="clear" w:color="000000" w:fill="FFFFFF"/>
            <w:noWrap/>
            <w:vAlign w:val="bottom"/>
            <w:hideMark/>
          </w:tcPr>
          <w:p w14:paraId="44C8ADD6"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Total pension liability</w:t>
            </w:r>
          </w:p>
        </w:tc>
        <w:tc>
          <w:tcPr>
            <w:tcW w:w="1179" w:type="dxa"/>
            <w:tcBorders>
              <w:top w:val="nil"/>
              <w:left w:val="nil"/>
              <w:bottom w:val="nil"/>
              <w:right w:val="nil"/>
            </w:tcBorders>
            <w:shd w:val="clear" w:color="000000" w:fill="FFFFFF"/>
            <w:vAlign w:val="bottom"/>
            <w:hideMark/>
          </w:tcPr>
          <w:p w14:paraId="61C1C0FC"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w:t>
            </w:r>
            <w:r>
              <w:rPr>
                <w:rFonts w:ascii="Calibri" w:eastAsia="Times New Roman" w:hAnsi="Calibri" w:cs="Calibri"/>
                <w:color w:val="0D0D0D"/>
              </w:rPr>
              <w:t xml:space="preserve">  </w:t>
            </w:r>
            <w:r w:rsidRPr="006539B7">
              <w:rPr>
                <w:rFonts w:ascii="Calibri" w:eastAsia="Times New Roman" w:hAnsi="Calibri" w:cs="Calibri"/>
                <w:color w:val="0D0D0D"/>
              </w:rPr>
              <w:t xml:space="preserve">  3</w:t>
            </w:r>
            <w:r>
              <w:rPr>
                <w:rFonts w:ascii="Calibri" w:eastAsia="Times New Roman" w:hAnsi="Calibri" w:cs="Calibri"/>
                <w:color w:val="0D0D0D"/>
              </w:rPr>
              <w:t>6</w:t>
            </w:r>
            <w:r w:rsidRPr="006539B7">
              <w:rPr>
                <w:rFonts w:ascii="Calibri" w:eastAsia="Times New Roman" w:hAnsi="Calibri" w:cs="Calibri"/>
                <w:color w:val="0D0D0D"/>
              </w:rPr>
              <w:t>,</w:t>
            </w:r>
            <w:r>
              <w:rPr>
                <w:rFonts w:ascii="Calibri" w:eastAsia="Times New Roman" w:hAnsi="Calibri" w:cs="Calibri"/>
                <w:color w:val="0D0D0D"/>
              </w:rPr>
              <w:t>194</w:t>
            </w:r>
          </w:p>
        </w:tc>
        <w:tc>
          <w:tcPr>
            <w:tcW w:w="1179" w:type="dxa"/>
            <w:tcBorders>
              <w:top w:val="nil"/>
              <w:left w:val="nil"/>
              <w:bottom w:val="nil"/>
              <w:right w:val="nil"/>
            </w:tcBorders>
            <w:shd w:val="clear" w:color="000000" w:fill="FFFFFF"/>
            <w:vAlign w:val="bottom"/>
            <w:hideMark/>
          </w:tcPr>
          <w:p w14:paraId="61156002"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w:t>
            </w:r>
            <w:r>
              <w:rPr>
                <w:rFonts w:ascii="Calibri" w:eastAsia="Times New Roman" w:hAnsi="Calibri" w:cs="Calibri"/>
                <w:color w:val="0D0D0D"/>
              </w:rPr>
              <w:t xml:space="preserve">  </w:t>
            </w:r>
            <w:r w:rsidRPr="006539B7">
              <w:rPr>
                <w:rFonts w:ascii="Calibri" w:eastAsia="Times New Roman" w:hAnsi="Calibri" w:cs="Calibri"/>
                <w:color w:val="0D0D0D"/>
              </w:rPr>
              <w:t xml:space="preserve"> </w:t>
            </w:r>
            <w:r>
              <w:rPr>
                <w:rFonts w:ascii="Calibri" w:eastAsia="Times New Roman" w:hAnsi="Calibri" w:cs="Calibri"/>
                <w:color w:val="0D0D0D"/>
              </w:rPr>
              <w:t xml:space="preserve"> 33,840</w:t>
            </w:r>
          </w:p>
        </w:tc>
        <w:tc>
          <w:tcPr>
            <w:tcW w:w="1146" w:type="dxa"/>
            <w:tcBorders>
              <w:top w:val="nil"/>
              <w:left w:val="nil"/>
              <w:bottom w:val="nil"/>
              <w:right w:val="nil"/>
            </w:tcBorders>
            <w:shd w:val="clear" w:color="000000" w:fill="FFFFFF"/>
            <w:vAlign w:val="bottom"/>
            <w:hideMark/>
          </w:tcPr>
          <w:p w14:paraId="0C110C1D"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 xml:space="preserve">$  </w:t>
            </w:r>
            <w:r>
              <w:rPr>
                <w:rFonts w:ascii="Calibri" w:eastAsia="Times New Roman" w:hAnsi="Calibri" w:cs="Calibri"/>
                <w:color w:val="0D0D0D"/>
              </w:rPr>
              <w:t xml:space="preserve">  31,762</w:t>
            </w:r>
          </w:p>
        </w:tc>
        <w:tc>
          <w:tcPr>
            <w:tcW w:w="1179" w:type="dxa"/>
            <w:tcBorders>
              <w:top w:val="nil"/>
              <w:left w:val="nil"/>
              <w:bottom w:val="nil"/>
              <w:right w:val="nil"/>
            </w:tcBorders>
            <w:shd w:val="clear" w:color="auto" w:fill="D9D9D9" w:themeFill="background1" w:themeFillShade="D9"/>
            <w:vAlign w:val="bottom"/>
            <w:hideMark/>
          </w:tcPr>
          <w:p w14:paraId="050A70C8"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w:t>
            </w:r>
            <w:r>
              <w:rPr>
                <w:rFonts w:ascii="Calibri" w:eastAsia="Times New Roman" w:hAnsi="Calibri" w:cs="Calibri"/>
                <w:color w:val="0D0D0D"/>
              </w:rPr>
              <w:t xml:space="preserve">  </w:t>
            </w:r>
            <w:r w:rsidRPr="006539B7">
              <w:rPr>
                <w:rFonts w:ascii="Calibri" w:eastAsia="Times New Roman" w:hAnsi="Calibri" w:cs="Calibri"/>
                <w:color w:val="0D0D0D"/>
              </w:rPr>
              <w:t xml:space="preserve">  38,945</w:t>
            </w:r>
          </w:p>
        </w:tc>
        <w:tc>
          <w:tcPr>
            <w:tcW w:w="1179" w:type="dxa"/>
            <w:tcBorders>
              <w:top w:val="nil"/>
              <w:left w:val="nil"/>
              <w:bottom w:val="nil"/>
              <w:right w:val="nil"/>
            </w:tcBorders>
            <w:shd w:val="clear" w:color="auto" w:fill="D9D9D9" w:themeFill="background1" w:themeFillShade="D9"/>
            <w:vAlign w:val="bottom"/>
            <w:hideMark/>
          </w:tcPr>
          <w:p w14:paraId="7C955DA1"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w:t>
            </w:r>
            <w:r>
              <w:rPr>
                <w:rFonts w:ascii="Calibri" w:eastAsia="Times New Roman" w:hAnsi="Calibri" w:cs="Calibri"/>
                <w:color w:val="0D0D0D"/>
              </w:rPr>
              <w:t xml:space="preserve">  </w:t>
            </w:r>
            <w:r w:rsidRPr="006539B7">
              <w:rPr>
                <w:rFonts w:ascii="Calibri" w:eastAsia="Times New Roman" w:hAnsi="Calibri" w:cs="Calibri"/>
                <w:color w:val="0D0D0D"/>
              </w:rPr>
              <w:t xml:space="preserve"> </w:t>
            </w:r>
            <w:r>
              <w:rPr>
                <w:rFonts w:ascii="Calibri" w:eastAsia="Times New Roman" w:hAnsi="Calibri" w:cs="Calibri"/>
                <w:color w:val="0D0D0D"/>
              </w:rPr>
              <w:t xml:space="preserve"> </w:t>
            </w:r>
            <w:r w:rsidRPr="006539B7">
              <w:rPr>
                <w:rFonts w:ascii="Calibri" w:eastAsia="Times New Roman" w:hAnsi="Calibri" w:cs="Calibri"/>
                <w:color w:val="0D0D0D"/>
              </w:rPr>
              <w:t>36,318</w:t>
            </w:r>
          </w:p>
        </w:tc>
        <w:tc>
          <w:tcPr>
            <w:tcW w:w="1179" w:type="dxa"/>
            <w:tcBorders>
              <w:top w:val="nil"/>
              <w:left w:val="nil"/>
              <w:bottom w:val="nil"/>
              <w:right w:val="nil"/>
            </w:tcBorders>
            <w:shd w:val="clear" w:color="auto" w:fill="D9D9D9" w:themeFill="background1" w:themeFillShade="D9"/>
            <w:vAlign w:val="bottom"/>
            <w:hideMark/>
          </w:tcPr>
          <w:p w14:paraId="0935D371"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 xml:space="preserve">$  </w:t>
            </w:r>
            <w:r>
              <w:rPr>
                <w:rFonts w:ascii="Calibri" w:eastAsia="Times New Roman" w:hAnsi="Calibri" w:cs="Calibri"/>
                <w:color w:val="0D0D0D"/>
              </w:rPr>
              <w:t xml:space="preserve">  </w:t>
            </w:r>
            <w:r w:rsidRPr="006539B7">
              <w:rPr>
                <w:rFonts w:ascii="Calibri" w:eastAsia="Times New Roman" w:hAnsi="Calibri" w:cs="Calibri"/>
                <w:color w:val="0D0D0D"/>
              </w:rPr>
              <w:t>34,010</w:t>
            </w:r>
          </w:p>
        </w:tc>
      </w:tr>
      <w:tr w:rsidR="00051D7E" w:rsidRPr="006539B7" w14:paraId="75709ACE" w14:textId="77777777" w:rsidTr="007531FB">
        <w:trPr>
          <w:trHeight w:val="305"/>
        </w:trPr>
        <w:tc>
          <w:tcPr>
            <w:tcW w:w="2360" w:type="dxa"/>
            <w:tcBorders>
              <w:top w:val="nil"/>
              <w:left w:val="nil"/>
              <w:bottom w:val="nil"/>
              <w:right w:val="nil"/>
            </w:tcBorders>
            <w:shd w:val="clear" w:color="000000" w:fill="FFFFFF"/>
            <w:noWrap/>
            <w:vAlign w:val="bottom"/>
            <w:hideMark/>
          </w:tcPr>
          <w:p w14:paraId="3F149C10"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Fiduciary net position</w:t>
            </w:r>
          </w:p>
        </w:tc>
        <w:tc>
          <w:tcPr>
            <w:tcW w:w="1179" w:type="dxa"/>
            <w:tcBorders>
              <w:top w:val="nil"/>
              <w:left w:val="nil"/>
              <w:bottom w:val="nil"/>
              <w:right w:val="nil"/>
            </w:tcBorders>
            <w:shd w:val="clear" w:color="000000" w:fill="FFFFFF"/>
            <w:vAlign w:val="bottom"/>
            <w:hideMark/>
          </w:tcPr>
          <w:p w14:paraId="14B3DBC5" w14:textId="77777777" w:rsidR="00051D7E" w:rsidRPr="006539B7" w:rsidRDefault="00051D7E" w:rsidP="007531FB">
            <w:pPr>
              <w:jc w:val="right"/>
              <w:rPr>
                <w:rFonts w:ascii="Calibri" w:eastAsia="Times New Roman" w:hAnsi="Calibri" w:cs="Calibri"/>
                <w:color w:val="0D0D0D"/>
              </w:rPr>
            </w:pPr>
            <w:r>
              <w:rPr>
                <w:rFonts w:ascii="Calibri" w:eastAsia="Times New Roman" w:hAnsi="Calibri" w:cs="Calibri"/>
                <w:color w:val="0D0D0D"/>
              </w:rPr>
              <w:t>25,291</w:t>
            </w:r>
          </w:p>
        </w:tc>
        <w:tc>
          <w:tcPr>
            <w:tcW w:w="1179" w:type="dxa"/>
            <w:tcBorders>
              <w:top w:val="nil"/>
              <w:left w:val="nil"/>
              <w:bottom w:val="nil"/>
              <w:right w:val="nil"/>
            </w:tcBorders>
            <w:shd w:val="clear" w:color="000000" w:fill="FFFFFF"/>
            <w:vAlign w:val="bottom"/>
            <w:hideMark/>
          </w:tcPr>
          <w:p w14:paraId="5302D2C2" w14:textId="77777777" w:rsidR="00051D7E" w:rsidRPr="006539B7" w:rsidRDefault="00051D7E" w:rsidP="007531FB">
            <w:pPr>
              <w:jc w:val="right"/>
              <w:rPr>
                <w:rFonts w:ascii="Calibri" w:eastAsia="Times New Roman" w:hAnsi="Calibri" w:cs="Calibri"/>
                <w:color w:val="0D0D0D"/>
              </w:rPr>
            </w:pPr>
            <w:r>
              <w:rPr>
                <w:rFonts w:ascii="Calibri" w:eastAsia="Times New Roman" w:hAnsi="Calibri" w:cs="Calibri"/>
                <w:color w:val="0D0D0D"/>
              </w:rPr>
              <w:t>25,291</w:t>
            </w:r>
          </w:p>
        </w:tc>
        <w:tc>
          <w:tcPr>
            <w:tcW w:w="1146" w:type="dxa"/>
            <w:tcBorders>
              <w:top w:val="nil"/>
              <w:left w:val="nil"/>
              <w:bottom w:val="nil"/>
              <w:right w:val="nil"/>
            </w:tcBorders>
            <w:shd w:val="clear" w:color="000000" w:fill="FFFFFF"/>
            <w:vAlign w:val="bottom"/>
            <w:hideMark/>
          </w:tcPr>
          <w:p w14:paraId="2E5C2D2D" w14:textId="77777777" w:rsidR="00051D7E" w:rsidRPr="006539B7" w:rsidRDefault="00051D7E" w:rsidP="007531FB">
            <w:pPr>
              <w:jc w:val="right"/>
              <w:rPr>
                <w:rFonts w:ascii="Calibri" w:eastAsia="Times New Roman" w:hAnsi="Calibri" w:cs="Calibri"/>
                <w:color w:val="0D0D0D"/>
              </w:rPr>
            </w:pPr>
            <w:r>
              <w:rPr>
                <w:rFonts w:ascii="Calibri" w:eastAsia="Times New Roman" w:hAnsi="Calibri" w:cs="Calibri"/>
                <w:color w:val="0D0D0D"/>
              </w:rPr>
              <w:t>25,291</w:t>
            </w:r>
          </w:p>
        </w:tc>
        <w:tc>
          <w:tcPr>
            <w:tcW w:w="1179" w:type="dxa"/>
            <w:tcBorders>
              <w:top w:val="nil"/>
              <w:left w:val="nil"/>
              <w:bottom w:val="nil"/>
              <w:right w:val="nil"/>
            </w:tcBorders>
            <w:shd w:val="clear" w:color="auto" w:fill="D9D9D9" w:themeFill="background1" w:themeFillShade="D9"/>
            <w:vAlign w:val="bottom"/>
            <w:hideMark/>
          </w:tcPr>
          <w:p w14:paraId="213DE2E1"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24,609</w:t>
            </w:r>
          </w:p>
        </w:tc>
        <w:tc>
          <w:tcPr>
            <w:tcW w:w="1179" w:type="dxa"/>
            <w:tcBorders>
              <w:top w:val="nil"/>
              <w:left w:val="nil"/>
              <w:bottom w:val="nil"/>
              <w:right w:val="nil"/>
            </w:tcBorders>
            <w:shd w:val="clear" w:color="auto" w:fill="D9D9D9" w:themeFill="background1" w:themeFillShade="D9"/>
            <w:vAlign w:val="bottom"/>
            <w:hideMark/>
          </w:tcPr>
          <w:p w14:paraId="5E3588CF"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24,609</w:t>
            </w:r>
          </w:p>
        </w:tc>
        <w:tc>
          <w:tcPr>
            <w:tcW w:w="1179" w:type="dxa"/>
            <w:tcBorders>
              <w:top w:val="nil"/>
              <w:left w:val="nil"/>
              <w:bottom w:val="nil"/>
              <w:right w:val="nil"/>
            </w:tcBorders>
            <w:shd w:val="clear" w:color="auto" w:fill="D9D9D9" w:themeFill="background1" w:themeFillShade="D9"/>
            <w:vAlign w:val="bottom"/>
            <w:hideMark/>
          </w:tcPr>
          <w:p w14:paraId="46CE5A72"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24,609</w:t>
            </w:r>
          </w:p>
        </w:tc>
      </w:tr>
      <w:tr w:rsidR="00051D7E" w:rsidRPr="006539B7" w14:paraId="4E9820E4" w14:textId="77777777" w:rsidTr="007531FB">
        <w:trPr>
          <w:trHeight w:val="317"/>
        </w:trPr>
        <w:tc>
          <w:tcPr>
            <w:tcW w:w="2360" w:type="dxa"/>
            <w:tcBorders>
              <w:top w:val="single" w:sz="12" w:space="0" w:color="00688D"/>
              <w:left w:val="nil"/>
              <w:bottom w:val="single" w:sz="8" w:space="0" w:color="00688D"/>
              <w:right w:val="nil"/>
            </w:tcBorders>
            <w:shd w:val="clear" w:color="000000" w:fill="FFFFFF"/>
            <w:noWrap/>
            <w:vAlign w:val="bottom"/>
            <w:hideMark/>
          </w:tcPr>
          <w:p w14:paraId="7BEFD767" w14:textId="77777777" w:rsidR="00051D7E" w:rsidRPr="006539B7" w:rsidRDefault="00051D7E" w:rsidP="007531FB">
            <w:pPr>
              <w:rPr>
                <w:rFonts w:ascii="Calibri" w:eastAsia="Times New Roman" w:hAnsi="Calibri" w:cs="Calibri"/>
                <w:color w:val="0D0D0D"/>
              </w:rPr>
            </w:pPr>
            <w:r w:rsidRPr="006539B7">
              <w:rPr>
                <w:rFonts w:ascii="Calibri" w:eastAsia="Times New Roman" w:hAnsi="Calibri" w:cs="Calibri"/>
                <w:color w:val="0D0D0D"/>
              </w:rPr>
              <w:t>Net pension liability</w:t>
            </w:r>
          </w:p>
        </w:tc>
        <w:tc>
          <w:tcPr>
            <w:tcW w:w="1179" w:type="dxa"/>
            <w:tcBorders>
              <w:top w:val="single" w:sz="12" w:space="0" w:color="00688D"/>
              <w:left w:val="nil"/>
              <w:bottom w:val="single" w:sz="8" w:space="0" w:color="00688D"/>
              <w:right w:val="nil"/>
            </w:tcBorders>
            <w:shd w:val="clear" w:color="000000" w:fill="FFFFFF"/>
            <w:noWrap/>
            <w:vAlign w:val="bottom"/>
            <w:hideMark/>
          </w:tcPr>
          <w:p w14:paraId="3B279350"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w:t>
            </w:r>
            <w:r>
              <w:rPr>
                <w:rFonts w:ascii="Calibri" w:eastAsia="Times New Roman" w:hAnsi="Calibri" w:cs="Calibri"/>
                <w:color w:val="0D0D0D"/>
              </w:rPr>
              <w:t xml:space="preserve">  </w:t>
            </w:r>
            <w:r w:rsidRPr="006539B7">
              <w:rPr>
                <w:rFonts w:ascii="Calibri" w:eastAsia="Times New Roman" w:hAnsi="Calibri" w:cs="Calibri"/>
                <w:color w:val="0D0D0D"/>
              </w:rPr>
              <w:t xml:space="preserve">  </w:t>
            </w:r>
            <w:r>
              <w:rPr>
                <w:rFonts w:ascii="Calibri" w:eastAsia="Times New Roman" w:hAnsi="Calibri" w:cs="Calibri"/>
                <w:color w:val="0D0D0D"/>
              </w:rPr>
              <w:t>10,903</w:t>
            </w:r>
          </w:p>
        </w:tc>
        <w:tc>
          <w:tcPr>
            <w:tcW w:w="1179" w:type="dxa"/>
            <w:tcBorders>
              <w:top w:val="single" w:sz="12" w:space="0" w:color="00688D"/>
              <w:left w:val="nil"/>
              <w:bottom w:val="single" w:sz="8" w:space="0" w:color="00688D"/>
              <w:right w:val="nil"/>
            </w:tcBorders>
            <w:shd w:val="clear" w:color="000000" w:fill="FFFFFF"/>
            <w:noWrap/>
            <w:vAlign w:val="bottom"/>
            <w:hideMark/>
          </w:tcPr>
          <w:p w14:paraId="784B3881"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 xml:space="preserve">$ </w:t>
            </w:r>
            <w:r>
              <w:rPr>
                <w:rFonts w:ascii="Calibri" w:eastAsia="Times New Roman" w:hAnsi="Calibri" w:cs="Calibri"/>
                <w:color w:val="0D0D0D"/>
              </w:rPr>
              <w:t xml:space="preserve">   8,549</w:t>
            </w:r>
          </w:p>
        </w:tc>
        <w:tc>
          <w:tcPr>
            <w:tcW w:w="1146" w:type="dxa"/>
            <w:tcBorders>
              <w:top w:val="single" w:sz="12" w:space="0" w:color="00688D"/>
              <w:left w:val="nil"/>
              <w:bottom w:val="single" w:sz="8" w:space="0" w:color="00688D"/>
              <w:right w:val="nil"/>
            </w:tcBorders>
            <w:shd w:val="clear" w:color="000000" w:fill="FFFFFF"/>
            <w:noWrap/>
            <w:vAlign w:val="bottom"/>
            <w:hideMark/>
          </w:tcPr>
          <w:p w14:paraId="78C3A1E6"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 xml:space="preserve">$  </w:t>
            </w:r>
            <w:r>
              <w:rPr>
                <w:rFonts w:ascii="Calibri" w:eastAsia="Times New Roman" w:hAnsi="Calibri" w:cs="Calibri"/>
                <w:color w:val="0D0D0D"/>
              </w:rPr>
              <w:t xml:space="preserve">   </w:t>
            </w:r>
            <w:r w:rsidRPr="006539B7">
              <w:rPr>
                <w:rFonts w:ascii="Calibri" w:eastAsia="Times New Roman" w:hAnsi="Calibri" w:cs="Calibri"/>
                <w:color w:val="0D0D0D"/>
              </w:rPr>
              <w:t xml:space="preserve"> </w:t>
            </w:r>
            <w:r>
              <w:rPr>
                <w:rFonts w:ascii="Calibri" w:eastAsia="Times New Roman" w:hAnsi="Calibri" w:cs="Calibri"/>
                <w:color w:val="0D0D0D"/>
              </w:rPr>
              <w:t>6,471</w:t>
            </w:r>
          </w:p>
        </w:tc>
        <w:tc>
          <w:tcPr>
            <w:tcW w:w="1179" w:type="dxa"/>
            <w:tcBorders>
              <w:top w:val="single" w:sz="12" w:space="0" w:color="00688D"/>
              <w:left w:val="nil"/>
              <w:bottom w:val="single" w:sz="8" w:space="0" w:color="00688D"/>
              <w:right w:val="nil"/>
            </w:tcBorders>
            <w:shd w:val="clear" w:color="auto" w:fill="D9D9D9" w:themeFill="background1" w:themeFillShade="D9"/>
            <w:noWrap/>
            <w:vAlign w:val="bottom"/>
            <w:hideMark/>
          </w:tcPr>
          <w:p w14:paraId="0426EA45"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w:t>
            </w:r>
            <w:r>
              <w:rPr>
                <w:rFonts w:ascii="Calibri" w:eastAsia="Times New Roman" w:hAnsi="Calibri" w:cs="Calibri"/>
                <w:color w:val="0D0D0D"/>
              </w:rPr>
              <w:t xml:space="preserve">  </w:t>
            </w:r>
            <w:r w:rsidRPr="006539B7">
              <w:rPr>
                <w:rFonts w:ascii="Calibri" w:eastAsia="Times New Roman" w:hAnsi="Calibri" w:cs="Calibri"/>
                <w:color w:val="0D0D0D"/>
              </w:rPr>
              <w:t xml:space="preserve">  14,336</w:t>
            </w:r>
          </w:p>
        </w:tc>
        <w:tc>
          <w:tcPr>
            <w:tcW w:w="1179" w:type="dxa"/>
            <w:tcBorders>
              <w:top w:val="single" w:sz="12" w:space="0" w:color="00688D"/>
              <w:left w:val="nil"/>
              <w:bottom w:val="single" w:sz="8" w:space="0" w:color="00688D"/>
              <w:right w:val="nil"/>
            </w:tcBorders>
            <w:shd w:val="clear" w:color="auto" w:fill="D9D9D9" w:themeFill="background1" w:themeFillShade="D9"/>
            <w:noWrap/>
            <w:vAlign w:val="bottom"/>
            <w:hideMark/>
          </w:tcPr>
          <w:p w14:paraId="63F61A54"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 xml:space="preserve">$ </w:t>
            </w:r>
            <w:r>
              <w:rPr>
                <w:rFonts w:ascii="Calibri" w:eastAsia="Times New Roman" w:hAnsi="Calibri" w:cs="Calibri"/>
                <w:color w:val="0D0D0D"/>
              </w:rPr>
              <w:t xml:space="preserve">   </w:t>
            </w:r>
            <w:r w:rsidRPr="006539B7">
              <w:rPr>
                <w:rFonts w:ascii="Calibri" w:eastAsia="Times New Roman" w:hAnsi="Calibri" w:cs="Calibri"/>
                <w:color w:val="0D0D0D"/>
              </w:rPr>
              <w:t>11,709</w:t>
            </w:r>
          </w:p>
        </w:tc>
        <w:tc>
          <w:tcPr>
            <w:tcW w:w="1179" w:type="dxa"/>
            <w:tcBorders>
              <w:top w:val="single" w:sz="12" w:space="0" w:color="00688D"/>
              <w:left w:val="nil"/>
              <w:bottom w:val="single" w:sz="8" w:space="0" w:color="00688D"/>
              <w:right w:val="nil"/>
            </w:tcBorders>
            <w:shd w:val="clear" w:color="auto" w:fill="D9D9D9" w:themeFill="background1" w:themeFillShade="D9"/>
            <w:noWrap/>
            <w:vAlign w:val="bottom"/>
            <w:hideMark/>
          </w:tcPr>
          <w:p w14:paraId="735CEA5F" w14:textId="77777777" w:rsidR="00051D7E" w:rsidRPr="006539B7" w:rsidRDefault="00051D7E" w:rsidP="007531FB">
            <w:pPr>
              <w:jc w:val="right"/>
              <w:rPr>
                <w:rFonts w:ascii="Calibri" w:eastAsia="Times New Roman" w:hAnsi="Calibri" w:cs="Calibri"/>
                <w:color w:val="0D0D0D"/>
              </w:rPr>
            </w:pPr>
            <w:r w:rsidRPr="006539B7">
              <w:rPr>
                <w:rFonts w:ascii="Calibri" w:eastAsia="Times New Roman" w:hAnsi="Calibri" w:cs="Calibri"/>
                <w:color w:val="0D0D0D"/>
              </w:rPr>
              <w:t xml:space="preserve">$  </w:t>
            </w:r>
            <w:r>
              <w:rPr>
                <w:rFonts w:ascii="Calibri" w:eastAsia="Times New Roman" w:hAnsi="Calibri" w:cs="Calibri"/>
                <w:color w:val="0D0D0D"/>
              </w:rPr>
              <w:t xml:space="preserve">   </w:t>
            </w:r>
            <w:r w:rsidRPr="006539B7">
              <w:rPr>
                <w:rFonts w:ascii="Calibri" w:eastAsia="Times New Roman" w:hAnsi="Calibri" w:cs="Calibri"/>
                <w:color w:val="0D0D0D"/>
              </w:rPr>
              <w:t xml:space="preserve"> 9,401</w:t>
            </w:r>
          </w:p>
        </w:tc>
      </w:tr>
    </w:tbl>
    <w:p w14:paraId="5DBE24F1" w14:textId="4C214262" w:rsidR="00051D7E" w:rsidRDefault="00051D7E" w:rsidP="009014A7">
      <w:pPr>
        <w:widowControl w:val="0"/>
        <w:spacing w:before="240" w:after="240"/>
        <w:rPr>
          <w:rFonts w:cstheme="minorHAnsi"/>
        </w:rPr>
      </w:pPr>
      <w:r w:rsidRPr="00F54559">
        <w:rPr>
          <w:rFonts w:eastAsia="Franklin Gothic Book" w:cstheme="minorHAnsi"/>
          <w:spacing w:val="1"/>
          <w:sz w:val="24"/>
        </w:rPr>
        <w:t>C</w:t>
      </w:r>
      <w:r w:rsidRPr="00F54559">
        <w:rPr>
          <w:rFonts w:eastAsia="Franklin Gothic Book" w:cstheme="minorHAnsi"/>
          <w:spacing w:val="2"/>
          <w:sz w:val="24"/>
        </w:rPr>
        <w:t>hang</w:t>
      </w:r>
      <w:r w:rsidRPr="00F54559">
        <w:rPr>
          <w:rFonts w:eastAsia="Franklin Gothic Book" w:cstheme="minorHAnsi"/>
          <w:spacing w:val="1"/>
          <w:sz w:val="24"/>
        </w:rPr>
        <w:t>e</w:t>
      </w:r>
      <w:r w:rsidRPr="00F54559">
        <w:rPr>
          <w:rFonts w:eastAsia="Franklin Gothic Book" w:cstheme="minorHAnsi"/>
          <w:sz w:val="24"/>
        </w:rPr>
        <w:t>s</w:t>
      </w:r>
      <w:r w:rsidRPr="00F54559">
        <w:rPr>
          <w:rFonts w:eastAsia="Franklin Gothic Book" w:cstheme="minorHAnsi"/>
          <w:spacing w:val="1"/>
          <w:sz w:val="24"/>
        </w:rPr>
        <w:t xml:space="preserve"> </w:t>
      </w:r>
      <w:r w:rsidRPr="00F54559">
        <w:rPr>
          <w:rFonts w:eastAsia="Franklin Gothic Book" w:cstheme="minorHAnsi"/>
          <w:spacing w:val="2"/>
          <w:sz w:val="24"/>
        </w:rPr>
        <w:t>i</w:t>
      </w:r>
      <w:r w:rsidRPr="00F54559">
        <w:rPr>
          <w:rFonts w:eastAsia="Franklin Gothic Book" w:cstheme="minorHAnsi"/>
          <w:sz w:val="24"/>
        </w:rPr>
        <w:t>n</w:t>
      </w:r>
      <w:r w:rsidRPr="00F54559">
        <w:rPr>
          <w:rFonts w:eastAsia="Franklin Gothic Book" w:cstheme="minorHAnsi"/>
          <w:spacing w:val="-1"/>
          <w:sz w:val="24"/>
        </w:rPr>
        <w:t xml:space="preserve"> </w:t>
      </w:r>
      <w:r w:rsidRPr="00F54559">
        <w:rPr>
          <w:rFonts w:eastAsia="Franklin Gothic Book" w:cstheme="minorHAnsi"/>
          <w:spacing w:val="3"/>
          <w:sz w:val="24"/>
        </w:rPr>
        <w:t>N</w:t>
      </w:r>
      <w:r w:rsidRPr="00F54559">
        <w:rPr>
          <w:rFonts w:eastAsia="Franklin Gothic Book" w:cstheme="minorHAnsi"/>
          <w:spacing w:val="1"/>
          <w:sz w:val="24"/>
        </w:rPr>
        <w:t>e</w:t>
      </w:r>
      <w:r w:rsidRPr="00F54559">
        <w:rPr>
          <w:rFonts w:eastAsia="Franklin Gothic Book" w:cstheme="minorHAnsi"/>
          <w:sz w:val="24"/>
        </w:rPr>
        <w:t xml:space="preserve">t </w:t>
      </w:r>
      <w:r w:rsidRPr="00F54559">
        <w:rPr>
          <w:rFonts w:eastAsia="Franklin Gothic Book" w:cstheme="minorHAnsi"/>
          <w:spacing w:val="1"/>
          <w:sz w:val="24"/>
        </w:rPr>
        <w:t>Pe</w:t>
      </w:r>
      <w:r w:rsidRPr="00F54559">
        <w:rPr>
          <w:rFonts w:eastAsia="Franklin Gothic Book" w:cstheme="minorHAnsi"/>
          <w:spacing w:val="2"/>
          <w:sz w:val="24"/>
        </w:rPr>
        <w:t>n</w:t>
      </w:r>
      <w:r w:rsidRPr="00F54559">
        <w:rPr>
          <w:rFonts w:eastAsia="Franklin Gothic Book" w:cstheme="minorHAnsi"/>
          <w:spacing w:val="3"/>
          <w:sz w:val="24"/>
        </w:rPr>
        <w:t>s</w:t>
      </w:r>
      <w:r w:rsidRPr="00F54559">
        <w:rPr>
          <w:rFonts w:eastAsia="Franklin Gothic Book" w:cstheme="minorHAnsi"/>
          <w:spacing w:val="2"/>
          <w:sz w:val="24"/>
        </w:rPr>
        <w:t>i</w:t>
      </w:r>
      <w:r w:rsidRPr="00F54559">
        <w:rPr>
          <w:rFonts w:eastAsia="Franklin Gothic Book" w:cstheme="minorHAnsi"/>
          <w:spacing w:val="1"/>
          <w:sz w:val="24"/>
        </w:rPr>
        <w:t>o</w:t>
      </w:r>
      <w:r w:rsidRPr="00F54559">
        <w:rPr>
          <w:rFonts w:eastAsia="Franklin Gothic Book" w:cstheme="minorHAnsi"/>
          <w:sz w:val="24"/>
        </w:rPr>
        <w:t xml:space="preserve">n Liability for the </w:t>
      </w:r>
      <w:r w:rsidRPr="00F54559">
        <w:rPr>
          <w:rFonts w:eastAsia="Franklin Gothic Book" w:cstheme="minorHAnsi"/>
          <w:b/>
          <w:sz w:val="24"/>
        </w:rPr>
        <w:t>Defined Benefit Pension Plan</w:t>
      </w:r>
      <w:r w:rsidRPr="00F54559">
        <w:rPr>
          <w:rFonts w:eastAsia="Franklin Gothic Book" w:cstheme="minorHAnsi"/>
          <w:sz w:val="24"/>
        </w:rPr>
        <w:t>:</w:t>
      </w:r>
      <w:r>
        <w:rPr>
          <w:rFonts w:cstheme="minorHAnsi"/>
        </w:rPr>
        <w:fldChar w:fldCharType="begin"/>
      </w:r>
      <w:r>
        <w:rPr>
          <w:rFonts w:cstheme="minorHAnsi"/>
        </w:rPr>
        <w:fldChar w:fldCharType="end"/>
      </w:r>
    </w:p>
    <w:tbl>
      <w:tblPr>
        <w:tblW w:w="9090" w:type="dxa"/>
        <w:jc w:val="center"/>
        <w:tblLayout w:type="fixed"/>
        <w:tblLook w:val="04A0" w:firstRow="1" w:lastRow="0" w:firstColumn="1" w:lastColumn="0" w:noHBand="0" w:noVBand="1"/>
      </w:tblPr>
      <w:tblGrid>
        <w:gridCol w:w="6123"/>
        <w:gridCol w:w="1437"/>
        <w:gridCol w:w="1530"/>
      </w:tblGrid>
      <w:tr w:rsidR="00051D7E" w:rsidRPr="00875AA0" w14:paraId="62DC5D8C" w14:textId="77777777" w:rsidTr="007531FB">
        <w:trPr>
          <w:trHeight w:val="324"/>
          <w:tblHeader/>
          <w:jc w:val="center"/>
        </w:trPr>
        <w:tc>
          <w:tcPr>
            <w:tcW w:w="6123" w:type="dxa"/>
            <w:tcBorders>
              <w:top w:val="nil"/>
              <w:left w:val="nil"/>
              <w:bottom w:val="single" w:sz="12" w:space="0" w:color="00688D"/>
              <w:right w:val="nil"/>
            </w:tcBorders>
            <w:shd w:val="clear" w:color="000000" w:fill="FFFFFF"/>
            <w:vAlign w:val="bottom"/>
            <w:hideMark/>
          </w:tcPr>
          <w:p w14:paraId="629C265D" w14:textId="77777777" w:rsidR="00051D7E" w:rsidRPr="00875AA0" w:rsidRDefault="00051D7E" w:rsidP="007531FB">
            <w:pPr>
              <w:rPr>
                <w:rFonts w:ascii="Calibri" w:eastAsia="Times New Roman" w:hAnsi="Calibri" w:cs="Calibri"/>
                <w:b/>
                <w:bCs/>
                <w:color w:val="0D0D0D"/>
              </w:rPr>
            </w:pPr>
            <w:r w:rsidRPr="00875AA0">
              <w:rPr>
                <w:rFonts w:ascii="Calibri" w:eastAsia="Times New Roman" w:hAnsi="Calibri" w:cs="Calibri"/>
                <w:b/>
                <w:bCs/>
                <w:color w:val="0D0D0D"/>
              </w:rPr>
              <w:t>Fiscal Year Ended June 30</w:t>
            </w:r>
          </w:p>
        </w:tc>
        <w:tc>
          <w:tcPr>
            <w:tcW w:w="1437" w:type="dxa"/>
            <w:tcBorders>
              <w:top w:val="nil"/>
              <w:left w:val="nil"/>
              <w:bottom w:val="single" w:sz="12" w:space="0" w:color="00688D"/>
              <w:right w:val="nil"/>
            </w:tcBorders>
            <w:shd w:val="clear" w:color="000000" w:fill="FFFFFF"/>
            <w:noWrap/>
            <w:vAlign w:val="bottom"/>
            <w:hideMark/>
          </w:tcPr>
          <w:p w14:paraId="1B789E72" w14:textId="77777777" w:rsidR="00051D7E" w:rsidRPr="00875AA0" w:rsidRDefault="00051D7E" w:rsidP="007531FB">
            <w:pPr>
              <w:jc w:val="center"/>
              <w:rPr>
                <w:rFonts w:ascii="Calibri" w:eastAsia="Times New Roman" w:hAnsi="Calibri" w:cs="Calibri"/>
                <w:b/>
                <w:bCs/>
                <w:color w:val="0D0D0D"/>
              </w:rPr>
            </w:pPr>
            <w:r w:rsidRPr="00875AA0">
              <w:rPr>
                <w:rFonts w:ascii="Calibri" w:eastAsia="Times New Roman" w:hAnsi="Calibri" w:cs="Calibri"/>
                <w:b/>
                <w:bCs/>
                <w:color w:val="0D0D0D"/>
              </w:rPr>
              <w:t>202</w:t>
            </w:r>
            <w:r>
              <w:rPr>
                <w:rFonts w:ascii="Calibri" w:eastAsia="Times New Roman" w:hAnsi="Calibri" w:cs="Calibri"/>
                <w:b/>
                <w:bCs/>
                <w:color w:val="0D0D0D"/>
              </w:rPr>
              <w:t>1</w:t>
            </w:r>
          </w:p>
        </w:tc>
        <w:tc>
          <w:tcPr>
            <w:tcW w:w="1530" w:type="dxa"/>
            <w:tcBorders>
              <w:top w:val="nil"/>
              <w:left w:val="nil"/>
              <w:bottom w:val="single" w:sz="12" w:space="0" w:color="00688D"/>
              <w:right w:val="nil"/>
            </w:tcBorders>
            <w:shd w:val="clear" w:color="auto" w:fill="D9D9D9" w:themeFill="background1" w:themeFillShade="D9"/>
            <w:noWrap/>
            <w:vAlign w:val="bottom"/>
          </w:tcPr>
          <w:p w14:paraId="7D633B06" w14:textId="77777777" w:rsidR="00051D7E" w:rsidRPr="00875AA0" w:rsidRDefault="00051D7E" w:rsidP="007531FB">
            <w:pPr>
              <w:jc w:val="center"/>
              <w:rPr>
                <w:rFonts w:ascii="Calibri" w:eastAsia="Times New Roman" w:hAnsi="Calibri" w:cs="Calibri"/>
                <w:b/>
                <w:bCs/>
                <w:color w:val="0D0D0D"/>
              </w:rPr>
            </w:pPr>
            <w:r>
              <w:rPr>
                <w:rFonts w:ascii="Calibri" w:eastAsia="Times New Roman" w:hAnsi="Calibri" w:cs="Calibri"/>
                <w:b/>
                <w:bCs/>
                <w:color w:val="0D0D0D"/>
              </w:rPr>
              <w:t>2020</w:t>
            </w:r>
          </w:p>
        </w:tc>
      </w:tr>
      <w:tr w:rsidR="00051D7E" w:rsidRPr="00875AA0" w14:paraId="5C4C24ED" w14:textId="77777777" w:rsidTr="007531FB">
        <w:trPr>
          <w:trHeight w:val="123"/>
          <w:jc w:val="center"/>
        </w:trPr>
        <w:tc>
          <w:tcPr>
            <w:tcW w:w="6123" w:type="dxa"/>
            <w:tcBorders>
              <w:top w:val="nil"/>
              <w:left w:val="nil"/>
              <w:bottom w:val="nil"/>
              <w:right w:val="nil"/>
            </w:tcBorders>
            <w:shd w:val="clear" w:color="000000" w:fill="FFFFFF"/>
            <w:vAlign w:val="bottom"/>
            <w:hideMark/>
          </w:tcPr>
          <w:p w14:paraId="3AFDB42D" w14:textId="77777777" w:rsidR="00051D7E" w:rsidRPr="00875AA0" w:rsidRDefault="00051D7E" w:rsidP="007531FB">
            <w:pPr>
              <w:spacing w:before="120"/>
              <w:rPr>
                <w:rFonts w:ascii="Calibri" w:eastAsia="Times New Roman" w:hAnsi="Calibri" w:cs="Calibri"/>
                <w:color w:val="0D0D0D"/>
              </w:rPr>
            </w:pPr>
            <w:r w:rsidRPr="00875AA0">
              <w:rPr>
                <w:rFonts w:ascii="Calibri" w:eastAsia="Times New Roman" w:hAnsi="Calibri" w:cs="Calibri"/>
                <w:color w:val="0D0D0D"/>
              </w:rPr>
              <w:t xml:space="preserve">Total pension liability – beginning </w:t>
            </w:r>
          </w:p>
        </w:tc>
        <w:tc>
          <w:tcPr>
            <w:tcW w:w="1437" w:type="dxa"/>
            <w:tcBorders>
              <w:top w:val="nil"/>
              <w:left w:val="nil"/>
              <w:bottom w:val="nil"/>
              <w:right w:val="nil"/>
            </w:tcBorders>
            <w:shd w:val="clear" w:color="000000" w:fill="FFFFFF"/>
            <w:noWrap/>
            <w:vAlign w:val="bottom"/>
            <w:hideMark/>
          </w:tcPr>
          <w:p w14:paraId="31F606E7" w14:textId="77777777" w:rsidR="00051D7E" w:rsidRPr="00875AA0" w:rsidRDefault="00051D7E" w:rsidP="007531FB">
            <w:pPr>
              <w:spacing w:before="120"/>
              <w:ind w:firstLineChars="100" w:firstLine="220"/>
              <w:jc w:val="right"/>
              <w:rPr>
                <w:rFonts w:ascii="Calibri" w:eastAsia="Times New Roman" w:hAnsi="Calibri" w:cs="Calibri"/>
                <w:color w:val="0D0D0D"/>
              </w:rPr>
            </w:pPr>
            <w:r w:rsidRPr="00875AA0">
              <w:rPr>
                <w:rFonts w:ascii="Calibri" w:eastAsia="Times New Roman" w:hAnsi="Calibri" w:cs="Calibri"/>
                <w:color w:val="0D0D0D"/>
              </w:rPr>
              <w:t xml:space="preserve">$    </w:t>
            </w:r>
            <w:r>
              <w:rPr>
                <w:rFonts w:ascii="Calibri" w:eastAsia="Times New Roman" w:hAnsi="Calibri" w:cs="Calibri"/>
                <w:color w:val="0D0D0D"/>
              </w:rPr>
              <w:t>36,318</w:t>
            </w:r>
          </w:p>
        </w:tc>
        <w:tc>
          <w:tcPr>
            <w:tcW w:w="1530" w:type="dxa"/>
            <w:tcBorders>
              <w:top w:val="nil"/>
              <w:left w:val="nil"/>
              <w:bottom w:val="nil"/>
              <w:right w:val="nil"/>
            </w:tcBorders>
            <w:shd w:val="clear" w:color="auto" w:fill="D9D9D9" w:themeFill="background1" w:themeFillShade="D9"/>
            <w:noWrap/>
            <w:vAlign w:val="bottom"/>
          </w:tcPr>
          <w:p w14:paraId="46739C9E" w14:textId="77777777" w:rsidR="00051D7E" w:rsidRPr="00875AA0" w:rsidRDefault="00051D7E" w:rsidP="007531FB">
            <w:pPr>
              <w:spacing w:before="120"/>
              <w:jc w:val="right"/>
              <w:rPr>
                <w:rFonts w:ascii="Calibri" w:eastAsia="Times New Roman" w:hAnsi="Calibri" w:cs="Calibri"/>
                <w:color w:val="0D0D0D"/>
              </w:rPr>
            </w:pPr>
            <w:r w:rsidRPr="00875AA0">
              <w:rPr>
                <w:rFonts w:ascii="Calibri" w:eastAsia="Times New Roman" w:hAnsi="Calibri" w:cs="Calibri"/>
                <w:color w:val="0D0D0D"/>
              </w:rPr>
              <w:t>$    38,105</w:t>
            </w:r>
          </w:p>
        </w:tc>
      </w:tr>
      <w:tr w:rsidR="00051D7E" w:rsidRPr="00875AA0" w14:paraId="6F4CBEC2" w14:textId="77777777" w:rsidTr="007531FB">
        <w:trPr>
          <w:trHeight w:val="99"/>
          <w:jc w:val="center"/>
        </w:trPr>
        <w:tc>
          <w:tcPr>
            <w:tcW w:w="6123" w:type="dxa"/>
            <w:tcBorders>
              <w:top w:val="nil"/>
              <w:left w:val="nil"/>
              <w:bottom w:val="nil"/>
              <w:right w:val="nil"/>
            </w:tcBorders>
            <w:shd w:val="clear" w:color="000000" w:fill="FFFFFF"/>
            <w:vAlign w:val="bottom"/>
            <w:hideMark/>
          </w:tcPr>
          <w:p w14:paraId="70317588" w14:textId="77777777" w:rsidR="00051D7E" w:rsidRPr="00875AA0" w:rsidRDefault="00051D7E" w:rsidP="007531FB">
            <w:pPr>
              <w:rPr>
                <w:rFonts w:ascii="Calibri" w:eastAsia="Times New Roman" w:hAnsi="Calibri" w:cs="Calibri"/>
                <w:color w:val="0D0D0D"/>
              </w:rPr>
            </w:pPr>
            <w:r w:rsidRPr="00875AA0">
              <w:rPr>
                <w:rFonts w:ascii="Calibri" w:eastAsia="Times New Roman" w:hAnsi="Calibri" w:cs="Calibri"/>
                <w:color w:val="0D0D0D"/>
              </w:rPr>
              <w:t>Changes for the year:</w:t>
            </w:r>
          </w:p>
        </w:tc>
        <w:tc>
          <w:tcPr>
            <w:tcW w:w="1437" w:type="dxa"/>
            <w:tcBorders>
              <w:top w:val="nil"/>
              <w:left w:val="nil"/>
              <w:bottom w:val="nil"/>
              <w:right w:val="nil"/>
            </w:tcBorders>
            <w:shd w:val="clear" w:color="000000" w:fill="FFFFFF"/>
            <w:noWrap/>
            <w:vAlign w:val="bottom"/>
            <w:hideMark/>
          </w:tcPr>
          <w:p w14:paraId="3476CFA7" w14:textId="77777777" w:rsidR="00051D7E" w:rsidRPr="00875AA0" w:rsidRDefault="00051D7E" w:rsidP="007531FB">
            <w:pPr>
              <w:ind w:firstLineChars="100" w:firstLine="220"/>
              <w:jc w:val="right"/>
              <w:rPr>
                <w:rFonts w:ascii="Calibri" w:eastAsia="Times New Roman" w:hAnsi="Calibri" w:cs="Calibri"/>
                <w:color w:val="0D0D0D"/>
              </w:rPr>
            </w:pPr>
            <w:r w:rsidRPr="00875AA0">
              <w:rPr>
                <w:rFonts w:ascii="Calibri" w:eastAsia="Times New Roman" w:hAnsi="Calibri" w:cs="Calibri"/>
                <w:color w:val="0D0D0D"/>
              </w:rPr>
              <w:t> </w:t>
            </w:r>
          </w:p>
        </w:tc>
        <w:tc>
          <w:tcPr>
            <w:tcW w:w="1530" w:type="dxa"/>
            <w:tcBorders>
              <w:top w:val="nil"/>
              <w:left w:val="nil"/>
              <w:bottom w:val="nil"/>
              <w:right w:val="nil"/>
            </w:tcBorders>
            <w:shd w:val="clear" w:color="auto" w:fill="D9D9D9" w:themeFill="background1" w:themeFillShade="D9"/>
            <w:noWrap/>
            <w:vAlign w:val="bottom"/>
          </w:tcPr>
          <w:p w14:paraId="4D090D36"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 </w:t>
            </w:r>
          </w:p>
        </w:tc>
      </w:tr>
      <w:tr w:rsidR="00051D7E" w:rsidRPr="00875AA0" w14:paraId="4A2DD1FA" w14:textId="77777777" w:rsidTr="007531FB">
        <w:trPr>
          <w:trHeight w:val="99"/>
          <w:jc w:val="center"/>
        </w:trPr>
        <w:tc>
          <w:tcPr>
            <w:tcW w:w="6123" w:type="dxa"/>
            <w:tcBorders>
              <w:top w:val="nil"/>
              <w:left w:val="nil"/>
              <w:bottom w:val="nil"/>
              <w:right w:val="nil"/>
            </w:tcBorders>
            <w:shd w:val="clear" w:color="000000" w:fill="FFFFFF"/>
            <w:vAlign w:val="bottom"/>
            <w:hideMark/>
          </w:tcPr>
          <w:p w14:paraId="6E3F1920" w14:textId="77777777" w:rsidR="00051D7E" w:rsidRPr="00875AA0" w:rsidRDefault="00051D7E" w:rsidP="007531FB">
            <w:pPr>
              <w:ind w:firstLineChars="200" w:firstLine="440"/>
              <w:rPr>
                <w:rFonts w:ascii="Calibri" w:eastAsia="Times New Roman" w:hAnsi="Calibri" w:cs="Calibri"/>
                <w:color w:val="0D0D0D"/>
              </w:rPr>
            </w:pPr>
            <w:r w:rsidRPr="00875AA0">
              <w:rPr>
                <w:rFonts w:ascii="Calibri" w:eastAsia="Times New Roman" w:hAnsi="Calibri" w:cs="Calibri"/>
                <w:color w:val="0D0D0D"/>
              </w:rPr>
              <w:t>Service cost</w:t>
            </w:r>
          </w:p>
        </w:tc>
        <w:tc>
          <w:tcPr>
            <w:tcW w:w="1437" w:type="dxa"/>
            <w:tcBorders>
              <w:top w:val="nil"/>
              <w:left w:val="nil"/>
              <w:bottom w:val="nil"/>
              <w:right w:val="nil"/>
            </w:tcBorders>
            <w:shd w:val="clear" w:color="000000" w:fill="FFFFFF"/>
            <w:noWrap/>
            <w:vAlign w:val="bottom"/>
            <w:hideMark/>
          </w:tcPr>
          <w:p w14:paraId="05B3DC30" w14:textId="77777777" w:rsidR="00051D7E" w:rsidRPr="00875AA0" w:rsidRDefault="00051D7E" w:rsidP="007531FB">
            <w:pPr>
              <w:ind w:firstLineChars="100" w:firstLine="220"/>
              <w:jc w:val="right"/>
              <w:rPr>
                <w:rFonts w:ascii="Calibri" w:eastAsia="Times New Roman" w:hAnsi="Calibri" w:cs="Calibri"/>
                <w:color w:val="0D0D0D"/>
              </w:rPr>
            </w:pPr>
            <w:r w:rsidRPr="00875AA0">
              <w:rPr>
                <w:rFonts w:ascii="Calibri" w:eastAsia="Times New Roman" w:hAnsi="Calibri" w:cs="Calibri"/>
                <w:color w:val="0D0D0D"/>
              </w:rPr>
              <w:t>1</w:t>
            </w:r>
          </w:p>
        </w:tc>
        <w:tc>
          <w:tcPr>
            <w:tcW w:w="1530" w:type="dxa"/>
            <w:tcBorders>
              <w:top w:val="nil"/>
              <w:left w:val="nil"/>
              <w:bottom w:val="nil"/>
              <w:right w:val="nil"/>
            </w:tcBorders>
            <w:shd w:val="clear" w:color="auto" w:fill="D9D9D9" w:themeFill="background1" w:themeFillShade="D9"/>
            <w:noWrap/>
            <w:vAlign w:val="bottom"/>
          </w:tcPr>
          <w:p w14:paraId="6012BEC7"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1</w:t>
            </w:r>
          </w:p>
        </w:tc>
      </w:tr>
      <w:tr w:rsidR="00051D7E" w:rsidRPr="00875AA0" w14:paraId="1893F65B" w14:textId="77777777" w:rsidTr="007531FB">
        <w:trPr>
          <w:trHeight w:val="60"/>
          <w:jc w:val="center"/>
        </w:trPr>
        <w:tc>
          <w:tcPr>
            <w:tcW w:w="6123" w:type="dxa"/>
            <w:tcBorders>
              <w:top w:val="nil"/>
              <w:left w:val="nil"/>
              <w:bottom w:val="nil"/>
              <w:right w:val="nil"/>
            </w:tcBorders>
            <w:shd w:val="clear" w:color="000000" w:fill="FFFFFF"/>
            <w:vAlign w:val="bottom"/>
            <w:hideMark/>
          </w:tcPr>
          <w:p w14:paraId="5ADD3D0F" w14:textId="77777777" w:rsidR="00051D7E" w:rsidRPr="00875AA0" w:rsidRDefault="00051D7E" w:rsidP="007531FB">
            <w:pPr>
              <w:ind w:firstLineChars="200" w:firstLine="440"/>
              <w:rPr>
                <w:rFonts w:ascii="Calibri" w:eastAsia="Times New Roman" w:hAnsi="Calibri" w:cs="Calibri"/>
                <w:color w:val="0D0D0D"/>
              </w:rPr>
            </w:pPr>
            <w:r w:rsidRPr="00875AA0">
              <w:rPr>
                <w:rFonts w:ascii="Calibri" w:eastAsia="Times New Roman" w:hAnsi="Calibri" w:cs="Calibri"/>
                <w:color w:val="0D0D0D"/>
              </w:rPr>
              <w:t>Interest</w:t>
            </w:r>
          </w:p>
        </w:tc>
        <w:tc>
          <w:tcPr>
            <w:tcW w:w="1437" w:type="dxa"/>
            <w:tcBorders>
              <w:top w:val="nil"/>
              <w:left w:val="nil"/>
              <w:bottom w:val="nil"/>
              <w:right w:val="nil"/>
            </w:tcBorders>
            <w:shd w:val="clear" w:color="000000" w:fill="FFFFFF"/>
            <w:noWrap/>
            <w:vAlign w:val="bottom"/>
            <w:hideMark/>
          </w:tcPr>
          <w:p w14:paraId="747C4F19" w14:textId="77777777" w:rsidR="00051D7E" w:rsidRPr="00875AA0" w:rsidRDefault="00051D7E" w:rsidP="007531FB">
            <w:pPr>
              <w:ind w:firstLineChars="100" w:firstLine="220"/>
              <w:jc w:val="right"/>
              <w:rPr>
                <w:rFonts w:ascii="Calibri" w:eastAsia="Times New Roman" w:hAnsi="Calibri" w:cs="Calibri"/>
                <w:color w:val="0D0D0D"/>
              </w:rPr>
            </w:pPr>
            <w:r w:rsidRPr="00875AA0">
              <w:rPr>
                <w:rFonts w:ascii="Calibri" w:eastAsia="Times New Roman" w:hAnsi="Calibri" w:cs="Calibri"/>
                <w:color w:val="0D0D0D"/>
              </w:rPr>
              <w:t>2,</w:t>
            </w:r>
            <w:r>
              <w:rPr>
                <w:rFonts w:ascii="Calibri" w:eastAsia="Times New Roman" w:hAnsi="Calibri" w:cs="Calibri"/>
                <w:color w:val="0D0D0D"/>
              </w:rPr>
              <w:t>148</w:t>
            </w:r>
          </w:p>
        </w:tc>
        <w:tc>
          <w:tcPr>
            <w:tcW w:w="1530" w:type="dxa"/>
            <w:tcBorders>
              <w:top w:val="nil"/>
              <w:left w:val="nil"/>
              <w:bottom w:val="nil"/>
              <w:right w:val="nil"/>
            </w:tcBorders>
            <w:shd w:val="clear" w:color="auto" w:fill="D9D9D9" w:themeFill="background1" w:themeFillShade="D9"/>
            <w:noWrap/>
            <w:vAlign w:val="bottom"/>
          </w:tcPr>
          <w:p w14:paraId="5FF36C70"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2,255</w:t>
            </w:r>
          </w:p>
        </w:tc>
      </w:tr>
      <w:tr w:rsidR="00051D7E" w:rsidRPr="00875AA0" w14:paraId="27C3B333" w14:textId="77777777" w:rsidTr="007531FB">
        <w:trPr>
          <w:trHeight w:val="108"/>
          <w:jc w:val="center"/>
        </w:trPr>
        <w:tc>
          <w:tcPr>
            <w:tcW w:w="6123" w:type="dxa"/>
            <w:tcBorders>
              <w:top w:val="nil"/>
              <w:left w:val="nil"/>
              <w:bottom w:val="nil"/>
              <w:right w:val="nil"/>
            </w:tcBorders>
            <w:shd w:val="clear" w:color="000000" w:fill="FFFFFF"/>
            <w:noWrap/>
            <w:vAlign w:val="bottom"/>
            <w:hideMark/>
          </w:tcPr>
          <w:p w14:paraId="7F5EC996" w14:textId="77777777" w:rsidR="00051D7E" w:rsidRPr="00875AA0" w:rsidRDefault="00051D7E" w:rsidP="007531FB">
            <w:pPr>
              <w:ind w:firstLineChars="200" w:firstLine="440"/>
              <w:rPr>
                <w:rFonts w:ascii="Calibri" w:eastAsia="Times New Roman" w:hAnsi="Calibri" w:cs="Calibri"/>
                <w:color w:val="0D0D0D"/>
              </w:rPr>
            </w:pPr>
            <w:r w:rsidRPr="00875AA0">
              <w:rPr>
                <w:rFonts w:ascii="Calibri" w:eastAsia="Times New Roman" w:hAnsi="Calibri" w:cs="Calibri"/>
                <w:color w:val="0D0D0D"/>
              </w:rPr>
              <w:t xml:space="preserve">Differences between expected and actual experience </w:t>
            </w:r>
          </w:p>
        </w:tc>
        <w:tc>
          <w:tcPr>
            <w:tcW w:w="1437" w:type="dxa"/>
            <w:tcBorders>
              <w:top w:val="nil"/>
              <w:left w:val="nil"/>
              <w:bottom w:val="nil"/>
              <w:right w:val="nil"/>
            </w:tcBorders>
            <w:shd w:val="clear" w:color="000000" w:fill="FFFFFF"/>
            <w:noWrap/>
            <w:vAlign w:val="bottom"/>
            <w:hideMark/>
          </w:tcPr>
          <w:p w14:paraId="72687919" w14:textId="77777777" w:rsidR="00051D7E" w:rsidRPr="00875AA0" w:rsidRDefault="00051D7E" w:rsidP="007531FB">
            <w:pPr>
              <w:ind w:firstLineChars="100" w:firstLine="220"/>
              <w:jc w:val="right"/>
              <w:rPr>
                <w:rFonts w:ascii="Calibri" w:eastAsia="Times New Roman" w:hAnsi="Calibri" w:cs="Calibri"/>
                <w:color w:val="0D0D0D"/>
              </w:rPr>
            </w:pPr>
            <w:r>
              <w:rPr>
                <w:rFonts w:ascii="Calibri" w:eastAsia="Times New Roman" w:hAnsi="Calibri" w:cs="Calibri"/>
                <w:color w:val="0D0D0D"/>
              </w:rPr>
              <w:t>(285)</w:t>
            </w:r>
          </w:p>
        </w:tc>
        <w:tc>
          <w:tcPr>
            <w:tcW w:w="1530" w:type="dxa"/>
            <w:tcBorders>
              <w:top w:val="nil"/>
              <w:left w:val="nil"/>
              <w:bottom w:val="nil"/>
              <w:right w:val="nil"/>
            </w:tcBorders>
            <w:shd w:val="clear" w:color="auto" w:fill="D9D9D9" w:themeFill="background1" w:themeFillShade="D9"/>
            <w:noWrap/>
            <w:vAlign w:val="bottom"/>
          </w:tcPr>
          <w:p w14:paraId="2CFAACCB"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w:t>
            </w:r>
          </w:p>
        </w:tc>
      </w:tr>
      <w:tr w:rsidR="00051D7E" w:rsidRPr="00875AA0" w14:paraId="6F272D4F" w14:textId="77777777" w:rsidTr="007531FB">
        <w:trPr>
          <w:trHeight w:val="60"/>
          <w:jc w:val="center"/>
        </w:trPr>
        <w:tc>
          <w:tcPr>
            <w:tcW w:w="6123" w:type="dxa"/>
            <w:tcBorders>
              <w:top w:val="nil"/>
              <w:left w:val="nil"/>
              <w:bottom w:val="nil"/>
              <w:right w:val="nil"/>
            </w:tcBorders>
            <w:shd w:val="clear" w:color="000000" w:fill="FFFFFF"/>
            <w:noWrap/>
            <w:vAlign w:val="bottom"/>
            <w:hideMark/>
          </w:tcPr>
          <w:p w14:paraId="19BE81FF" w14:textId="77777777" w:rsidR="00051D7E" w:rsidRPr="00875AA0" w:rsidRDefault="00051D7E" w:rsidP="007531FB">
            <w:pPr>
              <w:ind w:firstLineChars="200" w:firstLine="440"/>
              <w:rPr>
                <w:rFonts w:ascii="Calibri" w:eastAsia="Times New Roman" w:hAnsi="Calibri" w:cs="Calibri"/>
                <w:color w:val="0D0D0D"/>
              </w:rPr>
            </w:pPr>
            <w:r w:rsidRPr="00875AA0">
              <w:rPr>
                <w:rFonts w:ascii="Calibri" w:eastAsia="Times New Roman" w:hAnsi="Calibri" w:cs="Calibri"/>
                <w:color w:val="0D0D0D"/>
              </w:rPr>
              <w:t>Changes of assumptions</w:t>
            </w:r>
          </w:p>
        </w:tc>
        <w:tc>
          <w:tcPr>
            <w:tcW w:w="1437" w:type="dxa"/>
            <w:tcBorders>
              <w:top w:val="nil"/>
              <w:left w:val="nil"/>
              <w:bottom w:val="nil"/>
              <w:right w:val="nil"/>
            </w:tcBorders>
            <w:shd w:val="clear" w:color="000000" w:fill="FFFFFF"/>
            <w:noWrap/>
            <w:vAlign w:val="bottom"/>
            <w:hideMark/>
          </w:tcPr>
          <w:p w14:paraId="3C8DDEA4" w14:textId="77777777" w:rsidR="00051D7E" w:rsidRPr="00875AA0" w:rsidRDefault="00051D7E" w:rsidP="007531FB">
            <w:pPr>
              <w:ind w:firstLineChars="100" w:firstLine="220"/>
              <w:jc w:val="right"/>
              <w:rPr>
                <w:rFonts w:ascii="Calibri" w:eastAsia="Times New Roman" w:hAnsi="Calibri" w:cs="Calibri"/>
                <w:color w:val="0D0D0D"/>
              </w:rPr>
            </w:pPr>
            <w:r>
              <w:rPr>
                <w:rFonts w:ascii="Calibri" w:eastAsia="Times New Roman" w:hAnsi="Calibri" w:cs="Calibri"/>
                <w:color w:val="0D0D0D"/>
              </w:rPr>
              <w:t>(426)</w:t>
            </w:r>
          </w:p>
        </w:tc>
        <w:tc>
          <w:tcPr>
            <w:tcW w:w="1530" w:type="dxa"/>
            <w:tcBorders>
              <w:top w:val="nil"/>
              <w:left w:val="nil"/>
              <w:bottom w:val="nil"/>
              <w:right w:val="nil"/>
            </w:tcBorders>
            <w:shd w:val="clear" w:color="auto" w:fill="D9D9D9" w:themeFill="background1" w:themeFillShade="D9"/>
            <w:noWrap/>
            <w:vAlign w:val="bottom"/>
          </w:tcPr>
          <w:p w14:paraId="29A30C9A"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w:t>
            </w:r>
          </w:p>
        </w:tc>
      </w:tr>
      <w:tr w:rsidR="00051D7E" w:rsidRPr="00875AA0" w14:paraId="29848E5C" w14:textId="77777777" w:rsidTr="007531FB">
        <w:trPr>
          <w:trHeight w:val="108"/>
          <w:jc w:val="center"/>
        </w:trPr>
        <w:tc>
          <w:tcPr>
            <w:tcW w:w="6123" w:type="dxa"/>
            <w:tcBorders>
              <w:top w:val="nil"/>
              <w:left w:val="nil"/>
              <w:bottom w:val="nil"/>
              <w:right w:val="nil"/>
            </w:tcBorders>
            <w:shd w:val="clear" w:color="000000" w:fill="FFFFFF"/>
            <w:vAlign w:val="bottom"/>
            <w:hideMark/>
          </w:tcPr>
          <w:p w14:paraId="4D0226D6" w14:textId="77777777" w:rsidR="00051D7E" w:rsidRPr="00875AA0" w:rsidRDefault="00051D7E" w:rsidP="007531FB">
            <w:pPr>
              <w:ind w:firstLineChars="200" w:firstLine="440"/>
              <w:rPr>
                <w:rFonts w:ascii="Calibri" w:eastAsia="Times New Roman" w:hAnsi="Calibri" w:cs="Calibri"/>
                <w:color w:val="0D0D0D"/>
              </w:rPr>
            </w:pPr>
            <w:r w:rsidRPr="00875AA0">
              <w:rPr>
                <w:rFonts w:ascii="Calibri" w:eastAsia="Times New Roman" w:hAnsi="Calibri" w:cs="Calibri"/>
                <w:color w:val="0D0D0D"/>
              </w:rPr>
              <w:t>Benefit payments</w:t>
            </w:r>
          </w:p>
        </w:tc>
        <w:tc>
          <w:tcPr>
            <w:tcW w:w="1437" w:type="dxa"/>
            <w:tcBorders>
              <w:top w:val="nil"/>
              <w:left w:val="nil"/>
              <w:bottom w:val="nil"/>
              <w:right w:val="nil"/>
            </w:tcBorders>
            <w:shd w:val="clear" w:color="000000" w:fill="FFFFFF"/>
            <w:noWrap/>
            <w:vAlign w:val="bottom"/>
            <w:hideMark/>
          </w:tcPr>
          <w:p w14:paraId="6698B263" w14:textId="77777777" w:rsidR="00051D7E" w:rsidRPr="00875AA0" w:rsidRDefault="00051D7E" w:rsidP="007531FB">
            <w:pPr>
              <w:ind w:firstLineChars="100" w:firstLine="220"/>
              <w:jc w:val="right"/>
              <w:rPr>
                <w:rFonts w:ascii="Calibri" w:eastAsia="Times New Roman" w:hAnsi="Calibri" w:cs="Calibri"/>
                <w:color w:val="0D0D0D"/>
              </w:rPr>
            </w:pPr>
            <w:r w:rsidRPr="00875AA0">
              <w:rPr>
                <w:rFonts w:ascii="Calibri" w:eastAsia="Times New Roman" w:hAnsi="Calibri" w:cs="Calibri"/>
                <w:color w:val="0D0D0D"/>
              </w:rPr>
              <w:t>(</w:t>
            </w:r>
            <w:r>
              <w:rPr>
                <w:rFonts w:ascii="Calibri" w:eastAsia="Times New Roman" w:hAnsi="Calibri" w:cs="Calibri"/>
                <w:color w:val="0D0D0D"/>
              </w:rPr>
              <w:t>3,916</w:t>
            </w:r>
            <w:r w:rsidRPr="00875AA0">
              <w:rPr>
                <w:rFonts w:ascii="Calibri" w:eastAsia="Times New Roman" w:hAnsi="Calibri" w:cs="Calibri"/>
                <w:color w:val="0D0D0D"/>
              </w:rPr>
              <w:t>)</w:t>
            </w:r>
          </w:p>
        </w:tc>
        <w:tc>
          <w:tcPr>
            <w:tcW w:w="1530" w:type="dxa"/>
            <w:tcBorders>
              <w:top w:val="nil"/>
              <w:left w:val="nil"/>
              <w:bottom w:val="nil"/>
              <w:right w:val="nil"/>
            </w:tcBorders>
            <w:shd w:val="clear" w:color="auto" w:fill="D9D9D9" w:themeFill="background1" w:themeFillShade="D9"/>
            <w:noWrap/>
            <w:vAlign w:val="bottom"/>
          </w:tcPr>
          <w:p w14:paraId="0B006738"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(4,043)</w:t>
            </w:r>
          </w:p>
        </w:tc>
      </w:tr>
      <w:tr w:rsidR="00051D7E" w:rsidRPr="00875AA0" w14:paraId="462728F8" w14:textId="77777777" w:rsidTr="007531FB">
        <w:trPr>
          <w:trHeight w:val="50"/>
          <w:jc w:val="center"/>
        </w:trPr>
        <w:tc>
          <w:tcPr>
            <w:tcW w:w="6123" w:type="dxa"/>
            <w:tcBorders>
              <w:top w:val="single" w:sz="4" w:space="0" w:color="00688D"/>
              <w:left w:val="nil"/>
              <w:bottom w:val="single" w:sz="4" w:space="0" w:color="00688D"/>
              <w:right w:val="nil"/>
            </w:tcBorders>
            <w:shd w:val="clear" w:color="000000" w:fill="FFFFFF"/>
            <w:vAlign w:val="bottom"/>
            <w:hideMark/>
          </w:tcPr>
          <w:p w14:paraId="5D56300B" w14:textId="77777777" w:rsidR="00051D7E" w:rsidRPr="00875AA0" w:rsidRDefault="00051D7E" w:rsidP="007531FB">
            <w:pPr>
              <w:rPr>
                <w:rFonts w:ascii="Calibri" w:eastAsia="Times New Roman" w:hAnsi="Calibri" w:cs="Calibri"/>
                <w:color w:val="0D0D0D"/>
              </w:rPr>
            </w:pPr>
            <w:r w:rsidRPr="00875AA0">
              <w:rPr>
                <w:rFonts w:ascii="Calibri" w:eastAsia="Times New Roman" w:hAnsi="Calibri" w:cs="Calibri"/>
                <w:color w:val="0D0D0D"/>
              </w:rPr>
              <w:t>Total pension liability – ending (a)</w:t>
            </w:r>
          </w:p>
        </w:tc>
        <w:tc>
          <w:tcPr>
            <w:tcW w:w="1437" w:type="dxa"/>
            <w:tcBorders>
              <w:top w:val="single" w:sz="4" w:space="0" w:color="00688D"/>
              <w:left w:val="nil"/>
              <w:bottom w:val="single" w:sz="4" w:space="0" w:color="00688D"/>
              <w:right w:val="nil"/>
            </w:tcBorders>
            <w:shd w:val="clear" w:color="000000" w:fill="FFFFFF"/>
            <w:noWrap/>
            <w:vAlign w:val="bottom"/>
            <w:hideMark/>
          </w:tcPr>
          <w:p w14:paraId="4E7E00EB" w14:textId="77777777" w:rsidR="00051D7E" w:rsidRPr="00875AA0" w:rsidRDefault="00051D7E" w:rsidP="007531FB">
            <w:pPr>
              <w:ind w:firstLineChars="100" w:firstLine="220"/>
              <w:jc w:val="right"/>
              <w:rPr>
                <w:rFonts w:ascii="Calibri" w:eastAsia="Times New Roman" w:hAnsi="Calibri" w:cs="Calibri"/>
                <w:color w:val="0D0D0D"/>
              </w:rPr>
            </w:pPr>
            <w:r>
              <w:rPr>
                <w:rFonts w:ascii="Calibri" w:eastAsia="Times New Roman" w:hAnsi="Calibri" w:cs="Calibri"/>
                <w:color w:val="0D0D0D"/>
              </w:rPr>
              <w:t>33,840</w:t>
            </w:r>
          </w:p>
        </w:tc>
        <w:tc>
          <w:tcPr>
            <w:tcW w:w="1530" w:type="dxa"/>
            <w:tcBorders>
              <w:top w:val="single" w:sz="4" w:space="0" w:color="00688D"/>
              <w:left w:val="nil"/>
              <w:bottom w:val="single" w:sz="4" w:space="0" w:color="00688D"/>
              <w:right w:val="nil"/>
            </w:tcBorders>
            <w:shd w:val="clear" w:color="auto" w:fill="D9D9D9" w:themeFill="background1" w:themeFillShade="D9"/>
            <w:noWrap/>
            <w:vAlign w:val="bottom"/>
          </w:tcPr>
          <w:p w14:paraId="52F618ED"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36,318</w:t>
            </w:r>
          </w:p>
        </w:tc>
      </w:tr>
      <w:tr w:rsidR="00051D7E" w:rsidRPr="00875AA0" w14:paraId="69A6775C" w14:textId="77777777" w:rsidTr="007531FB">
        <w:trPr>
          <w:trHeight w:val="107"/>
          <w:jc w:val="center"/>
        </w:trPr>
        <w:tc>
          <w:tcPr>
            <w:tcW w:w="6123" w:type="dxa"/>
            <w:tcBorders>
              <w:top w:val="nil"/>
              <w:left w:val="nil"/>
              <w:bottom w:val="nil"/>
              <w:right w:val="nil"/>
            </w:tcBorders>
            <w:shd w:val="clear" w:color="000000" w:fill="FFFFFF"/>
            <w:vAlign w:val="bottom"/>
            <w:hideMark/>
          </w:tcPr>
          <w:p w14:paraId="675B8902" w14:textId="77777777" w:rsidR="00051D7E" w:rsidRPr="00875AA0" w:rsidRDefault="00051D7E" w:rsidP="007531FB">
            <w:pPr>
              <w:spacing w:before="120"/>
              <w:rPr>
                <w:rFonts w:ascii="Calibri" w:eastAsia="Times New Roman" w:hAnsi="Calibri" w:cs="Calibri"/>
                <w:color w:val="0D0D0D"/>
              </w:rPr>
            </w:pPr>
            <w:r w:rsidRPr="00875AA0">
              <w:rPr>
                <w:rFonts w:ascii="Calibri" w:eastAsia="Times New Roman" w:hAnsi="Calibri" w:cs="Calibri"/>
                <w:color w:val="0D0D0D"/>
              </w:rPr>
              <w:t xml:space="preserve">Fiduciary net position – beginning </w:t>
            </w:r>
          </w:p>
        </w:tc>
        <w:tc>
          <w:tcPr>
            <w:tcW w:w="1437" w:type="dxa"/>
            <w:tcBorders>
              <w:top w:val="nil"/>
              <w:left w:val="nil"/>
              <w:bottom w:val="nil"/>
              <w:right w:val="nil"/>
            </w:tcBorders>
            <w:shd w:val="clear" w:color="000000" w:fill="FFFFFF"/>
            <w:noWrap/>
            <w:vAlign w:val="bottom"/>
            <w:hideMark/>
          </w:tcPr>
          <w:p w14:paraId="3DA4068A" w14:textId="77777777" w:rsidR="00051D7E" w:rsidRPr="00875AA0" w:rsidRDefault="00051D7E" w:rsidP="007531FB">
            <w:pPr>
              <w:spacing w:before="120"/>
              <w:ind w:firstLineChars="100" w:firstLine="220"/>
              <w:jc w:val="right"/>
              <w:rPr>
                <w:rFonts w:ascii="Calibri" w:eastAsia="Times New Roman" w:hAnsi="Calibri" w:cs="Calibri"/>
                <w:color w:val="0D0D0D"/>
              </w:rPr>
            </w:pPr>
            <w:r>
              <w:rPr>
                <w:rFonts w:ascii="Calibri" w:eastAsia="Times New Roman" w:hAnsi="Calibri" w:cs="Calibri"/>
                <w:color w:val="0D0D0D"/>
              </w:rPr>
              <w:t>24,609</w:t>
            </w:r>
          </w:p>
        </w:tc>
        <w:tc>
          <w:tcPr>
            <w:tcW w:w="1530" w:type="dxa"/>
            <w:tcBorders>
              <w:top w:val="nil"/>
              <w:left w:val="nil"/>
              <w:bottom w:val="nil"/>
              <w:right w:val="nil"/>
            </w:tcBorders>
            <w:shd w:val="clear" w:color="auto" w:fill="D9D9D9" w:themeFill="background1" w:themeFillShade="D9"/>
            <w:noWrap/>
            <w:vAlign w:val="bottom"/>
          </w:tcPr>
          <w:p w14:paraId="589BBCCA" w14:textId="77777777" w:rsidR="00051D7E" w:rsidRPr="00875AA0" w:rsidRDefault="00051D7E" w:rsidP="007531FB">
            <w:pPr>
              <w:spacing w:before="120"/>
              <w:jc w:val="right"/>
              <w:rPr>
                <w:rFonts w:ascii="Calibri" w:eastAsia="Times New Roman" w:hAnsi="Calibri" w:cs="Calibri"/>
                <w:color w:val="0D0D0D"/>
              </w:rPr>
            </w:pPr>
            <w:r w:rsidRPr="00875AA0">
              <w:rPr>
                <w:rFonts w:ascii="Calibri" w:eastAsia="Times New Roman" w:hAnsi="Calibri" w:cs="Calibri"/>
                <w:color w:val="0D0D0D"/>
              </w:rPr>
              <w:t>26,576</w:t>
            </w:r>
          </w:p>
        </w:tc>
      </w:tr>
      <w:tr w:rsidR="00051D7E" w:rsidRPr="00875AA0" w14:paraId="63BE1102" w14:textId="77777777" w:rsidTr="007531FB">
        <w:trPr>
          <w:trHeight w:val="72"/>
          <w:jc w:val="center"/>
        </w:trPr>
        <w:tc>
          <w:tcPr>
            <w:tcW w:w="6123" w:type="dxa"/>
            <w:tcBorders>
              <w:top w:val="nil"/>
              <w:left w:val="nil"/>
              <w:bottom w:val="nil"/>
              <w:right w:val="nil"/>
            </w:tcBorders>
            <w:shd w:val="clear" w:color="000000" w:fill="FFFFFF"/>
            <w:vAlign w:val="bottom"/>
            <w:hideMark/>
          </w:tcPr>
          <w:p w14:paraId="323DE66E" w14:textId="77777777" w:rsidR="00051D7E" w:rsidRPr="00875AA0" w:rsidRDefault="00051D7E" w:rsidP="007531FB">
            <w:pPr>
              <w:ind w:firstLineChars="200" w:firstLine="440"/>
              <w:rPr>
                <w:rFonts w:ascii="Calibri" w:eastAsia="Times New Roman" w:hAnsi="Calibri" w:cs="Calibri"/>
                <w:color w:val="0D0D0D"/>
              </w:rPr>
            </w:pPr>
            <w:r w:rsidRPr="00875AA0">
              <w:rPr>
                <w:rFonts w:ascii="Calibri" w:eastAsia="Times New Roman" w:hAnsi="Calibri" w:cs="Calibri"/>
                <w:color w:val="0D0D0D"/>
              </w:rPr>
              <w:t>Contributions – employer</w:t>
            </w:r>
          </w:p>
        </w:tc>
        <w:tc>
          <w:tcPr>
            <w:tcW w:w="1437" w:type="dxa"/>
            <w:tcBorders>
              <w:top w:val="nil"/>
              <w:left w:val="nil"/>
              <w:bottom w:val="nil"/>
              <w:right w:val="nil"/>
            </w:tcBorders>
            <w:shd w:val="clear" w:color="000000" w:fill="FFFFFF"/>
            <w:noWrap/>
            <w:vAlign w:val="bottom"/>
            <w:hideMark/>
          </w:tcPr>
          <w:p w14:paraId="0BBDD3EB" w14:textId="77777777" w:rsidR="00051D7E" w:rsidRPr="00875AA0" w:rsidRDefault="00051D7E" w:rsidP="007531FB">
            <w:pPr>
              <w:ind w:firstLineChars="100" w:firstLine="220"/>
              <w:jc w:val="right"/>
              <w:rPr>
                <w:rFonts w:ascii="Calibri" w:eastAsia="Times New Roman" w:hAnsi="Calibri" w:cs="Calibri"/>
                <w:color w:val="0D0D0D"/>
              </w:rPr>
            </w:pPr>
            <w:r>
              <w:rPr>
                <w:rFonts w:ascii="Calibri" w:eastAsia="Times New Roman" w:hAnsi="Calibri" w:cs="Calibri"/>
                <w:color w:val="0D0D0D"/>
              </w:rPr>
              <w:t>907</w:t>
            </w:r>
          </w:p>
        </w:tc>
        <w:tc>
          <w:tcPr>
            <w:tcW w:w="1530" w:type="dxa"/>
            <w:tcBorders>
              <w:top w:val="nil"/>
              <w:left w:val="nil"/>
              <w:bottom w:val="nil"/>
              <w:right w:val="nil"/>
            </w:tcBorders>
            <w:shd w:val="clear" w:color="auto" w:fill="D9D9D9" w:themeFill="background1" w:themeFillShade="D9"/>
            <w:noWrap/>
            <w:vAlign w:val="bottom"/>
          </w:tcPr>
          <w:p w14:paraId="0C779C91"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896</w:t>
            </w:r>
          </w:p>
        </w:tc>
      </w:tr>
      <w:tr w:rsidR="00051D7E" w:rsidRPr="00875AA0" w14:paraId="62C6B685" w14:textId="77777777" w:rsidTr="007531FB">
        <w:trPr>
          <w:trHeight w:val="60"/>
          <w:jc w:val="center"/>
        </w:trPr>
        <w:tc>
          <w:tcPr>
            <w:tcW w:w="6123" w:type="dxa"/>
            <w:tcBorders>
              <w:top w:val="nil"/>
              <w:left w:val="nil"/>
              <w:bottom w:val="nil"/>
              <w:right w:val="nil"/>
            </w:tcBorders>
            <w:shd w:val="clear" w:color="000000" w:fill="FFFFFF"/>
            <w:vAlign w:val="bottom"/>
            <w:hideMark/>
          </w:tcPr>
          <w:p w14:paraId="0D9F6B9F" w14:textId="77777777" w:rsidR="00051D7E" w:rsidRPr="00875AA0" w:rsidRDefault="00051D7E" w:rsidP="007531FB">
            <w:pPr>
              <w:ind w:firstLineChars="200" w:firstLine="440"/>
              <w:rPr>
                <w:rFonts w:ascii="Calibri" w:eastAsia="Times New Roman" w:hAnsi="Calibri" w:cs="Calibri"/>
                <w:color w:val="0D0D0D"/>
              </w:rPr>
            </w:pPr>
            <w:r w:rsidRPr="00875AA0">
              <w:rPr>
                <w:rFonts w:ascii="Calibri" w:eastAsia="Times New Roman" w:hAnsi="Calibri" w:cs="Calibri"/>
                <w:color w:val="0D0D0D"/>
              </w:rPr>
              <w:t>Net investment income</w:t>
            </w:r>
          </w:p>
        </w:tc>
        <w:tc>
          <w:tcPr>
            <w:tcW w:w="1437" w:type="dxa"/>
            <w:tcBorders>
              <w:top w:val="nil"/>
              <w:left w:val="nil"/>
              <w:bottom w:val="nil"/>
              <w:right w:val="nil"/>
            </w:tcBorders>
            <w:shd w:val="clear" w:color="000000" w:fill="FFFFFF"/>
            <w:noWrap/>
            <w:vAlign w:val="bottom"/>
            <w:hideMark/>
          </w:tcPr>
          <w:p w14:paraId="37F069D6" w14:textId="77777777" w:rsidR="00051D7E" w:rsidRPr="00875AA0" w:rsidRDefault="00051D7E" w:rsidP="007531FB">
            <w:pPr>
              <w:ind w:firstLineChars="100" w:firstLine="220"/>
              <w:jc w:val="right"/>
              <w:rPr>
                <w:rFonts w:ascii="Calibri" w:eastAsia="Times New Roman" w:hAnsi="Calibri" w:cs="Calibri"/>
                <w:color w:val="0D0D0D"/>
              </w:rPr>
            </w:pPr>
            <w:r>
              <w:rPr>
                <w:rFonts w:ascii="Calibri" w:eastAsia="Times New Roman" w:hAnsi="Calibri" w:cs="Calibri"/>
                <w:color w:val="0D0D0D"/>
              </w:rPr>
              <w:t>3,704</w:t>
            </w:r>
          </w:p>
        </w:tc>
        <w:tc>
          <w:tcPr>
            <w:tcW w:w="1530" w:type="dxa"/>
            <w:tcBorders>
              <w:top w:val="nil"/>
              <w:left w:val="nil"/>
              <w:bottom w:val="nil"/>
              <w:right w:val="nil"/>
            </w:tcBorders>
            <w:shd w:val="clear" w:color="auto" w:fill="D9D9D9" w:themeFill="background1" w:themeFillShade="D9"/>
            <w:noWrap/>
            <w:vAlign w:val="bottom"/>
          </w:tcPr>
          <w:p w14:paraId="1D18FDA0"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1,213</w:t>
            </w:r>
          </w:p>
        </w:tc>
      </w:tr>
      <w:tr w:rsidR="00051D7E" w:rsidRPr="00875AA0" w14:paraId="42F67B7D" w14:textId="77777777" w:rsidTr="007531FB">
        <w:trPr>
          <w:trHeight w:val="60"/>
          <w:jc w:val="center"/>
        </w:trPr>
        <w:tc>
          <w:tcPr>
            <w:tcW w:w="6123" w:type="dxa"/>
            <w:tcBorders>
              <w:top w:val="nil"/>
              <w:left w:val="nil"/>
              <w:bottom w:val="nil"/>
              <w:right w:val="nil"/>
            </w:tcBorders>
            <w:shd w:val="clear" w:color="000000" w:fill="FFFFFF"/>
            <w:vAlign w:val="bottom"/>
            <w:hideMark/>
          </w:tcPr>
          <w:p w14:paraId="7C54EC85" w14:textId="77777777" w:rsidR="00051D7E" w:rsidRPr="00875AA0" w:rsidRDefault="00051D7E" w:rsidP="007531FB">
            <w:pPr>
              <w:ind w:firstLineChars="200" w:firstLine="440"/>
              <w:rPr>
                <w:rFonts w:ascii="Calibri" w:eastAsia="Times New Roman" w:hAnsi="Calibri" w:cs="Calibri"/>
                <w:color w:val="0D0D0D"/>
              </w:rPr>
            </w:pPr>
            <w:r w:rsidRPr="00875AA0">
              <w:rPr>
                <w:rFonts w:ascii="Calibri" w:eastAsia="Times New Roman" w:hAnsi="Calibri" w:cs="Calibri"/>
                <w:color w:val="0D0D0D"/>
              </w:rPr>
              <w:t>Benefit payments</w:t>
            </w:r>
          </w:p>
        </w:tc>
        <w:tc>
          <w:tcPr>
            <w:tcW w:w="1437" w:type="dxa"/>
            <w:tcBorders>
              <w:top w:val="nil"/>
              <w:left w:val="nil"/>
              <w:bottom w:val="nil"/>
              <w:right w:val="nil"/>
            </w:tcBorders>
            <w:shd w:val="clear" w:color="000000" w:fill="FFFFFF"/>
            <w:noWrap/>
            <w:vAlign w:val="bottom"/>
            <w:hideMark/>
          </w:tcPr>
          <w:p w14:paraId="6102B335" w14:textId="77777777" w:rsidR="00051D7E" w:rsidRPr="00875AA0" w:rsidRDefault="00051D7E" w:rsidP="007531FB">
            <w:pPr>
              <w:ind w:firstLineChars="100" w:firstLine="220"/>
              <w:jc w:val="right"/>
              <w:rPr>
                <w:rFonts w:ascii="Calibri" w:eastAsia="Times New Roman" w:hAnsi="Calibri" w:cs="Calibri"/>
                <w:color w:val="0D0D0D"/>
              </w:rPr>
            </w:pPr>
            <w:r w:rsidRPr="00875AA0">
              <w:rPr>
                <w:rFonts w:ascii="Calibri" w:eastAsia="Times New Roman" w:hAnsi="Calibri" w:cs="Calibri"/>
                <w:color w:val="0D0D0D"/>
              </w:rPr>
              <w:t>(</w:t>
            </w:r>
            <w:r>
              <w:rPr>
                <w:rFonts w:ascii="Calibri" w:eastAsia="Times New Roman" w:hAnsi="Calibri" w:cs="Calibri"/>
                <w:color w:val="0D0D0D"/>
              </w:rPr>
              <w:t>3,916</w:t>
            </w:r>
            <w:r w:rsidRPr="00875AA0">
              <w:rPr>
                <w:rFonts w:ascii="Calibri" w:eastAsia="Times New Roman" w:hAnsi="Calibri" w:cs="Calibri"/>
                <w:color w:val="0D0D0D"/>
              </w:rPr>
              <w:t>)</w:t>
            </w:r>
          </w:p>
        </w:tc>
        <w:tc>
          <w:tcPr>
            <w:tcW w:w="1530" w:type="dxa"/>
            <w:tcBorders>
              <w:top w:val="nil"/>
              <w:left w:val="nil"/>
              <w:bottom w:val="nil"/>
              <w:right w:val="nil"/>
            </w:tcBorders>
            <w:shd w:val="clear" w:color="auto" w:fill="D9D9D9" w:themeFill="background1" w:themeFillShade="D9"/>
            <w:noWrap/>
            <w:vAlign w:val="bottom"/>
          </w:tcPr>
          <w:p w14:paraId="3FA1F310"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(4,043)</w:t>
            </w:r>
          </w:p>
        </w:tc>
      </w:tr>
      <w:tr w:rsidR="00051D7E" w:rsidRPr="00875AA0" w14:paraId="70881421" w14:textId="77777777" w:rsidTr="007531FB">
        <w:trPr>
          <w:trHeight w:val="60"/>
          <w:jc w:val="center"/>
        </w:trPr>
        <w:tc>
          <w:tcPr>
            <w:tcW w:w="6123" w:type="dxa"/>
            <w:tcBorders>
              <w:top w:val="nil"/>
              <w:left w:val="nil"/>
              <w:bottom w:val="nil"/>
              <w:right w:val="nil"/>
            </w:tcBorders>
            <w:shd w:val="clear" w:color="000000" w:fill="FFFFFF"/>
            <w:noWrap/>
            <w:vAlign w:val="bottom"/>
            <w:hideMark/>
          </w:tcPr>
          <w:p w14:paraId="04EC399D" w14:textId="77777777" w:rsidR="00051D7E" w:rsidRPr="00875AA0" w:rsidRDefault="00051D7E" w:rsidP="007531FB">
            <w:pPr>
              <w:ind w:firstLineChars="200" w:firstLine="440"/>
              <w:rPr>
                <w:rFonts w:ascii="Calibri" w:eastAsia="Times New Roman" w:hAnsi="Calibri" w:cs="Calibri"/>
                <w:color w:val="0D0D0D"/>
              </w:rPr>
            </w:pPr>
            <w:r w:rsidRPr="00875AA0">
              <w:rPr>
                <w:rFonts w:ascii="Calibri" w:eastAsia="Times New Roman" w:hAnsi="Calibri" w:cs="Calibri"/>
                <w:color w:val="0D0D0D"/>
              </w:rPr>
              <w:t xml:space="preserve">Administrative expenses </w:t>
            </w:r>
          </w:p>
        </w:tc>
        <w:tc>
          <w:tcPr>
            <w:tcW w:w="1437" w:type="dxa"/>
            <w:tcBorders>
              <w:top w:val="nil"/>
              <w:left w:val="nil"/>
              <w:bottom w:val="nil"/>
              <w:right w:val="nil"/>
            </w:tcBorders>
            <w:shd w:val="clear" w:color="000000" w:fill="FFFFFF"/>
            <w:noWrap/>
            <w:vAlign w:val="bottom"/>
            <w:hideMark/>
          </w:tcPr>
          <w:p w14:paraId="756AEF48" w14:textId="77777777" w:rsidR="00051D7E" w:rsidRPr="00875AA0" w:rsidRDefault="00051D7E" w:rsidP="007531FB">
            <w:pPr>
              <w:ind w:firstLineChars="100" w:firstLine="220"/>
              <w:jc w:val="right"/>
              <w:rPr>
                <w:rFonts w:ascii="Calibri" w:eastAsia="Times New Roman" w:hAnsi="Calibri" w:cs="Calibri"/>
                <w:color w:val="0D0D0D"/>
              </w:rPr>
            </w:pPr>
            <w:r w:rsidRPr="00875AA0">
              <w:rPr>
                <w:rFonts w:ascii="Calibri" w:eastAsia="Times New Roman" w:hAnsi="Calibri" w:cs="Calibri"/>
                <w:color w:val="0D0D0D"/>
              </w:rPr>
              <w:t>(</w:t>
            </w:r>
            <w:r>
              <w:rPr>
                <w:rFonts w:ascii="Calibri" w:eastAsia="Times New Roman" w:hAnsi="Calibri" w:cs="Calibri"/>
                <w:color w:val="0D0D0D"/>
              </w:rPr>
              <w:t>1</w:t>
            </w:r>
            <w:r w:rsidRPr="00875AA0">
              <w:rPr>
                <w:rFonts w:ascii="Calibri" w:eastAsia="Times New Roman" w:hAnsi="Calibri" w:cs="Calibri"/>
                <w:color w:val="0D0D0D"/>
              </w:rPr>
              <w:t>3)</w:t>
            </w:r>
          </w:p>
        </w:tc>
        <w:tc>
          <w:tcPr>
            <w:tcW w:w="1530" w:type="dxa"/>
            <w:tcBorders>
              <w:top w:val="nil"/>
              <w:left w:val="nil"/>
              <w:bottom w:val="nil"/>
              <w:right w:val="nil"/>
            </w:tcBorders>
            <w:shd w:val="clear" w:color="auto" w:fill="D9D9D9" w:themeFill="background1" w:themeFillShade="D9"/>
            <w:noWrap/>
            <w:vAlign w:val="bottom"/>
          </w:tcPr>
          <w:p w14:paraId="226AA6A7"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(33)</w:t>
            </w:r>
          </w:p>
        </w:tc>
      </w:tr>
      <w:tr w:rsidR="00051D7E" w:rsidRPr="00875AA0" w14:paraId="4ADD46BA" w14:textId="77777777" w:rsidTr="007531FB">
        <w:trPr>
          <w:trHeight w:val="71"/>
          <w:jc w:val="center"/>
        </w:trPr>
        <w:tc>
          <w:tcPr>
            <w:tcW w:w="6123" w:type="dxa"/>
            <w:tcBorders>
              <w:top w:val="single" w:sz="4" w:space="0" w:color="00688D"/>
              <w:left w:val="nil"/>
              <w:bottom w:val="single" w:sz="4" w:space="0" w:color="00688D"/>
              <w:right w:val="nil"/>
            </w:tcBorders>
            <w:shd w:val="clear" w:color="000000" w:fill="FFFFFF"/>
            <w:vAlign w:val="bottom"/>
            <w:hideMark/>
          </w:tcPr>
          <w:p w14:paraId="2F79306C" w14:textId="77777777" w:rsidR="00051D7E" w:rsidRPr="00875AA0" w:rsidRDefault="00051D7E" w:rsidP="007531FB">
            <w:pPr>
              <w:rPr>
                <w:rFonts w:ascii="Calibri" w:eastAsia="Times New Roman" w:hAnsi="Calibri" w:cs="Calibri"/>
                <w:color w:val="0D0D0D"/>
              </w:rPr>
            </w:pPr>
            <w:r w:rsidRPr="00875AA0">
              <w:rPr>
                <w:rFonts w:ascii="Calibri" w:eastAsia="Times New Roman" w:hAnsi="Calibri" w:cs="Calibri"/>
                <w:color w:val="0D0D0D"/>
              </w:rPr>
              <w:t>Fiduciary net position – ending (b)</w:t>
            </w:r>
          </w:p>
        </w:tc>
        <w:tc>
          <w:tcPr>
            <w:tcW w:w="1437" w:type="dxa"/>
            <w:tcBorders>
              <w:top w:val="single" w:sz="4" w:space="0" w:color="00688D"/>
              <w:left w:val="nil"/>
              <w:bottom w:val="single" w:sz="4" w:space="0" w:color="00688D"/>
              <w:right w:val="nil"/>
            </w:tcBorders>
            <w:shd w:val="clear" w:color="000000" w:fill="FFFFFF"/>
            <w:noWrap/>
            <w:vAlign w:val="bottom"/>
            <w:hideMark/>
          </w:tcPr>
          <w:p w14:paraId="57437194" w14:textId="77777777" w:rsidR="00051D7E" w:rsidRPr="00875AA0" w:rsidRDefault="00051D7E" w:rsidP="007531FB">
            <w:pPr>
              <w:ind w:firstLineChars="100" w:firstLine="220"/>
              <w:jc w:val="right"/>
              <w:rPr>
                <w:rFonts w:ascii="Calibri" w:eastAsia="Times New Roman" w:hAnsi="Calibri" w:cs="Calibri"/>
                <w:color w:val="0D0D0D"/>
              </w:rPr>
            </w:pPr>
            <w:r w:rsidRPr="00875AA0">
              <w:rPr>
                <w:rFonts w:ascii="Calibri" w:eastAsia="Times New Roman" w:hAnsi="Calibri" w:cs="Calibri"/>
                <w:color w:val="0D0D0D"/>
              </w:rPr>
              <w:t>2</w:t>
            </w:r>
            <w:r>
              <w:rPr>
                <w:rFonts w:ascii="Calibri" w:eastAsia="Times New Roman" w:hAnsi="Calibri" w:cs="Calibri"/>
                <w:color w:val="0D0D0D"/>
              </w:rPr>
              <w:t>5</w:t>
            </w:r>
            <w:r w:rsidRPr="00875AA0">
              <w:rPr>
                <w:rFonts w:ascii="Calibri" w:eastAsia="Times New Roman" w:hAnsi="Calibri" w:cs="Calibri"/>
                <w:color w:val="0D0D0D"/>
              </w:rPr>
              <w:t>,</w:t>
            </w:r>
            <w:r>
              <w:rPr>
                <w:rFonts w:ascii="Calibri" w:eastAsia="Times New Roman" w:hAnsi="Calibri" w:cs="Calibri"/>
                <w:color w:val="0D0D0D"/>
              </w:rPr>
              <w:t>291</w:t>
            </w:r>
          </w:p>
        </w:tc>
        <w:tc>
          <w:tcPr>
            <w:tcW w:w="1530" w:type="dxa"/>
            <w:tcBorders>
              <w:top w:val="single" w:sz="4" w:space="0" w:color="00688D"/>
              <w:left w:val="nil"/>
              <w:bottom w:val="single" w:sz="4" w:space="0" w:color="00688D"/>
              <w:right w:val="nil"/>
            </w:tcBorders>
            <w:shd w:val="clear" w:color="auto" w:fill="D9D9D9" w:themeFill="background1" w:themeFillShade="D9"/>
            <w:noWrap/>
            <w:vAlign w:val="bottom"/>
          </w:tcPr>
          <w:p w14:paraId="51692C82"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24,609</w:t>
            </w:r>
          </w:p>
        </w:tc>
      </w:tr>
      <w:tr w:rsidR="00051D7E" w:rsidRPr="00875AA0" w14:paraId="7A8D3BA7" w14:textId="77777777" w:rsidTr="007531FB">
        <w:trPr>
          <w:trHeight w:val="50"/>
          <w:jc w:val="center"/>
        </w:trPr>
        <w:tc>
          <w:tcPr>
            <w:tcW w:w="6123" w:type="dxa"/>
            <w:tcBorders>
              <w:top w:val="nil"/>
              <w:left w:val="nil"/>
              <w:bottom w:val="double" w:sz="6" w:space="0" w:color="00688D"/>
              <w:right w:val="nil"/>
            </w:tcBorders>
            <w:shd w:val="clear" w:color="000000" w:fill="FFFFFF"/>
            <w:vAlign w:val="bottom"/>
            <w:hideMark/>
          </w:tcPr>
          <w:p w14:paraId="25EF1CB2" w14:textId="77777777" w:rsidR="00051D7E" w:rsidRPr="00875AA0" w:rsidRDefault="00051D7E" w:rsidP="007531FB">
            <w:pPr>
              <w:spacing w:before="120"/>
              <w:rPr>
                <w:rFonts w:ascii="Calibri" w:eastAsia="Times New Roman" w:hAnsi="Calibri" w:cs="Calibri"/>
                <w:color w:val="0D0D0D"/>
              </w:rPr>
            </w:pPr>
            <w:r w:rsidRPr="00875AA0">
              <w:rPr>
                <w:rFonts w:ascii="Calibri" w:eastAsia="Times New Roman" w:hAnsi="Calibri" w:cs="Calibri"/>
                <w:color w:val="0D0D0D"/>
              </w:rPr>
              <w:t>Net pension liability – ending (a)-(b)</w:t>
            </w:r>
          </w:p>
        </w:tc>
        <w:tc>
          <w:tcPr>
            <w:tcW w:w="1437" w:type="dxa"/>
            <w:tcBorders>
              <w:top w:val="nil"/>
              <w:left w:val="nil"/>
              <w:bottom w:val="double" w:sz="6" w:space="0" w:color="00688D"/>
              <w:right w:val="nil"/>
            </w:tcBorders>
            <w:shd w:val="clear" w:color="000000" w:fill="FFFFFF"/>
            <w:noWrap/>
            <w:vAlign w:val="bottom"/>
            <w:hideMark/>
          </w:tcPr>
          <w:p w14:paraId="612CAB4F" w14:textId="77777777" w:rsidR="00051D7E" w:rsidRPr="00875AA0" w:rsidRDefault="00051D7E" w:rsidP="007531FB">
            <w:pPr>
              <w:spacing w:before="120"/>
              <w:ind w:firstLineChars="100" w:firstLine="220"/>
              <w:jc w:val="right"/>
              <w:rPr>
                <w:rFonts w:ascii="Calibri" w:eastAsia="Times New Roman" w:hAnsi="Calibri" w:cs="Calibri"/>
                <w:color w:val="0D0D0D"/>
              </w:rPr>
            </w:pPr>
            <w:r w:rsidRPr="00875AA0">
              <w:rPr>
                <w:rFonts w:ascii="Calibri" w:eastAsia="Times New Roman" w:hAnsi="Calibri" w:cs="Calibri"/>
                <w:color w:val="0D0D0D"/>
              </w:rPr>
              <w:t xml:space="preserve">$    </w:t>
            </w:r>
            <w:r>
              <w:rPr>
                <w:rFonts w:ascii="Calibri" w:eastAsia="Times New Roman" w:hAnsi="Calibri" w:cs="Calibri"/>
                <w:color w:val="0D0D0D"/>
              </w:rPr>
              <w:t>8</w:t>
            </w:r>
            <w:r w:rsidRPr="00875AA0">
              <w:rPr>
                <w:rFonts w:ascii="Calibri" w:eastAsia="Times New Roman" w:hAnsi="Calibri" w:cs="Calibri"/>
                <w:color w:val="0D0D0D"/>
              </w:rPr>
              <w:t>,</w:t>
            </w:r>
            <w:r>
              <w:rPr>
                <w:rFonts w:ascii="Calibri" w:eastAsia="Times New Roman" w:hAnsi="Calibri" w:cs="Calibri"/>
                <w:color w:val="0D0D0D"/>
              </w:rPr>
              <w:t>549</w:t>
            </w:r>
          </w:p>
        </w:tc>
        <w:tc>
          <w:tcPr>
            <w:tcW w:w="1530" w:type="dxa"/>
            <w:tcBorders>
              <w:top w:val="nil"/>
              <w:left w:val="nil"/>
              <w:bottom w:val="double" w:sz="6" w:space="0" w:color="00688D"/>
              <w:right w:val="nil"/>
            </w:tcBorders>
            <w:shd w:val="clear" w:color="auto" w:fill="D9D9D9" w:themeFill="background1" w:themeFillShade="D9"/>
            <w:noWrap/>
            <w:vAlign w:val="bottom"/>
          </w:tcPr>
          <w:p w14:paraId="09B4DCF4" w14:textId="77777777" w:rsidR="00051D7E" w:rsidRPr="00875AA0" w:rsidRDefault="00051D7E" w:rsidP="007531FB">
            <w:pPr>
              <w:spacing w:before="120"/>
              <w:jc w:val="right"/>
              <w:rPr>
                <w:rFonts w:ascii="Calibri" w:eastAsia="Times New Roman" w:hAnsi="Calibri" w:cs="Calibri"/>
                <w:color w:val="0D0D0D"/>
              </w:rPr>
            </w:pPr>
            <w:r w:rsidRPr="00875AA0">
              <w:rPr>
                <w:rFonts w:ascii="Calibri" w:eastAsia="Times New Roman" w:hAnsi="Calibri" w:cs="Calibri"/>
                <w:color w:val="0D0D0D"/>
              </w:rPr>
              <w:t>$    11,709</w:t>
            </w:r>
          </w:p>
        </w:tc>
      </w:tr>
      <w:tr w:rsidR="00051D7E" w:rsidRPr="00875AA0" w14:paraId="5B763804" w14:textId="77777777" w:rsidTr="007531FB">
        <w:trPr>
          <w:trHeight w:val="25"/>
          <w:jc w:val="center"/>
        </w:trPr>
        <w:tc>
          <w:tcPr>
            <w:tcW w:w="6123" w:type="dxa"/>
            <w:tcBorders>
              <w:top w:val="nil"/>
              <w:left w:val="nil"/>
              <w:bottom w:val="nil"/>
              <w:right w:val="nil"/>
            </w:tcBorders>
            <w:shd w:val="clear" w:color="000000" w:fill="FFFFFF"/>
            <w:noWrap/>
            <w:vAlign w:val="bottom"/>
            <w:hideMark/>
          </w:tcPr>
          <w:p w14:paraId="17366CA8" w14:textId="77777777" w:rsidR="00051D7E" w:rsidRPr="00875AA0" w:rsidRDefault="00051D7E" w:rsidP="007531FB">
            <w:pPr>
              <w:spacing w:before="120"/>
              <w:rPr>
                <w:rFonts w:ascii="Calibri" w:eastAsia="Times New Roman" w:hAnsi="Calibri" w:cs="Calibri"/>
                <w:color w:val="0D0D0D"/>
              </w:rPr>
            </w:pPr>
            <w:r w:rsidRPr="00875AA0">
              <w:rPr>
                <w:rFonts w:ascii="Calibri" w:eastAsia="Times New Roman" w:hAnsi="Calibri" w:cs="Calibri"/>
                <w:color w:val="0D0D0D"/>
              </w:rPr>
              <w:t>Plan fiduciary net position as a percentage of the total pension liability</w:t>
            </w:r>
          </w:p>
        </w:tc>
        <w:tc>
          <w:tcPr>
            <w:tcW w:w="1437" w:type="dxa"/>
            <w:tcBorders>
              <w:top w:val="nil"/>
              <w:left w:val="nil"/>
              <w:bottom w:val="nil"/>
              <w:right w:val="nil"/>
            </w:tcBorders>
            <w:shd w:val="clear" w:color="000000" w:fill="FFFFFF"/>
            <w:noWrap/>
            <w:vAlign w:val="bottom"/>
            <w:hideMark/>
          </w:tcPr>
          <w:p w14:paraId="1DF32D98" w14:textId="77777777" w:rsidR="00051D7E" w:rsidRPr="00875AA0" w:rsidRDefault="00051D7E" w:rsidP="007531FB">
            <w:pPr>
              <w:spacing w:before="120"/>
              <w:ind w:firstLineChars="100" w:firstLine="220"/>
              <w:jc w:val="right"/>
              <w:rPr>
                <w:rFonts w:ascii="Calibri" w:eastAsia="Times New Roman" w:hAnsi="Calibri" w:cs="Calibri"/>
                <w:color w:val="0D0D0D"/>
              </w:rPr>
            </w:pPr>
            <w:r>
              <w:rPr>
                <w:rFonts w:ascii="Calibri" w:eastAsia="Times New Roman" w:hAnsi="Calibri" w:cs="Calibri"/>
                <w:color w:val="0D0D0D"/>
              </w:rPr>
              <w:t>74.74</w:t>
            </w:r>
            <w:r w:rsidRPr="00875AA0">
              <w:rPr>
                <w:rFonts w:ascii="Calibri" w:eastAsia="Times New Roman" w:hAnsi="Calibri" w:cs="Calibri"/>
                <w:color w:val="0D0D0D"/>
              </w:rPr>
              <w:t>%</w:t>
            </w:r>
          </w:p>
        </w:tc>
        <w:tc>
          <w:tcPr>
            <w:tcW w:w="1530" w:type="dxa"/>
            <w:tcBorders>
              <w:top w:val="nil"/>
              <w:left w:val="nil"/>
              <w:bottom w:val="nil"/>
              <w:right w:val="nil"/>
            </w:tcBorders>
            <w:shd w:val="clear" w:color="auto" w:fill="D9D9D9" w:themeFill="background1" w:themeFillShade="D9"/>
            <w:noWrap/>
            <w:vAlign w:val="bottom"/>
          </w:tcPr>
          <w:p w14:paraId="1528DB6A" w14:textId="77777777" w:rsidR="00051D7E" w:rsidRPr="00875AA0" w:rsidRDefault="00051D7E" w:rsidP="007531FB">
            <w:pPr>
              <w:spacing w:before="120"/>
              <w:jc w:val="right"/>
              <w:rPr>
                <w:rFonts w:ascii="Calibri" w:eastAsia="Times New Roman" w:hAnsi="Calibri" w:cs="Calibri"/>
                <w:color w:val="0D0D0D"/>
              </w:rPr>
            </w:pPr>
            <w:r w:rsidRPr="00875AA0">
              <w:rPr>
                <w:rFonts w:ascii="Calibri" w:eastAsia="Times New Roman" w:hAnsi="Calibri" w:cs="Calibri"/>
                <w:color w:val="0D0D0D"/>
              </w:rPr>
              <w:t>67.76%</w:t>
            </w:r>
          </w:p>
        </w:tc>
      </w:tr>
      <w:tr w:rsidR="00051D7E" w:rsidRPr="00875AA0" w14:paraId="25BF9429" w14:textId="77777777" w:rsidTr="007531FB">
        <w:trPr>
          <w:trHeight w:val="171"/>
          <w:jc w:val="center"/>
        </w:trPr>
        <w:tc>
          <w:tcPr>
            <w:tcW w:w="6123" w:type="dxa"/>
            <w:tcBorders>
              <w:top w:val="nil"/>
              <w:left w:val="nil"/>
              <w:bottom w:val="nil"/>
              <w:right w:val="nil"/>
            </w:tcBorders>
            <w:shd w:val="clear" w:color="000000" w:fill="FFFFFF"/>
            <w:noWrap/>
            <w:vAlign w:val="bottom"/>
            <w:hideMark/>
          </w:tcPr>
          <w:p w14:paraId="614FC85E" w14:textId="77777777" w:rsidR="00051D7E" w:rsidRPr="00875AA0" w:rsidRDefault="00051D7E" w:rsidP="007531FB">
            <w:pPr>
              <w:rPr>
                <w:rFonts w:ascii="Calibri" w:eastAsia="Times New Roman" w:hAnsi="Calibri" w:cs="Calibri"/>
                <w:color w:val="0D0D0D"/>
              </w:rPr>
            </w:pPr>
            <w:r w:rsidRPr="00875AA0">
              <w:rPr>
                <w:rFonts w:ascii="Calibri" w:eastAsia="Times New Roman" w:hAnsi="Calibri" w:cs="Calibri"/>
                <w:color w:val="0D0D0D"/>
              </w:rPr>
              <w:t>Covered payroll</w:t>
            </w:r>
          </w:p>
        </w:tc>
        <w:tc>
          <w:tcPr>
            <w:tcW w:w="1437" w:type="dxa"/>
            <w:tcBorders>
              <w:top w:val="nil"/>
              <w:left w:val="nil"/>
              <w:bottom w:val="nil"/>
              <w:right w:val="nil"/>
            </w:tcBorders>
            <w:shd w:val="clear" w:color="000000" w:fill="FFFFFF"/>
            <w:noWrap/>
            <w:vAlign w:val="bottom"/>
            <w:hideMark/>
          </w:tcPr>
          <w:p w14:paraId="4CC6B2F6" w14:textId="77777777" w:rsidR="00051D7E" w:rsidRPr="00875AA0" w:rsidRDefault="00051D7E" w:rsidP="007531FB">
            <w:pPr>
              <w:ind w:firstLineChars="100" w:firstLine="220"/>
              <w:jc w:val="right"/>
              <w:rPr>
                <w:rFonts w:ascii="Calibri" w:eastAsia="Times New Roman" w:hAnsi="Calibri" w:cs="Calibri"/>
                <w:color w:val="0D0D0D"/>
              </w:rPr>
            </w:pPr>
            <w:r w:rsidRPr="00875AA0">
              <w:rPr>
                <w:rFonts w:ascii="Calibri" w:eastAsia="Times New Roman" w:hAnsi="Calibri" w:cs="Calibri"/>
                <w:color w:val="0D0D0D"/>
              </w:rPr>
              <w:t>$            6</w:t>
            </w:r>
            <w:r>
              <w:rPr>
                <w:rFonts w:ascii="Calibri" w:eastAsia="Times New Roman" w:hAnsi="Calibri" w:cs="Calibri"/>
                <w:color w:val="0D0D0D"/>
              </w:rPr>
              <w:t>5</w:t>
            </w:r>
          </w:p>
        </w:tc>
        <w:tc>
          <w:tcPr>
            <w:tcW w:w="1530" w:type="dxa"/>
            <w:tcBorders>
              <w:top w:val="nil"/>
              <w:left w:val="nil"/>
              <w:bottom w:val="nil"/>
              <w:right w:val="nil"/>
            </w:tcBorders>
            <w:shd w:val="clear" w:color="auto" w:fill="D9D9D9" w:themeFill="background1" w:themeFillShade="D9"/>
            <w:noWrap/>
            <w:vAlign w:val="bottom"/>
          </w:tcPr>
          <w:p w14:paraId="7DCC6805"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            68</w:t>
            </w:r>
          </w:p>
        </w:tc>
      </w:tr>
      <w:tr w:rsidR="00051D7E" w:rsidRPr="00875AA0" w14:paraId="31A0F7C3" w14:textId="77777777" w:rsidTr="007531FB">
        <w:trPr>
          <w:trHeight w:val="90"/>
          <w:jc w:val="center"/>
        </w:trPr>
        <w:tc>
          <w:tcPr>
            <w:tcW w:w="6123" w:type="dxa"/>
            <w:tcBorders>
              <w:top w:val="nil"/>
              <w:left w:val="nil"/>
              <w:bottom w:val="nil"/>
              <w:right w:val="nil"/>
            </w:tcBorders>
            <w:shd w:val="clear" w:color="000000" w:fill="FFFFFF"/>
            <w:noWrap/>
            <w:vAlign w:val="bottom"/>
            <w:hideMark/>
          </w:tcPr>
          <w:p w14:paraId="41A3A49D" w14:textId="77777777" w:rsidR="00051D7E" w:rsidRPr="00875AA0" w:rsidRDefault="00051D7E" w:rsidP="007531FB">
            <w:pPr>
              <w:rPr>
                <w:rFonts w:ascii="Calibri" w:eastAsia="Times New Roman" w:hAnsi="Calibri" w:cs="Calibri"/>
                <w:color w:val="0D0D0D"/>
              </w:rPr>
            </w:pPr>
            <w:r w:rsidRPr="00875AA0">
              <w:rPr>
                <w:rFonts w:ascii="Calibri" w:eastAsia="Times New Roman" w:hAnsi="Calibri" w:cs="Calibri"/>
                <w:color w:val="0D0D0D"/>
              </w:rPr>
              <w:t>Net pension liability as a percentage of covered payroll</w:t>
            </w:r>
          </w:p>
        </w:tc>
        <w:tc>
          <w:tcPr>
            <w:tcW w:w="1437" w:type="dxa"/>
            <w:tcBorders>
              <w:top w:val="nil"/>
              <w:left w:val="nil"/>
              <w:bottom w:val="nil"/>
              <w:right w:val="nil"/>
            </w:tcBorders>
            <w:shd w:val="clear" w:color="000000" w:fill="FFFFFF"/>
            <w:noWrap/>
            <w:vAlign w:val="bottom"/>
            <w:hideMark/>
          </w:tcPr>
          <w:p w14:paraId="3DEEEBF5" w14:textId="77777777" w:rsidR="00051D7E" w:rsidRPr="00875AA0" w:rsidRDefault="00051D7E" w:rsidP="007531FB">
            <w:pPr>
              <w:ind w:firstLineChars="100" w:firstLine="220"/>
              <w:jc w:val="right"/>
              <w:rPr>
                <w:rFonts w:ascii="Calibri" w:eastAsia="Times New Roman" w:hAnsi="Calibri" w:cs="Calibri"/>
                <w:color w:val="0D0D0D"/>
              </w:rPr>
            </w:pPr>
            <w:r>
              <w:rPr>
                <w:rFonts w:ascii="Calibri" w:eastAsia="Times New Roman" w:hAnsi="Calibri" w:cs="Calibri"/>
                <w:color w:val="0D0D0D"/>
              </w:rPr>
              <w:t>13158</w:t>
            </w:r>
            <w:r w:rsidRPr="00875AA0">
              <w:rPr>
                <w:rFonts w:ascii="Calibri" w:eastAsia="Times New Roman" w:hAnsi="Calibri" w:cs="Calibri"/>
                <w:color w:val="0D0D0D"/>
              </w:rPr>
              <w:t>.</w:t>
            </w:r>
            <w:r>
              <w:rPr>
                <w:rFonts w:ascii="Calibri" w:eastAsia="Times New Roman" w:hAnsi="Calibri" w:cs="Calibri"/>
                <w:color w:val="0D0D0D"/>
              </w:rPr>
              <w:t>91</w:t>
            </w:r>
            <w:r w:rsidRPr="00875AA0">
              <w:rPr>
                <w:rFonts w:ascii="Calibri" w:eastAsia="Times New Roman" w:hAnsi="Calibri" w:cs="Calibri"/>
                <w:color w:val="0D0D0D"/>
              </w:rPr>
              <w:t>%</w:t>
            </w:r>
          </w:p>
        </w:tc>
        <w:tc>
          <w:tcPr>
            <w:tcW w:w="1530" w:type="dxa"/>
            <w:tcBorders>
              <w:top w:val="nil"/>
              <w:left w:val="nil"/>
              <w:bottom w:val="nil"/>
              <w:right w:val="nil"/>
            </w:tcBorders>
            <w:shd w:val="clear" w:color="auto" w:fill="D9D9D9" w:themeFill="background1" w:themeFillShade="D9"/>
            <w:noWrap/>
            <w:vAlign w:val="bottom"/>
          </w:tcPr>
          <w:p w14:paraId="11DEF671"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17284.43%</w:t>
            </w:r>
          </w:p>
        </w:tc>
      </w:tr>
      <w:tr w:rsidR="00051D7E" w:rsidRPr="00875AA0" w14:paraId="60D99FBD" w14:textId="77777777" w:rsidTr="007531FB">
        <w:trPr>
          <w:trHeight w:val="90"/>
          <w:jc w:val="center"/>
        </w:trPr>
        <w:tc>
          <w:tcPr>
            <w:tcW w:w="6123" w:type="dxa"/>
            <w:tcBorders>
              <w:top w:val="nil"/>
              <w:left w:val="nil"/>
              <w:bottom w:val="nil"/>
              <w:right w:val="nil"/>
            </w:tcBorders>
            <w:shd w:val="clear" w:color="000000" w:fill="FFFFFF"/>
            <w:vAlign w:val="bottom"/>
            <w:hideMark/>
          </w:tcPr>
          <w:p w14:paraId="074DBBDA" w14:textId="77777777" w:rsidR="00051D7E" w:rsidRPr="00875AA0" w:rsidRDefault="00051D7E" w:rsidP="007531FB">
            <w:pPr>
              <w:rPr>
                <w:rFonts w:ascii="Calibri" w:eastAsia="Times New Roman" w:hAnsi="Calibri" w:cs="Calibri"/>
                <w:color w:val="0D0D0D"/>
              </w:rPr>
            </w:pPr>
            <w:r w:rsidRPr="00875AA0">
              <w:rPr>
                <w:rFonts w:ascii="Calibri" w:eastAsia="Times New Roman" w:hAnsi="Calibri" w:cs="Calibri"/>
                <w:color w:val="0D0D0D"/>
              </w:rPr>
              <w:t>Contributions as a percentage of covered payroll</w:t>
            </w:r>
          </w:p>
        </w:tc>
        <w:tc>
          <w:tcPr>
            <w:tcW w:w="1437" w:type="dxa"/>
            <w:tcBorders>
              <w:top w:val="nil"/>
              <w:left w:val="nil"/>
              <w:bottom w:val="nil"/>
              <w:right w:val="nil"/>
            </w:tcBorders>
            <w:shd w:val="clear" w:color="000000" w:fill="FFFFFF"/>
            <w:noWrap/>
            <w:vAlign w:val="bottom"/>
            <w:hideMark/>
          </w:tcPr>
          <w:p w14:paraId="4C2C3CA9" w14:textId="77777777" w:rsidR="00051D7E" w:rsidRPr="00875AA0" w:rsidRDefault="00051D7E" w:rsidP="007531FB">
            <w:pPr>
              <w:ind w:firstLineChars="100" w:firstLine="220"/>
              <w:jc w:val="right"/>
              <w:rPr>
                <w:rFonts w:ascii="Calibri" w:eastAsia="Times New Roman" w:hAnsi="Calibri" w:cs="Calibri"/>
                <w:color w:val="0D0D0D"/>
              </w:rPr>
            </w:pPr>
            <w:r>
              <w:rPr>
                <w:rFonts w:ascii="Calibri" w:eastAsia="Times New Roman" w:hAnsi="Calibri" w:cs="Calibri"/>
                <w:color w:val="0D0D0D"/>
              </w:rPr>
              <w:t>1396.00</w:t>
            </w:r>
            <w:r w:rsidRPr="00875AA0">
              <w:rPr>
                <w:rFonts w:ascii="Calibri" w:eastAsia="Times New Roman" w:hAnsi="Calibri" w:cs="Calibri"/>
                <w:color w:val="0D0D0D"/>
              </w:rPr>
              <w:t>%</w:t>
            </w:r>
          </w:p>
        </w:tc>
        <w:tc>
          <w:tcPr>
            <w:tcW w:w="1530" w:type="dxa"/>
            <w:tcBorders>
              <w:top w:val="nil"/>
              <w:left w:val="nil"/>
              <w:bottom w:val="nil"/>
              <w:right w:val="nil"/>
            </w:tcBorders>
            <w:shd w:val="clear" w:color="auto" w:fill="D9D9D9" w:themeFill="background1" w:themeFillShade="D9"/>
            <w:noWrap/>
            <w:vAlign w:val="bottom"/>
          </w:tcPr>
          <w:p w14:paraId="58200E83" w14:textId="77777777" w:rsidR="00051D7E" w:rsidRPr="00875AA0" w:rsidRDefault="00051D7E" w:rsidP="007531FB">
            <w:pPr>
              <w:jc w:val="right"/>
              <w:rPr>
                <w:rFonts w:ascii="Calibri" w:eastAsia="Times New Roman" w:hAnsi="Calibri" w:cs="Calibri"/>
                <w:color w:val="0D0D0D"/>
              </w:rPr>
            </w:pPr>
            <w:r w:rsidRPr="00875AA0">
              <w:rPr>
                <w:rFonts w:ascii="Calibri" w:eastAsia="Times New Roman" w:hAnsi="Calibri" w:cs="Calibri"/>
                <w:color w:val="0D0D0D"/>
              </w:rPr>
              <w:t>1322.06%</w:t>
            </w:r>
          </w:p>
        </w:tc>
      </w:tr>
      <w:tr w:rsidR="00051D7E" w:rsidRPr="00875AA0" w14:paraId="6237FB0E" w14:textId="77777777" w:rsidTr="007531FB">
        <w:trPr>
          <w:trHeight w:val="90"/>
          <w:jc w:val="center"/>
        </w:trPr>
        <w:tc>
          <w:tcPr>
            <w:tcW w:w="6123" w:type="dxa"/>
            <w:tcBorders>
              <w:top w:val="nil"/>
              <w:left w:val="nil"/>
              <w:bottom w:val="nil"/>
              <w:right w:val="nil"/>
            </w:tcBorders>
            <w:shd w:val="clear" w:color="000000" w:fill="FFFFFF"/>
            <w:noWrap/>
            <w:vAlign w:val="bottom"/>
            <w:hideMark/>
          </w:tcPr>
          <w:p w14:paraId="17D201EF" w14:textId="77777777" w:rsidR="00051D7E" w:rsidRPr="00875AA0" w:rsidRDefault="00051D7E" w:rsidP="007531FB">
            <w:pPr>
              <w:rPr>
                <w:rFonts w:ascii="Calibri" w:eastAsia="Times New Roman" w:hAnsi="Calibri" w:cs="Calibri"/>
                <w:color w:val="0D0D0D"/>
              </w:rPr>
            </w:pPr>
            <w:r w:rsidRPr="00875AA0">
              <w:rPr>
                <w:rFonts w:ascii="Calibri" w:eastAsia="Times New Roman" w:hAnsi="Calibri" w:cs="Calibri"/>
                <w:color w:val="0D0D0D"/>
              </w:rPr>
              <w:t>Plan assets measured at fair value</w:t>
            </w:r>
          </w:p>
        </w:tc>
        <w:tc>
          <w:tcPr>
            <w:tcW w:w="1437" w:type="dxa"/>
            <w:tcBorders>
              <w:top w:val="nil"/>
              <w:left w:val="nil"/>
              <w:bottom w:val="nil"/>
              <w:right w:val="nil"/>
            </w:tcBorders>
            <w:shd w:val="clear" w:color="000000" w:fill="FFFFFF"/>
            <w:noWrap/>
            <w:vAlign w:val="bottom"/>
            <w:hideMark/>
          </w:tcPr>
          <w:p w14:paraId="6EA0F35B" w14:textId="77777777" w:rsidR="00051D7E" w:rsidRPr="00875AA0" w:rsidRDefault="00051D7E" w:rsidP="007531FB">
            <w:pPr>
              <w:ind w:firstLineChars="100" w:firstLine="220"/>
              <w:jc w:val="right"/>
              <w:rPr>
                <w:rFonts w:ascii="Calibri" w:eastAsia="Times New Roman" w:hAnsi="Calibri" w:cs="Calibri"/>
                <w:color w:val="0D0D0D"/>
              </w:rPr>
            </w:pPr>
            <w:r w:rsidRPr="00875AA0">
              <w:rPr>
                <w:rFonts w:ascii="Calibri" w:eastAsia="Times New Roman" w:hAnsi="Calibri" w:cs="Calibri"/>
                <w:color w:val="0D0D0D"/>
              </w:rPr>
              <w:t xml:space="preserve">$    </w:t>
            </w:r>
            <w:r>
              <w:rPr>
                <w:rFonts w:ascii="Calibri" w:eastAsia="Times New Roman" w:hAnsi="Calibri" w:cs="Calibri"/>
                <w:color w:val="0D0D0D"/>
              </w:rPr>
              <w:t>25,291</w:t>
            </w:r>
          </w:p>
        </w:tc>
        <w:tc>
          <w:tcPr>
            <w:tcW w:w="1530" w:type="dxa"/>
            <w:tcBorders>
              <w:top w:val="nil"/>
              <w:left w:val="nil"/>
              <w:bottom w:val="nil"/>
              <w:right w:val="nil"/>
            </w:tcBorders>
            <w:shd w:val="clear" w:color="auto" w:fill="D9D9D9" w:themeFill="background1" w:themeFillShade="D9"/>
            <w:noWrap/>
            <w:vAlign w:val="bottom"/>
          </w:tcPr>
          <w:p w14:paraId="2FA4D97A" w14:textId="77777777" w:rsidR="00051D7E" w:rsidRPr="00875AA0" w:rsidRDefault="00051D7E" w:rsidP="007531FB">
            <w:pPr>
              <w:ind w:firstLineChars="100" w:firstLine="220"/>
              <w:jc w:val="right"/>
              <w:rPr>
                <w:rFonts w:ascii="Calibri" w:eastAsia="Times New Roman" w:hAnsi="Calibri" w:cs="Calibri"/>
                <w:color w:val="0D0D0D"/>
              </w:rPr>
            </w:pPr>
            <w:r w:rsidRPr="00875AA0">
              <w:rPr>
                <w:rFonts w:ascii="Calibri" w:eastAsia="Times New Roman" w:hAnsi="Calibri" w:cs="Calibri"/>
                <w:color w:val="0D0D0D"/>
              </w:rPr>
              <w:t>$    24,609</w:t>
            </w:r>
          </w:p>
        </w:tc>
      </w:tr>
    </w:tbl>
    <w:p w14:paraId="18A72AD8" w14:textId="77777777" w:rsidR="00051D7E" w:rsidRDefault="00051D7E" w:rsidP="00051D7E">
      <w:pPr>
        <w:pStyle w:val="AFR3"/>
        <w:spacing w:after="160"/>
        <w:rPr>
          <w:rFonts w:cstheme="minorHAnsi"/>
        </w:rPr>
      </w:pPr>
      <w:r>
        <w:rPr>
          <w:rFonts w:cstheme="minorHAnsi"/>
        </w:rPr>
        <w:br w:type="page"/>
      </w:r>
    </w:p>
    <w:p w14:paraId="60236361" w14:textId="77777777" w:rsidR="00051D7E" w:rsidRPr="00F54559" w:rsidRDefault="00051D7E" w:rsidP="00051D7E">
      <w:pPr>
        <w:pStyle w:val="AFR3"/>
        <w:spacing w:after="160"/>
        <w:rPr>
          <w:rFonts w:eastAsiaTheme="majorEastAsia" w:cstheme="minorHAnsi"/>
          <w:iCs/>
          <w:smallCaps/>
          <w:noProof/>
          <w:color w:val="000000" w:themeColor="text1"/>
          <w:szCs w:val="26"/>
          <w:u w:val="none" w:color="5B9BD5"/>
        </w:rPr>
      </w:pPr>
      <w:r w:rsidRPr="00F54559">
        <w:rPr>
          <w:rFonts w:eastAsiaTheme="majorEastAsia" w:cstheme="minorHAnsi"/>
          <w:iCs/>
          <w:smallCaps/>
          <w:noProof/>
          <w:color w:val="000000" w:themeColor="text1"/>
          <w:szCs w:val="26"/>
          <w:u w:val="none" w:color="5B9BD5"/>
        </w:rPr>
        <w:lastRenderedPageBreak/>
        <w:t>13. PENSION PLANS  - CONTINUED</w:t>
      </w:r>
    </w:p>
    <w:p w14:paraId="48A861F2" w14:textId="77777777" w:rsidR="00051D7E" w:rsidRPr="00F54559" w:rsidRDefault="00051D7E" w:rsidP="00051D7E">
      <w:pPr>
        <w:pStyle w:val="AFR3"/>
        <w:rPr>
          <w:rFonts w:cstheme="minorHAnsi"/>
        </w:rPr>
      </w:pPr>
      <w:r w:rsidRPr="00F54559">
        <w:rPr>
          <w:rFonts w:cstheme="minorHAnsi"/>
        </w:rPr>
        <w:t>e. Funding of Basic and Defined Benefit Plans – Classified Employees</w:t>
      </w:r>
    </w:p>
    <w:p w14:paraId="7EC2555B" w14:textId="77777777" w:rsidR="00051D7E" w:rsidRPr="00F54559" w:rsidRDefault="00051D7E" w:rsidP="00051D7E">
      <w:pPr>
        <w:tabs>
          <w:tab w:val="left" w:pos="1440"/>
          <w:tab w:val="right" w:pos="4262"/>
          <w:tab w:val="right" w:pos="5220"/>
          <w:tab w:val="right" w:pos="6691"/>
          <w:tab w:val="right" w:pos="7621"/>
          <w:tab w:val="right" w:pos="9187"/>
        </w:tabs>
        <w:suppressAutoHyphens/>
        <w:rPr>
          <w:rFonts w:eastAsia="Times New Roman" w:cstheme="minorHAnsi"/>
          <w:bCs/>
          <w:spacing w:val="-3"/>
          <w:sz w:val="24"/>
          <w:szCs w:val="24"/>
        </w:rPr>
      </w:pPr>
      <w:r w:rsidRPr="00F54559">
        <w:rPr>
          <w:rFonts w:eastAsia="Times New Roman" w:cstheme="minorHAnsi"/>
          <w:bCs/>
          <w:spacing w:val="-3"/>
          <w:sz w:val="24"/>
        </w:rPr>
        <w:t>While the Basic Plan and Defined Benefit Plan are administratively separate, they are both part of the Retirement Plan for Classified Employees and are covered by the same plan document.  In accordance with Section 414(k) of the Internal Revenue Code, the System may elect to fund employer contributions to the Basic Plan and ORSP from any excess assets in the Defined Benefit Plan, subject to certain limitations</w:t>
      </w:r>
      <w:r w:rsidRPr="00F54559">
        <w:rPr>
          <w:rFonts w:eastAsia="Times New Roman" w:cstheme="minorHAnsi"/>
          <w:bCs/>
          <w:spacing w:val="-3"/>
          <w:sz w:val="24"/>
          <w:szCs w:val="24"/>
        </w:rPr>
        <w:t>.</w:t>
      </w:r>
    </w:p>
    <w:p w14:paraId="0051791A" w14:textId="77777777" w:rsidR="00051D7E" w:rsidRPr="00F54559" w:rsidRDefault="00051D7E" w:rsidP="00051D7E">
      <w:pPr>
        <w:pStyle w:val="AFR2"/>
        <w:rPr>
          <w:rFonts w:cstheme="minorHAnsi"/>
          <w:sz w:val="26"/>
          <w:szCs w:val="26"/>
        </w:rPr>
      </w:pPr>
      <w:r w:rsidRPr="00F54559">
        <w:rPr>
          <w:rFonts w:cstheme="minorHAnsi"/>
          <w:sz w:val="26"/>
          <w:szCs w:val="26"/>
        </w:rPr>
        <w:t>14. POSTEMPLOYMENT HEALTH PLAN</w:t>
      </w:r>
    </w:p>
    <w:p w14:paraId="509F836E" w14:textId="77777777" w:rsidR="00051D7E" w:rsidRPr="00F54559" w:rsidRDefault="00051D7E" w:rsidP="00051D7E">
      <w:pPr>
        <w:tabs>
          <w:tab w:val="left" w:pos="900"/>
          <w:tab w:val="left" w:pos="10260"/>
        </w:tabs>
        <w:spacing w:after="160"/>
        <w:rPr>
          <w:rFonts w:cstheme="minorHAnsi"/>
          <w:sz w:val="24"/>
        </w:rPr>
      </w:pPr>
      <w:r w:rsidRPr="00F54559">
        <w:rPr>
          <w:rFonts w:eastAsia="Times New Roman" w:cstheme="minorHAnsi"/>
          <w:b/>
          <w:sz w:val="26"/>
          <w:szCs w:val="26"/>
        </w:rPr>
        <w:t>Plan Description</w:t>
      </w:r>
    </w:p>
    <w:p w14:paraId="1281FA84" w14:textId="77777777" w:rsidR="00051D7E" w:rsidRPr="00F54559" w:rsidRDefault="00051D7E" w:rsidP="00051D7E">
      <w:pPr>
        <w:tabs>
          <w:tab w:val="left" w:pos="900"/>
          <w:tab w:val="left" w:pos="10260"/>
        </w:tabs>
        <w:rPr>
          <w:rFonts w:cstheme="minorHAnsi"/>
          <w:sz w:val="24"/>
        </w:rPr>
      </w:pPr>
      <w:r w:rsidRPr="00F54559">
        <w:rPr>
          <w:rFonts w:eastAsia="Franklin Gothic Book" w:cstheme="minorHAnsi"/>
          <w:b/>
          <w:i/>
          <w:sz w:val="24"/>
        </w:rPr>
        <w:t>Plan Administration:</w:t>
      </w:r>
      <w:r w:rsidRPr="00F54559">
        <w:rPr>
          <w:rFonts w:cstheme="minorHAnsi"/>
          <w:sz w:val="24"/>
        </w:rPr>
        <w:t xml:space="preserve">  The Other Postemployment Benefits (OPEB) Health Plan (“OPEB Plan”) is a defined benefit, single employer plan, administered by the System. The OPEB Plan does not produce standalone financial statements.  Within certain limits, the Board of Trustees has authority to establish and amend provisions under the Plan for retirees. This authority is subject to collective bargaining agreements for active employees.</w:t>
      </w:r>
    </w:p>
    <w:p w14:paraId="1F745CDE" w14:textId="77777777" w:rsidR="00051D7E" w:rsidRPr="00F54559" w:rsidRDefault="00051D7E" w:rsidP="00051D7E">
      <w:pPr>
        <w:tabs>
          <w:tab w:val="left" w:pos="900"/>
          <w:tab w:val="left" w:pos="10260"/>
        </w:tabs>
        <w:rPr>
          <w:rFonts w:cstheme="minorHAnsi"/>
          <w:sz w:val="24"/>
        </w:rPr>
      </w:pPr>
    </w:p>
    <w:p w14:paraId="4E1B6BFE" w14:textId="6B1B3C82" w:rsidR="00051D7E" w:rsidRPr="00F54559" w:rsidRDefault="00051D7E" w:rsidP="00051D7E">
      <w:pPr>
        <w:tabs>
          <w:tab w:val="left" w:pos="900"/>
          <w:tab w:val="left" w:pos="10260"/>
        </w:tabs>
        <w:rPr>
          <w:rFonts w:cstheme="minorHAnsi"/>
          <w:sz w:val="24"/>
          <w:szCs w:val="24"/>
        </w:rPr>
      </w:pPr>
      <w:r w:rsidRPr="00F54559">
        <w:rPr>
          <w:rFonts w:eastAsia="Franklin Gothic Book" w:cstheme="minorHAnsi"/>
          <w:b/>
          <w:i/>
          <w:sz w:val="24"/>
        </w:rPr>
        <w:t>Plan Benefits:</w:t>
      </w:r>
      <w:r w:rsidRPr="00F54559">
        <w:rPr>
          <w:rFonts w:cstheme="minorHAnsi"/>
          <w:sz w:val="24"/>
        </w:rPr>
        <w:t xml:space="preserve">  System retirees at or above the normal retirement age of 65 with at least ten years of continuous full-time regular university service immediately prior to retirement, and who are in the System health plan upon retirement, are eligible for </w:t>
      </w:r>
      <w:r w:rsidR="000438AF">
        <w:rPr>
          <w:rFonts w:cstheme="minorHAnsi"/>
          <w:sz w:val="24"/>
        </w:rPr>
        <w:t>post-retirement</w:t>
      </w:r>
      <w:r w:rsidR="00F13B5F">
        <w:rPr>
          <w:rFonts w:cstheme="minorHAnsi"/>
          <w:sz w:val="24"/>
        </w:rPr>
        <w:t xml:space="preserve"> </w:t>
      </w:r>
      <w:r w:rsidRPr="00F54559">
        <w:rPr>
          <w:rFonts w:cstheme="minorHAnsi"/>
          <w:sz w:val="24"/>
        </w:rPr>
        <w:t xml:space="preserve">health coverage. This coverage is also extended to </w:t>
      </w:r>
      <w:r w:rsidRPr="00F54559">
        <w:rPr>
          <w:rFonts w:cstheme="minorHAnsi"/>
          <w:sz w:val="24"/>
          <w:szCs w:val="24"/>
        </w:rPr>
        <w:t xml:space="preserve">those former </w:t>
      </w:r>
      <w:r w:rsidR="00F13B5F">
        <w:rPr>
          <w:rFonts w:cstheme="minorHAnsi"/>
          <w:sz w:val="24"/>
          <w:szCs w:val="24"/>
        </w:rPr>
        <w:t xml:space="preserve">eligible </w:t>
      </w:r>
      <w:r w:rsidRPr="00F54559">
        <w:rPr>
          <w:rFonts w:cstheme="minorHAnsi"/>
          <w:sz w:val="24"/>
          <w:szCs w:val="24"/>
        </w:rPr>
        <w:t xml:space="preserve">employees </w:t>
      </w:r>
      <w:r w:rsidR="00F13B5F">
        <w:rPr>
          <w:rFonts w:cstheme="minorHAnsi"/>
          <w:sz w:val="24"/>
          <w:szCs w:val="24"/>
        </w:rPr>
        <w:t xml:space="preserve">who </w:t>
      </w:r>
      <w:r w:rsidRPr="00F54559">
        <w:rPr>
          <w:rFonts w:cstheme="minorHAnsi"/>
          <w:sz w:val="24"/>
          <w:szCs w:val="24"/>
        </w:rPr>
        <w:t>receiv</w:t>
      </w:r>
      <w:r w:rsidR="00F13B5F">
        <w:rPr>
          <w:rFonts w:cstheme="minorHAnsi"/>
          <w:sz w:val="24"/>
          <w:szCs w:val="24"/>
        </w:rPr>
        <w:t>e</w:t>
      </w:r>
      <w:r w:rsidRPr="00F54559">
        <w:rPr>
          <w:rFonts w:cstheme="minorHAnsi"/>
          <w:sz w:val="24"/>
          <w:szCs w:val="24"/>
        </w:rPr>
        <w:t xml:space="preserve"> benefits under the System’s long-term disability (LTD) insurance and to widows/widowers of university employees and retirees. Employees who retire on or after April 1, 2008 and former employees receiving LTD benefits will have a one-time election to cease coverage under the System health plan and later reenroll for coverage provided continuous coverage is documented.</w:t>
      </w:r>
    </w:p>
    <w:p w14:paraId="0D0AC3B9" w14:textId="77777777" w:rsidR="00051D7E" w:rsidRPr="00F54559" w:rsidRDefault="00051D7E" w:rsidP="00051D7E">
      <w:pPr>
        <w:tabs>
          <w:tab w:val="left" w:pos="900"/>
          <w:tab w:val="left" w:pos="10260"/>
        </w:tabs>
        <w:rPr>
          <w:rFonts w:cstheme="minorHAnsi"/>
          <w:sz w:val="24"/>
          <w:szCs w:val="24"/>
        </w:rPr>
      </w:pPr>
    </w:p>
    <w:p w14:paraId="71033884" w14:textId="16A6C7A5" w:rsidR="00051D7E" w:rsidRPr="00F54559" w:rsidRDefault="00051D7E" w:rsidP="00051D7E">
      <w:pPr>
        <w:tabs>
          <w:tab w:val="left" w:pos="900"/>
          <w:tab w:val="left" w:pos="10260"/>
        </w:tabs>
        <w:spacing w:after="240"/>
        <w:rPr>
          <w:rFonts w:cstheme="minorHAnsi"/>
          <w:sz w:val="24"/>
          <w:szCs w:val="24"/>
        </w:rPr>
      </w:pPr>
      <w:r w:rsidRPr="00F54559">
        <w:rPr>
          <w:rFonts w:cstheme="minorHAnsi"/>
          <w:sz w:val="24"/>
          <w:szCs w:val="24"/>
        </w:rPr>
        <w:t>The System</w:t>
      </w:r>
      <w:r w:rsidR="00D73E12">
        <w:rPr>
          <w:rFonts w:cstheme="minorHAnsi"/>
          <w:sz w:val="24"/>
          <w:szCs w:val="24"/>
        </w:rPr>
        <w:t xml:space="preserve"> Medicare </w:t>
      </w:r>
      <w:r w:rsidR="00DF2485">
        <w:rPr>
          <w:rFonts w:cstheme="minorHAnsi"/>
          <w:sz w:val="24"/>
          <w:szCs w:val="24"/>
        </w:rPr>
        <w:t>e</w:t>
      </w:r>
      <w:r w:rsidR="00D73E12">
        <w:rPr>
          <w:rFonts w:cstheme="minorHAnsi"/>
          <w:sz w:val="24"/>
          <w:szCs w:val="24"/>
        </w:rPr>
        <w:t xml:space="preserve">ligible retiree health plan options include a Medicare </w:t>
      </w:r>
      <w:r w:rsidR="007317C6">
        <w:rPr>
          <w:rFonts w:cstheme="minorHAnsi"/>
          <w:sz w:val="24"/>
          <w:szCs w:val="24"/>
        </w:rPr>
        <w:t xml:space="preserve">Exchange </w:t>
      </w:r>
      <w:r w:rsidR="00D73E12">
        <w:rPr>
          <w:rFonts w:cstheme="minorHAnsi"/>
          <w:sz w:val="24"/>
          <w:szCs w:val="24"/>
        </w:rPr>
        <w:t xml:space="preserve">program </w:t>
      </w:r>
      <w:r w:rsidR="00DF2485">
        <w:rPr>
          <w:rFonts w:cstheme="minorHAnsi"/>
          <w:sz w:val="24"/>
          <w:szCs w:val="24"/>
        </w:rPr>
        <w:t xml:space="preserve">with an HRA </w:t>
      </w:r>
      <w:r w:rsidR="00D73E12">
        <w:rPr>
          <w:rFonts w:cstheme="minorHAnsi"/>
          <w:sz w:val="24"/>
          <w:szCs w:val="24"/>
        </w:rPr>
        <w:t xml:space="preserve">and </w:t>
      </w:r>
      <w:r w:rsidR="00DF2485">
        <w:rPr>
          <w:rFonts w:cstheme="minorHAnsi"/>
          <w:sz w:val="24"/>
          <w:szCs w:val="24"/>
        </w:rPr>
        <w:t>a</w:t>
      </w:r>
      <w:r w:rsidR="00D73E12">
        <w:rPr>
          <w:rFonts w:cstheme="minorHAnsi"/>
          <w:sz w:val="24"/>
          <w:szCs w:val="24"/>
        </w:rPr>
        <w:t xml:space="preserve"> group health </w:t>
      </w:r>
      <w:r w:rsidR="00DF2485">
        <w:rPr>
          <w:rFonts w:cstheme="minorHAnsi"/>
          <w:sz w:val="24"/>
          <w:szCs w:val="24"/>
        </w:rPr>
        <w:t xml:space="preserve">plan which </w:t>
      </w:r>
      <w:r w:rsidRPr="00F54559">
        <w:rPr>
          <w:rFonts w:cstheme="minorHAnsi"/>
          <w:sz w:val="24"/>
          <w:szCs w:val="24"/>
        </w:rPr>
        <w:t>subsidizes the cost of insurance for eligible persons who are retired from the System and have reached age 65</w:t>
      </w:r>
      <w:r w:rsidR="00DB5480">
        <w:rPr>
          <w:rFonts w:cstheme="minorHAnsi"/>
          <w:sz w:val="24"/>
          <w:szCs w:val="24"/>
        </w:rPr>
        <w:t>, who are</w:t>
      </w:r>
      <w:r w:rsidR="00B1489D">
        <w:rPr>
          <w:rFonts w:cstheme="minorHAnsi"/>
          <w:sz w:val="24"/>
          <w:szCs w:val="24"/>
        </w:rPr>
        <w:t xml:space="preserve"> </w:t>
      </w:r>
      <w:r w:rsidR="00DB5480">
        <w:rPr>
          <w:rFonts w:cstheme="minorHAnsi"/>
          <w:sz w:val="24"/>
          <w:szCs w:val="24"/>
        </w:rPr>
        <w:t>under age 65</w:t>
      </w:r>
      <w:r w:rsidR="00B1489D">
        <w:rPr>
          <w:rFonts w:cstheme="minorHAnsi"/>
          <w:sz w:val="24"/>
          <w:szCs w:val="24"/>
        </w:rPr>
        <w:t xml:space="preserve"> </w:t>
      </w:r>
      <w:r w:rsidR="00DB5480">
        <w:rPr>
          <w:rFonts w:cstheme="minorHAnsi"/>
          <w:sz w:val="24"/>
          <w:szCs w:val="24"/>
        </w:rPr>
        <w:t>and</w:t>
      </w:r>
      <w:r w:rsidR="00B1489D">
        <w:rPr>
          <w:rFonts w:cstheme="minorHAnsi"/>
          <w:sz w:val="24"/>
          <w:szCs w:val="24"/>
        </w:rPr>
        <w:t xml:space="preserve"> are part of a special retirement incentive program, </w:t>
      </w:r>
      <w:r w:rsidRPr="00F54559">
        <w:rPr>
          <w:rFonts w:cstheme="minorHAnsi"/>
          <w:sz w:val="24"/>
          <w:szCs w:val="24"/>
        </w:rPr>
        <w:t>and</w:t>
      </w:r>
      <w:r w:rsidR="00DB5480">
        <w:rPr>
          <w:rFonts w:cstheme="minorHAnsi"/>
          <w:sz w:val="24"/>
          <w:szCs w:val="24"/>
        </w:rPr>
        <w:t xml:space="preserve"> who are </w:t>
      </w:r>
      <w:r w:rsidRPr="00F54559">
        <w:rPr>
          <w:rFonts w:cstheme="minorHAnsi"/>
          <w:sz w:val="24"/>
          <w:szCs w:val="24"/>
        </w:rPr>
        <w:t>former employees</w:t>
      </w:r>
      <w:r w:rsidR="00DB5480">
        <w:rPr>
          <w:rFonts w:cstheme="minorHAnsi"/>
          <w:sz w:val="24"/>
          <w:szCs w:val="24"/>
        </w:rPr>
        <w:t xml:space="preserve"> and </w:t>
      </w:r>
      <w:r w:rsidRPr="00F54559">
        <w:rPr>
          <w:rFonts w:cstheme="minorHAnsi"/>
          <w:sz w:val="24"/>
          <w:szCs w:val="24"/>
        </w:rPr>
        <w:t xml:space="preserve">approved for LTD benefits regardless of age or </w:t>
      </w:r>
      <w:r w:rsidR="00DB5480">
        <w:rPr>
          <w:rFonts w:cstheme="minorHAnsi"/>
          <w:sz w:val="24"/>
          <w:szCs w:val="24"/>
        </w:rPr>
        <w:t xml:space="preserve">years of </w:t>
      </w:r>
      <w:r w:rsidRPr="00F54559">
        <w:rPr>
          <w:rFonts w:cstheme="minorHAnsi"/>
          <w:sz w:val="24"/>
          <w:szCs w:val="24"/>
        </w:rPr>
        <w:t>service</w:t>
      </w:r>
      <w:r w:rsidR="00DB5480">
        <w:rPr>
          <w:rFonts w:cstheme="minorHAnsi"/>
          <w:sz w:val="24"/>
          <w:szCs w:val="24"/>
        </w:rPr>
        <w:t xml:space="preserve">. </w:t>
      </w:r>
      <w:r w:rsidR="00B1489D">
        <w:rPr>
          <w:rFonts w:cstheme="minorHAnsi"/>
          <w:sz w:val="24"/>
          <w:szCs w:val="24"/>
        </w:rPr>
        <w:t xml:space="preserve">The level of subsidy varies </w:t>
      </w:r>
      <w:r w:rsidR="00DB5480">
        <w:rPr>
          <w:rFonts w:cstheme="minorHAnsi"/>
          <w:sz w:val="24"/>
          <w:szCs w:val="24"/>
        </w:rPr>
        <w:t>with</w:t>
      </w:r>
      <w:r w:rsidR="00B1489D">
        <w:rPr>
          <w:rFonts w:cstheme="minorHAnsi"/>
          <w:sz w:val="24"/>
          <w:szCs w:val="24"/>
        </w:rPr>
        <w:t xml:space="preserve"> retirement date and years of </w:t>
      </w:r>
      <w:r w:rsidR="00DB5480">
        <w:rPr>
          <w:rFonts w:cstheme="minorHAnsi"/>
          <w:sz w:val="24"/>
          <w:szCs w:val="24"/>
        </w:rPr>
        <w:t>service</w:t>
      </w:r>
      <w:r w:rsidR="00B1489D">
        <w:rPr>
          <w:rFonts w:cstheme="minorHAnsi"/>
          <w:sz w:val="24"/>
          <w:szCs w:val="24"/>
        </w:rPr>
        <w:t>.</w:t>
      </w:r>
      <w:r w:rsidR="00DB5480">
        <w:rPr>
          <w:rFonts w:cstheme="minorHAnsi"/>
          <w:sz w:val="24"/>
          <w:szCs w:val="24"/>
        </w:rPr>
        <w:t xml:space="preserve"> The System also provides a subsidy for eligible </w:t>
      </w:r>
      <w:r w:rsidR="007317C6">
        <w:rPr>
          <w:rFonts w:cstheme="minorHAnsi"/>
          <w:sz w:val="24"/>
          <w:szCs w:val="24"/>
        </w:rPr>
        <w:t xml:space="preserve">spouses and </w:t>
      </w:r>
      <w:r w:rsidR="00DB5480">
        <w:rPr>
          <w:rFonts w:cstheme="minorHAnsi"/>
          <w:sz w:val="24"/>
          <w:szCs w:val="24"/>
        </w:rPr>
        <w:t xml:space="preserve">dependents. </w:t>
      </w:r>
      <w:r w:rsidR="00DB5480" w:rsidRPr="00F54559">
        <w:rPr>
          <w:rFonts w:cstheme="minorHAnsi"/>
          <w:sz w:val="24"/>
          <w:szCs w:val="24"/>
        </w:rPr>
        <w:t xml:space="preserve">With certain restrictions, </w:t>
      </w:r>
      <w:r w:rsidR="007317C6">
        <w:rPr>
          <w:rFonts w:cstheme="minorHAnsi"/>
          <w:sz w:val="24"/>
          <w:szCs w:val="24"/>
        </w:rPr>
        <w:t xml:space="preserve">spouses and </w:t>
      </w:r>
      <w:r w:rsidR="00DB5480" w:rsidRPr="00F54559">
        <w:rPr>
          <w:rFonts w:cstheme="minorHAnsi"/>
          <w:sz w:val="24"/>
          <w:szCs w:val="24"/>
        </w:rPr>
        <w:t>dependents are eligible to continue coverage after the death of a retiree meeting the above criteria.</w:t>
      </w:r>
    </w:p>
    <w:p w14:paraId="6DDCF13B" w14:textId="607BA346" w:rsidR="00051D7E" w:rsidRPr="00F54559" w:rsidRDefault="00051D7E" w:rsidP="00051D7E">
      <w:pPr>
        <w:tabs>
          <w:tab w:val="left" w:pos="900"/>
        </w:tabs>
        <w:ind w:right="-7"/>
        <w:rPr>
          <w:rFonts w:cstheme="minorHAnsi"/>
          <w:sz w:val="24"/>
        </w:rPr>
      </w:pPr>
      <w:r w:rsidRPr="00F54559">
        <w:rPr>
          <w:rFonts w:cstheme="minorHAnsi"/>
          <w:sz w:val="24"/>
        </w:rPr>
        <w:t>Persons eligible for a subsidy from the System may not convert their benefit into an in-lieu-of payment to secure coverage under independent plans.</w:t>
      </w:r>
    </w:p>
    <w:p w14:paraId="501F66A9" w14:textId="77777777" w:rsidR="00051D7E" w:rsidRPr="00735A4C" w:rsidRDefault="00051D7E" w:rsidP="00051D7E">
      <w:pPr>
        <w:tabs>
          <w:tab w:val="left" w:pos="900"/>
        </w:tabs>
        <w:rPr>
          <w:rFonts w:cstheme="minorHAnsi"/>
          <w:sz w:val="20"/>
          <w:szCs w:val="20"/>
        </w:rPr>
      </w:pPr>
    </w:p>
    <w:p w14:paraId="5FB22F8B" w14:textId="48029A68" w:rsidR="00051D7E" w:rsidRDefault="00051D7E" w:rsidP="00051D7E">
      <w:pPr>
        <w:tabs>
          <w:tab w:val="left" w:pos="900"/>
        </w:tabs>
        <w:ind w:right="-7"/>
        <w:rPr>
          <w:rFonts w:cstheme="minorHAnsi"/>
          <w:sz w:val="24"/>
        </w:rPr>
      </w:pPr>
      <w:r w:rsidRPr="00F54559">
        <w:rPr>
          <w:rFonts w:cstheme="minorHAnsi"/>
          <w:sz w:val="24"/>
        </w:rPr>
        <w:t xml:space="preserve">The System’s OPEB </w:t>
      </w:r>
      <w:r>
        <w:rPr>
          <w:rFonts w:cstheme="minorHAnsi"/>
          <w:sz w:val="24"/>
        </w:rPr>
        <w:t>(income)/</w:t>
      </w:r>
      <w:r w:rsidRPr="00F54559">
        <w:rPr>
          <w:rFonts w:cstheme="minorHAnsi"/>
          <w:sz w:val="24"/>
        </w:rPr>
        <w:t>expense for June 30, 20</w:t>
      </w:r>
      <w:r>
        <w:rPr>
          <w:rFonts w:cstheme="minorHAnsi"/>
          <w:sz w:val="24"/>
        </w:rPr>
        <w:t>21</w:t>
      </w:r>
      <w:r w:rsidRPr="00F54559">
        <w:rPr>
          <w:rFonts w:cstheme="minorHAnsi"/>
          <w:sz w:val="24"/>
        </w:rPr>
        <w:t xml:space="preserve"> and 20</w:t>
      </w:r>
      <w:r>
        <w:rPr>
          <w:rFonts w:cstheme="minorHAnsi"/>
          <w:sz w:val="24"/>
        </w:rPr>
        <w:t>20</w:t>
      </w:r>
      <w:r w:rsidRPr="00F54559">
        <w:rPr>
          <w:rFonts w:cstheme="minorHAnsi"/>
          <w:sz w:val="24"/>
        </w:rPr>
        <w:t xml:space="preserve"> </w:t>
      </w:r>
      <w:r w:rsidRPr="001D4991">
        <w:rPr>
          <w:rFonts w:cstheme="minorHAnsi"/>
          <w:sz w:val="24"/>
        </w:rPr>
        <w:t>was $</w:t>
      </w:r>
      <w:r>
        <w:rPr>
          <w:rFonts w:cstheme="minorHAnsi"/>
          <w:sz w:val="24"/>
        </w:rPr>
        <w:t>(</w:t>
      </w:r>
      <w:r w:rsidRPr="001D4991">
        <w:rPr>
          <w:rFonts w:cstheme="minorHAnsi"/>
          <w:sz w:val="24"/>
        </w:rPr>
        <w:t xml:space="preserve">46,390) </w:t>
      </w:r>
      <w:r w:rsidRPr="00F54559">
        <w:rPr>
          <w:rFonts w:cstheme="minorHAnsi"/>
          <w:sz w:val="24"/>
        </w:rPr>
        <w:t>and $</w:t>
      </w:r>
      <w:r>
        <w:rPr>
          <w:rFonts w:cstheme="minorHAnsi"/>
          <w:sz w:val="24"/>
        </w:rPr>
        <w:t>9,528</w:t>
      </w:r>
      <w:r w:rsidRPr="00F54559">
        <w:rPr>
          <w:rFonts w:cstheme="minorHAnsi"/>
          <w:sz w:val="24"/>
        </w:rPr>
        <w:t>, respectively.</w:t>
      </w:r>
    </w:p>
    <w:p w14:paraId="26EA5D20" w14:textId="77777777" w:rsidR="009629E8" w:rsidRPr="00F54559" w:rsidRDefault="009629E8" w:rsidP="00051D7E">
      <w:pPr>
        <w:tabs>
          <w:tab w:val="left" w:pos="900"/>
        </w:tabs>
        <w:ind w:right="-7"/>
        <w:rPr>
          <w:rFonts w:cstheme="minorHAnsi"/>
          <w:sz w:val="24"/>
        </w:rPr>
      </w:pPr>
    </w:p>
    <w:p w14:paraId="15D1142A" w14:textId="77777777" w:rsidR="009629E8" w:rsidRPr="00F54559" w:rsidRDefault="009629E8" w:rsidP="009629E8">
      <w:pPr>
        <w:spacing w:after="160" w:line="259" w:lineRule="auto"/>
        <w:rPr>
          <w:rFonts w:eastAsiaTheme="majorEastAsia" w:cstheme="minorHAnsi"/>
          <w:i/>
          <w:iCs/>
          <w:smallCaps/>
          <w:noProof/>
          <w:color w:val="000000" w:themeColor="text1"/>
          <w:szCs w:val="26"/>
          <w:u w:color="5B9BD5"/>
        </w:rPr>
      </w:pPr>
      <w:r w:rsidRPr="00F54559">
        <w:rPr>
          <w:rFonts w:eastAsiaTheme="majorEastAsia" w:cstheme="minorHAnsi"/>
          <w:b/>
          <w:i/>
          <w:iCs/>
          <w:smallCaps/>
          <w:noProof/>
          <w:color w:val="000000" w:themeColor="text1"/>
          <w:sz w:val="26"/>
          <w:szCs w:val="26"/>
          <w:u w:color="5B9BD5"/>
        </w:rPr>
        <w:lastRenderedPageBreak/>
        <w:t>14. POSTEMPLOYMENT HEALTH PLAN - CONTINUED</w:t>
      </w:r>
    </w:p>
    <w:p w14:paraId="395BD40A" w14:textId="77777777" w:rsidR="00051D7E" w:rsidRPr="00F54559" w:rsidRDefault="00051D7E" w:rsidP="00051D7E">
      <w:pPr>
        <w:tabs>
          <w:tab w:val="left" w:pos="900"/>
          <w:tab w:val="left" w:pos="10260"/>
        </w:tabs>
        <w:spacing w:after="240"/>
        <w:rPr>
          <w:rFonts w:cstheme="minorHAnsi"/>
          <w:sz w:val="24"/>
        </w:rPr>
      </w:pPr>
      <w:r w:rsidRPr="00F54559">
        <w:rPr>
          <w:rFonts w:eastAsia="Times New Roman" w:cstheme="minorHAnsi"/>
          <w:b/>
          <w:i/>
          <w:spacing w:val="-2"/>
          <w:sz w:val="24"/>
        </w:rPr>
        <w:t>Plan membership:</w:t>
      </w:r>
      <w:r w:rsidRPr="00F54559">
        <w:rPr>
          <w:rFonts w:eastAsia="Times New Roman" w:cstheme="minorHAnsi"/>
          <w:b/>
          <w:spacing w:val="-2"/>
          <w:sz w:val="24"/>
        </w:rPr>
        <w:t xml:space="preserve"> </w:t>
      </w:r>
      <w:r w:rsidRPr="00F54559">
        <w:rPr>
          <w:rFonts w:eastAsia="Times New Roman" w:cstheme="minorHAnsi"/>
          <w:spacing w:val="-2"/>
          <w:sz w:val="24"/>
        </w:rPr>
        <w:t>A</w:t>
      </w:r>
      <w:r w:rsidRPr="00F54559">
        <w:rPr>
          <w:rFonts w:eastAsia="Times New Roman" w:cstheme="minorHAnsi"/>
          <w:sz w:val="24"/>
        </w:rPr>
        <w:t>t</w:t>
      </w:r>
      <w:r w:rsidRPr="00F54559">
        <w:rPr>
          <w:rFonts w:eastAsia="Times New Roman" w:cstheme="minorHAnsi"/>
          <w:spacing w:val="-5"/>
          <w:sz w:val="24"/>
        </w:rPr>
        <w:t xml:space="preserve"> </w:t>
      </w:r>
      <w:r w:rsidRPr="00F54559">
        <w:rPr>
          <w:rFonts w:eastAsia="Times New Roman" w:cstheme="minorHAnsi"/>
          <w:sz w:val="24"/>
        </w:rPr>
        <w:t>June</w:t>
      </w:r>
      <w:r w:rsidRPr="00F54559">
        <w:rPr>
          <w:rFonts w:eastAsia="Times New Roman" w:cstheme="minorHAnsi"/>
          <w:spacing w:val="-7"/>
          <w:sz w:val="24"/>
        </w:rPr>
        <w:t xml:space="preserve"> </w:t>
      </w:r>
      <w:r w:rsidRPr="00F54559">
        <w:rPr>
          <w:rFonts w:eastAsia="Times New Roman" w:cstheme="minorHAnsi"/>
          <w:sz w:val="24"/>
        </w:rPr>
        <w:t xml:space="preserve">30, </w:t>
      </w:r>
      <w:r w:rsidRPr="00F54559">
        <w:rPr>
          <w:rFonts w:eastAsia="Times New Roman" w:cstheme="minorHAnsi"/>
          <w:spacing w:val="-1"/>
          <w:sz w:val="24"/>
        </w:rPr>
        <w:t>OPEB Plan</w:t>
      </w:r>
      <w:r w:rsidRPr="00F54559">
        <w:rPr>
          <w:rFonts w:eastAsia="Times New Roman" w:cstheme="minorHAnsi"/>
          <w:spacing w:val="-6"/>
          <w:sz w:val="24"/>
        </w:rPr>
        <w:t xml:space="preserve"> </w:t>
      </w:r>
      <w:r w:rsidRPr="00F54559">
        <w:rPr>
          <w:rFonts w:eastAsia="Times New Roman" w:cstheme="minorHAnsi"/>
          <w:sz w:val="24"/>
        </w:rPr>
        <w:t>mem</w:t>
      </w:r>
      <w:r w:rsidRPr="00F54559">
        <w:rPr>
          <w:rFonts w:eastAsia="Times New Roman" w:cstheme="minorHAnsi"/>
          <w:spacing w:val="1"/>
          <w:sz w:val="24"/>
        </w:rPr>
        <w:t>b</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pacing w:val="1"/>
          <w:sz w:val="24"/>
        </w:rPr>
        <w:t>s</w:t>
      </w:r>
      <w:r w:rsidRPr="00F54559">
        <w:rPr>
          <w:rFonts w:eastAsia="Times New Roman" w:cstheme="minorHAnsi"/>
          <w:sz w:val="24"/>
        </w:rPr>
        <w:t>hip</w:t>
      </w:r>
      <w:r w:rsidRPr="00F54559">
        <w:rPr>
          <w:rFonts w:eastAsia="Times New Roman" w:cstheme="minorHAnsi"/>
          <w:spacing w:val="-6"/>
          <w:sz w:val="24"/>
        </w:rPr>
        <w:t xml:space="preserve"> </w:t>
      </w:r>
      <w:r w:rsidRPr="00F54559">
        <w:rPr>
          <w:rFonts w:eastAsia="Times New Roman" w:cstheme="minorHAnsi"/>
          <w:sz w:val="24"/>
        </w:rPr>
        <w:t>consisted</w:t>
      </w:r>
      <w:r w:rsidRPr="00F54559">
        <w:rPr>
          <w:rFonts w:eastAsia="Times New Roman" w:cstheme="minorHAnsi"/>
          <w:spacing w:val="-6"/>
          <w:sz w:val="24"/>
        </w:rPr>
        <w:t xml:space="preserve"> </w:t>
      </w:r>
      <w:r w:rsidRPr="00F54559">
        <w:rPr>
          <w:rFonts w:eastAsia="Times New Roman" w:cstheme="minorHAnsi"/>
          <w:sz w:val="24"/>
        </w:rPr>
        <w:t>of</w:t>
      </w:r>
      <w:r w:rsidRPr="00F54559">
        <w:rPr>
          <w:rFonts w:eastAsia="Times New Roman" w:cstheme="minorHAnsi"/>
          <w:spacing w:val="-6"/>
          <w:sz w:val="24"/>
        </w:rPr>
        <w:t xml:space="preserve">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7"/>
          <w:sz w:val="24"/>
        </w:rPr>
        <w:t xml:space="preserve"> </w:t>
      </w:r>
      <w:r w:rsidRPr="00F54559">
        <w:rPr>
          <w:rFonts w:eastAsia="Times New Roman" w:cstheme="minorHAnsi"/>
          <w:sz w:val="24"/>
        </w:rPr>
        <w:t>fo</w:t>
      </w:r>
      <w:r w:rsidRPr="00F54559">
        <w:rPr>
          <w:rFonts w:eastAsia="Times New Roman" w:cstheme="minorHAnsi"/>
          <w:spacing w:val="-1"/>
          <w:sz w:val="24"/>
        </w:rPr>
        <w:t>l</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wing:</w:t>
      </w:r>
      <w:r>
        <w:rPr>
          <w:rFonts w:cstheme="minorHAnsi"/>
          <w:sz w:val="24"/>
        </w:rPr>
        <w:fldChar w:fldCharType="begin"/>
      </w:r>
      <w:r>
        <w:rPr>
          <w:rFonts w:cstheme="minorHAnsi"/>
          <w:sz w:val="24"/>
        </w:rPr>
        <w:fldChar w:fldCharType="end"/>
      </w:r>
    </w:p>
    <w:tbl>
      <w:tblPr>
        <w:tblW w:w="7914" w:type="dxa"/>
        <w:jc w:val="center"/>
        <w:tblLook w:val="04A0" w:firstRow="1" w:lastRow="0" w:firstColumn="1" w:lastColumn="0" w:noHBand="0" w:noVBand="1"/>
      </w:tblPr>
      <w:tblGrid>
        <w:gridCol w:w="6480"/>
        <w:gridCol w:w="717"/>
        <w:gridCol w:w="717"/>
      </w:tblGrid>
      <w:tr w:rsidR="00051D7E" w:rsidRPr="00875AA0" w14:paraId="69E27902" w14:textId="77777777" w:rsidTr="009014A7">
        <w:trPr>
          <w:trHeight w:val="522"/>
          <w:tblHeader/>
          <w:jc w:val="center"/>
        </w:trPr>
        <w:tc>
          <w:tcPr>
            <w:tcW w:w="6480" w:type="dxa"/>
            <w:tcBorders>
              <w:top w:val="nil"/>
              <w:left w:val="nil"/>
              <w:bottom w:val="single" w:sz="12" w:space="0" w:color="44546A"/>
              <w:right w:val="nil"/>
            </w:tcBorders>
            <w:shd w:val="clear" w:color="000000" w:fill="FFFFFF"/>
            <w:noWrap/>
            <w:vAlign w:val="bottom"/>
            <w:hideMark/>
          </w:tcPr>
          <w:p w14:paraId="12E26425" w14:textId="77777777" w:rsidR="00051D7E" w:rsidRPr="00875AA0" w:rsidRDefault="00051D7E" w:rsidP="007531FB">
            <w:pPr>
              <w:rPr>
                <w:rFonts w:ascii="Calibri" w:eastAsia="Times New Roman" w:hAnsi="Calibri" w:cs="Calibri"/>
                <w:b/>
                <w:bCs/>
                <w:color w:val="000000"/>
              </w:rPr>
            </w:pPr>
            <w:r w:rsidRPr="00875AA0">
              <w:rPr>
                <w:rFonts w:ascii="Calibri" w:eastAsia="Times New Roman" w:hAnsi="Calibri" w:cs="Calibri"/>
                <w:b/>
                <w:bCs/>
                <w:color w:val="000000"/>
              </w:rPr>
              <w:t> </w:t>
            </w:r>
          </w:p>
        </w:tc>
        <w:tc>
          <w:tcPr>
            <w:tcW w:w="717" w:type="dxa"/>
            <w:tcBorders>
              <w:top w:val="nil"/>
              <w:left w:val="nil"/>
              <w:bottom w:val="single" w:sz="12" w:space="0" w:color="44546A"/>
              <w:right w:val="nil"/>
            </w:tcBorders>
            <w:shd w:val="clear" w:color="000000" w:fill="FFFFFF"/>
            <w:noWrap/>
            <w:vAlign w:val="bottom"/>
            <w:hideMark/>
          </w:tcPr>
          <w:p w14:paraId="1228911F" w14:textId="257D84AE" w:rsidR="00051D7E" w:rsidRPr="00875AA0" w:rsidRDefault="00051D7E" w:rsidP="007531FB">
            <w:pPr>
              <w:jc w:val="center"/>
              <w:rPr>
                <w:rFonts w:ascii="Calibri" w:eastAsia="Times New Roman" w:hAnsi="Calibri" w:cs="Calibri"/>
                <w:b/>
                <w:bCs/>
                <w:color w:val="000000"/>
              </w:rPr>
            </w:pPr>
            <w:r>
              <w:rPr>
                <w:rFonts w:ascii="Calibri" w:eastAsia="Times New Roman" w:hAnsi="Calibri" w:cs="Calibri"/>
                <w:b/>
                <w:bCs/>
                <w:color w:val="000000"/>
              </w:rPr>
              <w:t xml:space="preserve"> </w:t>
            </w:r>
            <w:r w:rsidRPr="00875AA0">
              <w:rPr>
                <w:rFonts w:ascii="Calibri" w:eastAsia="Times New Roman" w:hAnsi="Calibri" w:cs="Calibri"/>
                <w:b/>
                <w:bCs/>
                <w:color w:val="000000"/>
              </w:rPr>
              <w:t>202</w:t>
            </w:r>
            <w:r>
              <w:rPr>
                <w:rFonts w:ascii="Calibri" w:eastAsia="Times New Roman" w:hAnsi="Calibri" w:cs="Calibri"/>
                <w:b/>
                <w:bCs/>
                <w:color w:val="000000"/>
              </w:rPr>
              <w:t>1</w:t>
            </w:r>
          </w:p>
        </w:tc>
        <w:tc>
          <w:tcPr>
            <w:tcW w:w="717" w:type="dxa"/>
            <w:tcBorders>
              <w:top w:val="nil"/>
              <w:left w:val="nil"/>
              <w:bottom w:val="single" w:sz="12" w:space="0" w:color="44546A"/>
              <w:right w:val="nil"/>
            </w:tcBorders>
            <w:shd w:val="clear" w:color="auto" w:fill="D9D9D9" w:themeFill="background1" w:themeFillShade="D9"/>
            <w:noWrap/>
            <w:vAlign w:val="bottom"/>
            <w:hideMark/>
          </w:tcPr>
          <w:p w14:paraId="39541626" w14:textId="77777777" w:rsidR="00051D7E" w:rsidRPr="00875AA0" w:rsidRDefault="00051D7E" w:rsidP="007531FB">
            <w:pPr>
              <w:jc w:val="center"/>
              <w:rPr>
                <w:rFonts w:ascii="Calibri" w:eastAsia="Times New Roman" w:hAnsi="Calibri" w:cs="Calibri"/>
                <w:b/>
                <w:bCs/>
                <w:color w:val="000000"/>
              </w:rPr>
            </w:pPr>
            <w:r w:rsidRPr="00875AA0">
              <w:rPr>
                <w:rFonts w:ascii="Calibri" w:eastAsia="Times New Roman" w:hAnsi="Calibri" w:cs="Calibri"/>
                <w:b/>
                <w:bCs/>
                <w:color w:val="000000"/>
              </w:rPr>
              <w:t>20</w:t>
            </w:r>
            <w:r>
              <w:rPr>
                <w:rFonts w:ascii="Calibri" w:eastAsia="Times New Roman" w:hAnsi="Calibri" w:cs="Calibri"/>
                <w:b/>
                <w:bCs/>
                <w:color w:val="000000"/>
              </w:rPr>
              <w:t>20</w:t>
            </w:r>
          </w:p>
        </w:tc>
      </w:tr>
      <w:tr w:rsidR="00051D7E" w:rsidRPr="00875AA0" w14:paraId="774D4D7D" w14:textId="77777777" w:rsidTr="007531FB">
        <w:trPr>
          <w:trHeight w:val="324"/>
          <w:jc w:val="center"/>
        </w:trPr>
        <w:tc>
          <w:tcPr>
            <w:tcW w:w="6480" w:type="dxa"/>
            <w:tcBorders>
              <w:top w:val="nil"/>
              <w:left w:val="nil"/>
              <w:bottom w:val="nil"/>
              <w:right w:val="nil"/>
            </w:tcBorders>
            <w:shd w:val="clear" w:color="000000" w:fill="FFFFFF"/>
            <w:noWrap/>
            <w:vAlign w:val="bottom"/>
            <w:hideMark/>
          </w:tcPr>
          <w:p w14:paraId="30492D53" w14:textId="77777777" w:rsidR="00051D7E" w:rsidRPr="00875AA0" w:rsidRDefault="00051D7E" w:rsidP="007531FB">
            <w:pPr>
              <w:rPr>
                <w:rFonts w:ascii="Calibri" w:eastAsia="Times New Roman" w:hAnsi="Calibri" w:cs="Calibri"/>
              </w:rPr>
            </w:pPr>
            <w:r w:rsidRPr="00875AA0">
              <w:rPr>
                <w:rFonts w:ascii="Calibri" w:eastAsia="Times New Roman" w:hAnsi="Calibri" w:cs="Calibri"/>
              </w:rPr>
              <w:t>Inactive plan participants or beneficiaries currently receiving benefits</w:t>
            </w:r>
          </w:p>
        </w:tc>
        <w:tc>
          <w:tcPr>
            <w:tcW w:w="717" w:type="dxa"/>
            <w:tcBorders>
              <w:top w:val="nil"/>
              <w:left w:val="nil"/>
              <w:bottom w:val="nil"/>
              <w:right w:val="nil"/>
            </w:tcBorders>
            <w:shd w:val="clear" w:color="000000" w:fill="FFFFFF"/>
            <w:noWrap/>
            <w:vAlign w:val="bottom"/>
            <w:hideMark/>
          </w:tcPr>
          <w:p w14:paraId="025C9CB4" w14:textId="77777777" w:rsidR="00051D7E" w:rsidRPr="001D4991" w:rsidRDefault="00051D7E" w:rsidP="007531FB">
            <w:pPr>
              <w:jc w:val="right"/>
              <w:rPr>
                <w:rFonts w:ascii="Calibri" w:eastAsia="Times New Roman" w:hAnsi="Calibri" w:cs="Calibri"/>
              </w:rPr>
            </w:pPr>
            <w:r w:rsidRPr="001D4991">
              <w:rPr>
                <w:rFonts w:ascii="Calibri" w:eastAsia="Times New Roman" w:hAnsi="Calibri" w:cs="Calibri"/>
              </w:rPr>
              <w:t>2,137</w:t>
            </w:r>
          </w:p>
        </w:tc>
        <w:tc>
          <w:tcPr>
            <w:tcW w:w="717" w:type="dxa"/>
            <w:tcBorders>
              <w:top w:val="nil"/>
              <w:left w:val="nil"/>
              <w:bottom w:val="nil"/>
              <w:right w:val="nil"/>
            </w:tcBorders>
            <w:shd w:val="clear" w:color="auto" w:fill="D9D9D9" w:themeFill="background1" w:themeFillShade="D9"/>
            <w:noWrap/>
            <w:vAlign w:val="bottom"/>
            <w:hideMark/>
          </w:tcPr>
          <w:p w14:paraId="35F446CF" w14:textId="77777777" w:rsidR="00051D7E" w:rsidRPr="00875AA0" w:rsidRDefault="00051D7E" w:rsidP="007531FB">
            <w:pPr>
              <w:jc w:val="right"/>
              <w:rPr>
                <w:rFonts w:ascii="Calibri" w:eastAsia="Times New Roman" w:hAnsi="Calibri" w:cs="Calibri"/>
              </w:rPr>
            </w:pPr>
            <w:r w:rsidRPr="00875AA0">
              <w:rPr>
                <w:rFonts w:ascii="Calibri" w:eastAsia="Times New Roman" w:hAnsi="Calibri" w:cs="Calibri"/>
              </w:rPr>
              <w:t>2,562</w:t>
            </w:r>
          </w:p>
        </w:tc>
      </w:tr>
      <w:tr w:rsidR="00051D7E" w:rsidRPr="00875AA0" w14:paraId="4141BE16" w14:textId="77777777" w:rsidTr="007531FB">
        <w:trPr>
          <w:trHeight w:val="312"/>
          <w:jc w:val="center"/>
        </w:trPr>
        <w:tc>
          <w:tcPr>
            <w:tcW w:w="6480" w:type="dxa"/>
            <w:tcBorders>
              <w:top w:val="nil"/>
              <w:left w:val="nil"/>
              <w:bottom w:val="nil"/>
              <w:right w:val="nil"/>
            </w:tcBorders>
            <w:shd w:val="clear" w:color="000000" w:fill="FFFFFF"/>
            <w:noWrap/>
            <w:vAlign w:val="bottom"/>
            <w:hideMark/>
          </w:tcPr>
          <w:p w14:paraId="6BA2A088" w14:textId="77777777" w:rsidR="00051D7E" w:rsidRPr="00875AA0" w:rsidRDefault="00051D7E" w:rsidP="007531FB">
            <w:pPr>
              <w:rPr>
                <w:rFonts w:ascii="Calibri" w:eastAsia="Times New Roman" w:hAnsi="Calibri" w:cs="Calibri"/>
              </w:rPr>
            </w:pPr>
            <w:r w:rsidRPr="00875AA0">
              <w:rPr>
                <w:rFonts w:ascii="Calibri" w:eastAsia="Times New Roman" w:hAnsi="Calibri" w:cs="Calibri"/>
              </w:rPr>
              <w:t>Active plan participants</w:t>
            </w:r>
          </w:p>
        </w:tc>
        <w:tc>
          <w:tcPr>
            <w:tcW w:w="717" w:type="dxa"/>
            <w:tcBorders>
              <w:top w:val="nil"/>
              <w:left w:val="nil"/>
              <w:bottom w:val="nil"/>
              <w:right w:val="nil"/>
            </w:tcBorders>
            <w:shd w:val="clear" w:color="000000" w:fill="FFFFFF"/>
            <w:noWrap/>
            <w:vAlign w:val="bottom"/>
            <w:hideMark/>
          </w:tcPr>
          <w:p w14:paraId="58F55F71" w14:textId="77777777" w:rsidR="00051D7E" w:rsidRPr="001D4991" w:rsidRDefault="00051D7E" w:rsidP="007531FB">
            <w:pPr>
              <w:jc w:val="right"/>
              <w:rPr>
                <w:rFonts w:ascii="Calibri" w:eastAsia="Times New Roman" w:hAnsi="Calibri" w:cs="Calibri"/>
              </w:rPr>
            </w:pPr>
            <w:r w:rsidRPr="001D4991">
              <w:rPr>
                <w:rFonts w:ascii="Calibri" w:eastAsia="Times New Roman" w:hAnsi="Calibri" w:cs="Calibri"/>
              </w:rPr>
              <w:t>4,014</w:t>
            </w:r>
          </w:p>
        </w:tc>
        <w:tc>
          <w:tcPr>
            <w:tcW w:w="717" w:type="dxa"/>
            <w:tcBorders>
              <w:top w:val="nil"/>
              <w:left w:val="nil"/>
              <w:bottom w:val="nil"/>
              <w:right w:val="nil"/>
            </w:tcBorders>
            <w:shd w:val="clear" w:color="auto" w:fill="D9D9D9" w:themeFill="background1" w:themeFillShade="D9"/>
            <w:noWrap/>
            <w:vAlign w:val="bottom"/>
            <w:hideMark/>
          </w:tcPr>
          <w:p w14:paraId="585B4A64" w14:textId="77777777" w:rsidR="00051D7E" w:rsidRPr="00875AA0" w:rsidRDefault="00051D7E" w:rsidP="007531FB">
            <w:pPr>
              <w:jc w:val="right"/>
              <w:rPr>
                <w:rFonts w:ascii="Calibri" w:eastAsia="Times New Roman" w:hAnsi="Calibri" w:cs="Calibri"/>
              </w:rPr>
            </w:pPr>
            <w:r w:rsidRPr="00875AA0">
              <w:rPr>
                <w:rFonts w:ascii="Calibri" w:eastAsia="Times New Roman" w:hAnsi="Calibri" w:cs="Calibri"/>
              </w:rPr>
              <w:t>3,976</w:t>
            </w:r>
          </w:p>
        </w:tc>
      </w:tr>
      <w:tr w:rsidR="00051D7E" w:rsidRPr="00875AA0" w14:paraId="06976CF5" w14:textId="77777777" w:rsidTr="007531FB">
        <w:trPr>
          <w:trHeight w:val="324"/>
          <w:jc w:val="center"/>
        </w:trPr>
        <w:tc>
          <w:tcPr>
            <w:tcW w:w="6480" w:type="dxa"/>
            <w:tcBorders>
              <w:top w:val="single" w:sz="4" w:space="0" w:color="44546A"/>
              <w:left w:val="nil"/>
              <w:bottom w:val="double" w:sz="6" w:space="0" w:color="44546A"/>
              <w:right w:val="nil"/>
            </w:tcBorders>
            <w:shd w:val="clear" w:color="000000" w:fill="FFFFFF"/>
            <w:noWrap/>
            <w:vAlign w:val="bottom"/>
            <w:hideMark/>
          </w:tcPr>
          <w:p w14:paraId="12263114" w14:textId="77777777" w:rsidR="00051D7E" w:rsidRPr="00875AA0" w:rsidRDefault="00051D7E" w:rsidP="007531FB">
            <w:pPr>
              <w:rPr>
                <w:rFonts w:ascii="Calibri" w:eastAsia="Times New Roman" w:hAnsi="Calibri" w:cs="Calibri"/>
              </w:rPr>
            </w:pPr>
            <w:r w:rsidRPr="00875AA0">
              <w:rPr>
                <w:rFonts w:ascii="Calibri" w:eastAsia="Times New Roman" w:hAnsi="Calibri" w:cs="Calibri"/>
              </w:rPr>
              <w:t>Total plan participants</w:t>
            </w:r>
          </w:p>
        </w:tc>
        <w:tc>
          <w:tcPr>
            <w:tcW w:w="717" w:type="dxa"/>
            <w:tcBorders>
              <w:top w:val="single" w:sz="4" w:space="0" w:color="44546A"/>
              <w:left w:val="nil"/>
              <w:bottom w:val="double" w:sz="6" w:space="0" w:color="44546A"/>
              <w:right w:val="nil"/>
            </w:tcBorders>
            <w:shd w:val="clear" w:color="000000" w:fill="FFFFFF"/>
            <w:noWrap/>
            <w:vAlign w:val="bottom"/>
            <w:hideMark/>
          </w:tcPr>
          <w:p w14:paraId="5E3592FF" w14:textId="77777777" w:rsidR="00051D7E" w:rsidRPr="001D4991" w:rsidRDefault="00051D7E" w:rsidP="007531FB">
            <w:pPr>
              <w:jc w:val="right"/>
              <w:rPr>
                <w:rFonts w:ascii="Calibri" w:eastAsia="Times New Roman" w:hAnsi="Calibri" w:cs="Calibri"/>
              </w:rPr>
            </w:pPr>
            <w:r w:rsidRPr="001D4991">
              <w:rPr>
                <w:rFonts w:ascii="Calibri" w:eastAsia="Times New Roman" w:hAnsi="Calibri" w:cs="Calibri"/>
              </w:rPr>
              <w:t>6,151</w:t>
            </w:r>
          </w:p>
        </w:tc>
        <w:tc>
          <w:tcPr>
            <w:tcW w:w="717" w:type="dxa"/>
            <w:tcBorders>
              <w:top w:val="single" w:sz="4" w:space="0" w:color="44546A"/>
              <w:left w:val="nil"/>
              <w:bottom w:val="double" w:sz="6" w:space="0" w:color="44546A"/>
              <w:right w:val="nil"/>
            </w:tcBorders>
            <w:shd w:val="clear" w:color="auto" w:fill="D9D9D9" w:themeFill="background1" w:themeFillShade="D9"/>
            <w:noWrap/>
            <w:vAlign w:val="bottom"/>
            <w:hideMark/>
          </w:tcPr>
          <w:p w14:paraId="48552C75" w14:textId="77777777" w:rsidR="00051D7E" w:rsidRPr="00875AA0" w:rsidRDefault="00051D7E" w:rsidP="007531FB">
            <w:pPr>
              <w:jc w:val="right"/>
              <w:rPr>
                <w:rFonts w:ascii="Calibri" w:eastAsia="Times New Roman" w:hAnsi="Calibri" w:cs="Calibri"/>
              </w:rPr>
            </w:pPr>
            <w:r w:rsidRPr="00875AA0">
              <w:rPr>
                <w:rFonts w:ascii="Calibri" w:eastAsia="Times New Roman" w:hAnsi="Calibri" w:cs="Calibri"/>
              </w:rPr>
              <w:t>6,538</w:t>
            </w:r>
          </w:p>
        </w:tc>
      </w:tr>
    </w:tbl>
    <w:p w14:paraId="7A3BAE6B" w14:textId="77777777" w:rsidR="00051D7E" w:rsidRPr="00F54559" w:rsidRDefault="00051D7E" w:rsidP="00051D7E">
      <w:pPr>
        <w:tabs>
          <w:tab w:val="left" w:pos="900"/>
        </w:tabs>
        <w:spacing w:before="240"/>
        <w:ind w:right="-7"/>
        <w:rPr>
          <w:rFonts w:eastAsia="Times New Roman" w:cstheme="minorHAnsi"/>
          <w:spacing w:val="-1"/>
          <w:sz w:val="24"/>
        </w:rPr>
      </w:pPr>
      <w:r w:rsidRPr="00F54559">
        <w:rPr>
          <w:rFonts w:eastAsia="Times New Roman" w:cstheme="minorHAnsi"/>
          <w:b/>
          <w:i/>
          <w:spacing w:val="-1"/>
          <w:sz w:val="24"/>
        </w:rPr>
        <w:t>Contributions:</w:t>
      </w:r>
      <w:r w:rsidRPr="00F54559">
        <w:rPr>
          <w:rFonts w:eastAsia="Times New Roman" w:cstheme="minorHAnsi"/>
          <w:spacing w:val="-1"/>
          <w:sz w:val="24"/>
        </w:rPr>
        <w:t xml:space="preserve"> The System annually contributes an actuarially determined contribution to a Trust, based on the results of the most recent actuarial valuation.</w:t>
      </w:r>
    </w:p>
    <w:p w14:paraId="5E9F40A5" w14:textId="77777777" w:rsidR="00051D7E" w:rsidRPr="00735A4C" w:rsidRDefault="00051D7E" w:rsidP="00051D7E">
      <w:pPr>
        <w:rPr>
          <w:rFonts w:cstheme="minorHAnsi"/>
          <w:sz w:val="20"/>
          <w:szCs w:val="20"/>
        </w:rPr>
      </w:pPr>
    </w:p>
    <w:p w14:paraId="1E7FEADC" w14:textId="77777777" w:rsidR="00051D7E" w:rsidRPr="00F54559" w:rsidRDefault="00051D7E" w:rsidP="00051D7E">
      <w:pPr>
        <w:tabs>
          <w:tab w:val="left" w:pos="900"/>
        </w:tabs>
        <w:ind w:right="-7"/>
        <w:rPr>
          <w:rFonts w:eastAsia="Times New Roman" w:cstheme="minorHAnsi"/>
          <w:spacing w:val="-1"/>
          <w:sz w:val="24"/>
        </w:rPr>
      </w:pPr>
      <w:r w:rsidRPr="00F54559">
        <w:rPr>
          <w:rFonts w:eastAsia="Times New Roman" w:cstheme="minorHAnsi"/>
          <w:spacing w:val="-1"/>
          <w:sz w:val="24"/>
        </w:rPr>
        <w:t>Funding the OPEB Plan over the long-term allows the System to smooth market impacts, limiting contribution volatility. The required contribution amount will be re-determined with each actuarial valuation as market performance and other factors will impact the required future funding.</w:t>
      </w:r>
    </w:p>
    <w:p w14:paraId="2C61C97F" w14:textId="77777777" w:rsidR="00051D7E" w:rsidRPr="00735A4C" w:rsidRDefault="00051D7E" w:rsidP="00051D7E">
      <w:pPr>
        <w:tabs>
          <w:tab w:val="left" w:pos="900"/>
        </w:tabs>
        <w:ind w:right="-7"/>
        <w:rPr>
          <w:rFonts w:eastAsia="Times New Roman" w:cstheme="minorHAnsi"/>
          <w:spacing w:val="-1"/>
          <w:sz w:val="20"/>
          <w:szCs w:val="20"/>
        </w:rPr>
      </w:pPr>
    </w:p>
    <w:p w14:paraId="3E7BE33B" w14:textId="77777777" w:rsidR="00051D7E" w:rsidRPr="00F54559" w:rsidRDefault="00051D7E" w:rsidP="00051D7E">
      <w:pPr>
        <w:tabs>
          <w:tab w:val="left" w:pos="900"/>
        </w:tabs>
        <w:spacing w:after="160"/>
        <w:ind w:right="-7"/>
        <w:rPr>
          <w:rFonts w:eastAsia="Times New Roman" w:cstheme="minorHAnsi"/>
          <w:b/>
          <w:sz w:val="26"/>
          <w:szCs w:val="26"/>
        </w:rPr>
      </w:pPr>
      <w:r w:rsidRPr="00F54559">
        <w:rPr>
          <w:rFonts w:eastAsia="Times New Roman" w:cstheme="minorHAnsi"/>
          <w:b/>
          <w:sz w:val="26"/>
          <w:szCs w:val="26"/>
        </w:rPr>
        <w:t>Plan Investments</w:t>
      </w:r>
    </w:p>
    <w:p w14:paraId="31C91CF6" w14:textId="3990A24E" w:rsidR="00051D7E" w:rsidRPr="00F54559" w:rsidRDefault="00051D7E" w:rsidP="00051D7E">
      <w:pPr>
        <w:tabs>
          <w:tab w:val="left" w:pos="900"/>
        </w:tabs>
        <w:ind w:right="-7"/>
        <w:rPr>
          <w:rFonts w:eastAsia="Times New Roman" w:cstheme="minorHAnsi"/>
          <w:spacing w:val="-1"/>
          <w:sz w:val="24"/>
        </w:rPr>
      </w:pPr>
      <w:r w:rsidRPr="00F54559">
        <w:rPr>
          <w:rFonts w:eastAsia="Times New Roman" w:cstheme="minorHAnsi"/>
          <w:spacing w:val="-1"/>
          <w:sz w:val="24"/>
        </w:rPr>
        <w:t>Assets of the OPEB Plan are invested in the System’s managed investment pool.  See Notes 1</w:t>
      </w:r>
      <w:r w:rsidR="00204B35">
        <w:rPr>
          <w:rFonts w:eastAsia="Times New Roman" w:cstheme="minorHAnsi"/>
          <w:spacing w:val="-1"/>
          <w:sz w:val="24"/>
        </w:rPr>
        <w:t>f</w:t>
      </w:r>
      <w:r w:rsidRPr="00F54559">
        <w:rPr>
          <w:rFonts w:eastAsia="Times New Roman" w:cstheme="minorHAnsi"/>
          <w:spacing w:val="-1"/>
          <w:sz w:val="24"/>
        </w:rPr>
        <w:t xml:space="preserve"> and 3 for more information on the pool and the OPEB Plan’s share.</w:t>
      </w:r>
      <w:r w:rsidRPr="00F54559">
        <w:rPr>
          <w:rFonts w:eastAsia="Times New Roman" w:cstheme="minorHAnsi"/>
          <w:spacing w:val="-1"/>
          <w:sz w:val="24"/>
        </w:rPr>
        <w:br w:type="page"/>
      </w:r>
    </w:p>
    <w:p w14:paraId="0B68CAA2" w14:textId="77777777" w:rsidR="00051D7E" w:rsidRPr="00F54559" w:rsidRDefault="00051D7E" w:rsidP="009014A7">
      <w:pPr>
        <w:tabs>
          <w:tab w:val="left" w:pos="900"/>
        </w:tabs>
        <w:spacing w:before="240" w:after="120"/>
        <w:ind w:right="-7"/>
        <w:rPr>
          <w:rFonts w:eastAsia="Times New Roman" w:cstheme="minorHAnsi"/>
          <w:i/>
          <w:spacing w:val="-1"/>
          <w:sz w:val="24"/>
        </w:rPr>
      </w:pPr>
      <w:r w:rsidRPr="00F54559">
        <w:rPr>
          <w:rFonts w:eastAsiaTheme="majorEastAsia" w:cstheme="minorHAnsi"/>
          <w:b/>
          <w:i/>
          <w:iCs/>
          <w:smallCaps/>
          <w:noProof/>
          <w:color w:val="000000" w:themeColor="text1"/>
          <w:sz w:val="26"/>
          <w:szCs w:val="26"/>
          <w:u w:color="5B9BD5"/>
        </w:rPr>
        <w:lastRenderedPageBreak/>
        <w:t>14. POSTEMPLOYMENT HEALTH PLAN - CONTINUED</w:t>
      </w:r>
    </w:p>
    <w:p w14:paraId="4E326458" w14:textId="77777777" w:rsidR="00051D7E" w:rsidRPr="00F54559" w:rsidRDefault="00051D7E" w:rsidP="00051D7E">
      <w:pPr>
        <w:tabs>
          <w:tab w:val="left" w:pos="900"/>
        </w:tabs>
        <w:spacing w:after="160"/>
        <w:ind w:right="-7"/>
        <w:rPr>
          <w:rFonts w:eastAsia="Times New Roman" w:cstheme="minorHAnsi"/>
          <w:b/>
          <w:sz w:val="26"/>
          <w:szCs w:val="26"/>
        </w:rPr>
      </w:pPr>
      <w:r w:rsidRPr="00F54559">
        <w:rPr>
          <w:rFonts w:eastAsia="Times New Roman" w:cstheme="minorHAnsi"/>
          <w:b/>
          <w:sz w:val="26"/>
          <w:szCs w:val="26"/>
        </w:rPr>
        <w:t>Net OPEB Liability</w:t>
      </w:r>
    </w:p>
    <w:p w14:paraId="7E406659" w14:textId="77777777" w:rsidR="00051D7E" w:rsidRPr="00F54559" w:rsidRDefault="00051D7E" w:rsidP="00051D7E">
      <w:pPr>
        <w:tabs>
          <w:tab w:val="left" w:pos="900"/>
        </w:tabs>
        <w:spacing w:after="240"/>
        <w:ind w:right="-7"/>
        <w:rPr>
          <w:rFonts w:eastAsia="Times New Roman" w:cstheme="minorHAnsi"/>
          <w:spacing w:val="-1"/>
          <w:sz w:val="24"/>
        </w:rPr>
      </w:pPr>
      <w:r w:rsidRPr="00F54559">
        <w:rPr>
          <w:rFonts w:eastAsia="Times New Roman" w:cstheme="minorHAnsi"/>
          <w:spacing w:val="-1"/>
          <w:sz w:val="24"/>
        </w:rPr>
        <w:t>The components of the net OPEB liability at June 30 were as follows:</w:t>
      </w:r>
      <w:r>
        <w:rPr>
          <w:rFonts w:eastAsia="Times New Roman" w:cstheme="minorHAnsi"/>
          <w:spacing w:val="-1"/>
          <w:sz w:val="24"/>
        </w:rPr>
        <w:fldChar w:fldCharType="begin"/>
      </w:r>
      <w:r>
        <w:rPr>
          <w:rFonts w:eastAsia="Times New Roman" w:cstheme="minorHAnsi"/>
          <w:spacing w:val="-1"/>
          <w:sz w:val="24"/>
        </w:rPr>
        <w:fldChar w:fldCharType="end"/>
      </w:r>
    </w:p>
    <w:tbl>
      <w:tblPr>
        <w:tblW w:w="8208" w:type="dxa"/>
        <w:jc w:val="center"/>
        <w:tblLook w:val="04A0" w:firstRow="1" w:lastRow="0" w:firstColumn="1" w:lastColumn="0" w:noHBand="0" w:noVBand="1"/>
      </w:tblPr>
      <w:tblGrid>
        <w:gridCol w:w="6028"/>
        <w:gridCol w:w="1262"/>
        <w:gridCol w:w="1074"/>
      </w:tblGrid>
      <w:tr w:rsidR="00051D7E" w:rsidRPr="00F65869" w14:paraId="159F15C3" w14:textId="77777777" w:rsidTr="007531FB">
        <w:trPr>
          <w:trHeight w:val="324"/>
          <w:tblHeader/>
          <w:jc w:val="center"/>
        </w:trPr>
        <w:tc>
          <w:tcPr>
            <w:tcW w:w="6028" w:type="dxa"/>
            <w:tcBorders>
              <w:top w:val="nil"/>
              <w:left w:val="nil"/>
              <w:bottom w:val="single" w:sz="12" w:space="0" w:color="44546A"/>
              <w:right w:val="nil"/>
            </w:tcBorders>
            <w:shd w:val="clear" w:color="000000" w:fill="FFFFFF"/>
            <w:noWrap/>
            <w:vAlign w:val="bottom"/>
            <w:hideMark/>
          </w:tcPr>
          <w:p w14:paraId="07A35122" w14:textId="77777777" w:rsidR="00051D7E" w:rsidRPr="00F65869" w:rsidRDefault="00051D7E" w:rsidP="007531FB">
            <w:pPr>
              <w:rPr>
                <w:rFonts w:ascii="Calibri" w:eastAsia="Times New Roman" w:hAnsi="Calibri" w:cs="Calibri"/>
                <w:b/>
                <w:bCs/>
                <w:color w:val="0D0D0D"/>
              </w:rPr>
            </w:pPr>
            <w:r w:rsidRPr="00F65869">
              <w:rPr>
                <w:rFonts w:ascii="Calibri" w:eastAsia="Times New Roman" w:hAnsi="Calibri" w:cs="Calibri"/>
                <w:b/>
                <w:bCs/>
                <w:color w:val="0D0D0D"/>
              </w:rPr>
              <w:t> </w:t>
            </w:r>
          </w:p>
        </w:tc>
        <w:tc>
          <w:tcPr>
            <w:tcW w:w="1262" w:type="dxa"/>
            <w:tcBorders>
              <w:top w:val="nil"/>
              <w:left w:val="nil"/>
              <w:bottom w:val="single" w:sz="12" w:space="0" w:color="44546A"/>
              <w:right w:val="nil"/>
            </w:tcBorders>
            <w:shd w:val="clear" w:color="000000" w:fill="FFFFFF"/>
            <w:noWrap/>
            <w:vAlign w:val="bottom"/>
            <w:hideMark/>
          </w:tcPr>
          <w:p w14:paraId="1F6C2EF0" w14:textId="77777777" w:rsidR="00051D7E" w:rsidRPr="00F65869" w:rsidRDefault="00051D7E" w:rsidP="007531FB">
            <w:pPr>
              <w:jc w:val="center"/>
              <w:rPr>
                <w:rFonts w:ascii="Calibri" w:eastAsia="Times New Roman" w:hAnsi="Calibri" w:cs="Calibri"/>
                <w:b/>
                <w:bCs/>
                <w:color w:val="0D0D0D"/>
              </w:rPr>
            </w:pPr>
            <w:r w:rsidRPr="00F65869">
              <w:rPr>
                <w:rFonts w:ascii="Calibri" w:eastAsia="Times New Roman" w:hAnsi="Calibri" w:cs="Calibri"/>
                <w:b/>
                <w:bCs/>
                <w:color w:val="0D0D0D"/>
              </w:rPr>
              <w:t>202</w:t>
            </w:r>
            <w:r>
              <w:rPr>
                <w:rFonts w:ascii="Calibri" w:eastAsia="Times New Roman" w:hAnsi="Calibri" w:cs="Calibri"/>
                <w:b/>
                <w:bCs/>
                <w:color w:val="0D0D0D"/>
              </w:rPr>
              <w:t>1</w:t>
            </w:r>
          </w:p>
        </w:tc>
        <w:tc>
          <w:tcPr>
            <w:tcW w:w="918" w:type="dxa"/>
            <w:tcBorders>
              <w:top w:val="nil"/>
              <w:left w:val="nil"/>
              <w:bottom w:val="single" w:sz="12" w:space="0" w:color="44546A"/>
              <w:right w:val="nil"/>
            </w:tcBorders>
            <w:shd w:val="clear" w:color="auto" w:fill="D9D9D9" w:themeFill="background1" w:themeFillShade="D9"/>
            <w:noWrap/>
            <w:vAlign w:val="bottom"/>
            <w:hideMark/>
          </w:tcPr>
          <w:p w14:paraId="14517FC3" w14:textId="77777777" w:rsidR="00051D7E" w:rsidRPr="00F65869" w:rsidRDefault="00051D7E" w:rsidP="007531FB">
            <w:pPr>
              <w:jc w:val="center"/>
              <w:rPr>
                <w:rFonts w:ascii="Calibri" w:eastAsia="Times New Roman" w:hAnsi="Calibri" w:cs="Calibri"/>
                <w:b/>
                <w:bCs/>
                <w:color w:val="0D0D0D"/>
              </w:rPr>
            </w:pPr>
            <w:r w:rsidRPr="00F65869">
              <w:rPr>
                <w:rFonts w:ascii="Calibri" w:eastAsia="Times New Roman" w:hAnsi="Calibri" w:cs="Calibri"/>
                <w:b/>
                <w:bCs/>
                <w:color w:val="0D0D0D"/>
              </w:rPr>
              <w:t>20</w:t>
            </w:r>
            <w:r>
              <w:rPr>
                <w:rFonts w:ascii="Calibri" w:eastAsia="Times New Roman" w:hAnsi="Calibri" w:cs="Calibri"/>
                <w:b/>
                <w:bCs/>
                <w:color w:val="0D0D0D"/>
              </w:rPr>
              <w:t>20</w:t>
            </w:r>
          </w:p>
        </w:tc>
      </w:tr>
      <w:tr w:rsidR="00051D7E" w:rsidRPr="00F65869" w14:paraId="2B01C090" w14:textId="77777777" w:rsidTr="007531FB">
        <w:trPr>
          <w:trHeight w:val="324"/>
          <w:jc w:val="center"/>
        </w:trPr>
        <w:tc>
          <w:tcPr>
            <w:tcW w:w="6028" w:type="dxa"/>
            <w:tcBorders>
              <w:top w:val="nil"/>
              <w:left w:val="nil"/>
              <w:bottom w:val="nil"/>
              <w:right w:val="nil"/>
            </w:tcBorders>
            <w:shd w:val="clear" w:color="000000" w:fill="FFFFFF"/>
            <w:noWrap/>
            <w:vAlign w:val="bottom"/>
            <w:hideMark/>
          </w:tcPr>
          <w:p w14:paraId="13129CFB"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Total OPEB liability</w:t>
            </w:r>
          </w:p>
        </w:tc>
        <w:tc>
          <w:tcPr>
            <w:tcW w:w="1262" w:type="dxa"/>
            <w:tcBorders>
              <w:top w:val="nil"/>
              <w:left w:val="nil"/>
              <w:bottom w:val="nil"/>
              <w:right w:val="nil"/>
            </w:tcBorders>
            <w:shd w:val="clear" w:color="000000" w:fill="FFFFFF"/>
            <w:noWrap/>
            <w:vAlign w:val="bottom"/>
            <w:hideMark/>
          </w:tcPr>
          <w:p w14:paraId="4C1CF311" w14:textId="77777777" w:rsidR="00051D7E" w:rsidRPr="00920295" w:rsidRDefault="00051D7E" w:rsidP="007531FB">
            <w:pPr>
              <w:jc w:val="right"/>
              <w:rPr>
                <w:rFonts w:ascii="Calibri" w:eastAsia="Times New Roman" w:hAnsi="Calibri" w:cs="Calibri"/>
              </w:rPr>
            </w:pPr>
            <w:r w:rsidRPr="00920295">
              <w:rPr>
                <w:rFonts w:ascii="Calibri" w:eastAsia="Times New Roman" w:hAnsi="Calibri" w:cs="Calibri"/>
              </w:rPr>
              <w:t>$162,212</w:t>
            </w:r>
          </w:p>
        </w:tc>
        <w:tc>
          <w:tcPr>
            <w:tcW w:w="918" w:type="dxa"/>
            <w:tcBorders>
              <w:top w:val="nil"/>
              <w:left w:val="nil"/>
              <w:bottom w:val="nil"/>
              <w:right w:val="nil"/>
            </w:tcBorders>
            <w:shd w:val="clear" w:color="auto" w:fill="D9D9D9" w:themeFill="background1" w:themeFillShade="D9"/>
            <w:noWrap/>
            <w:vAlign w:val="bottom"/>
            <w:hideMark/>
          </w:tcPr>
          <w:p w14:paraId="0DA5C1A0" w14:textId="77777777" w:rsidR="00051D7E" w:rsidRPr="00F65869" w:rsidRDefault="00051D7E" w:rsidP="007531FB">
            <w:pPr>
              <w:jc w:val="right"/>
              <w:rPr>
                <w:rFonts w:ascii="Calibri" w:eastAsia="Times New Roman" w:hAnsi="Calibri" w:cs="Calibri"/>
                <w:color w:val="0D0D0D"/>
              </w:rPr>
            </w:pPr>
            <w:r w:rsidRPr="00F65869">
              <w:rPr>
                <w:rFonts w:ascii="Calibri" w:eastAsia="Times New Roman" w:hAnsi="Calibri" w:cs="Calibri"/>
                <w:color w:val="0D0D0D"/>
              </w:rPr>
              <w:t>$213,431</w:t>
            </w:r>
          </w:p>
        </w:tc>
      </w:tr>
      <w:tr w:rsidR="00051D7E" w:rsidRPr="00F65869" w14:paraId="0D60D0DA" w14:textId="77777777" w:rsidTr="007531FB">
        <w:trPr>
          <w:trHeight w:val="312"/>
          <w:jc w:val="center"/>
        </w:trPr>
        <w:tc>
          <w:tcPr>
            <w:tcW w:w="6028" w:type="dxa"/>
            <w:tcBorders>
              <w:top w:val="nil"/>
              <w:left w:val="nil"/>
              <w:bottom w:val="nil"/>
              <w:right w:val="nil"/>
            </w:tcBorders>
            <w:shd w:val="clear" w:color="000000" w:fill="FFFFFF"/>
            <w:noWrap/>
            <w:vAlign w:val="bottom"/>
            <w:hideMark/>
          </w:tcPr>
          <w:p w14:paraId="7D4518F2"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Fiduciary net position</w:t>
            </w:r>
          </w:p>
        </w:tc>
        <w:tc>
          <w:tcPr>
            <w:tcW w:w="1262" w:type="dxa"/>
            <w:tcBorders>
              <w:top w:val="nil"/>
              <w:left w:val="nil"/>
              <w:bottom w:val="nil"/>
              <w:right w:val="nil"/>
            </w:tcBorders>
            <w:shd w:val="clear" w:color="000000" w:fill="FFFFFF"/>
            <w:noWrap/>
            <w:vAlign w:val="bottom"/>
            <w:hideMark/>
          </w:tcPr>
          <w:p w14:paraId="5EDAE470" w14:textId="77777777" w:rsidR="00051D7E" w:rsidRPr="00920295" w:rsidRDefault="00051D7E" w:rsidP="007531FB">
            <w:pPr>
              <w:jc w:val="right"/>
              <w:rPr>
                <w:rFonts w:ascii="Calibri" w:eastAsia="Times New Roman" w:hAnsi="Calibri" w:cs="Calibri"/>
              </w:rPr>
            </w:pPr>
            <w:r w:rsidRPr="00920295">
              <w:rPr>
                <w:rFonts w:ascii="Calibri" w:eastAsia="Times New Roman" w:hAnsi="Calibri" w:cs="Calibri"/>
              </w:rPr>
              <w:t>(180,270)</w:t>
            </w:r>
          </w:p>
        </w:tc>
        <w:tc>
          <w:tcPr>
            <w:tcW w:w="918" w:type="dxa"/>
            <w:tcBorders>
              <w:top w:val="nil"/>
              <w:left w:val="nil"/>
              <w:bottom w:val="nil"/>
              <w:right w:val="nil"/>
            </w:tcBorders>
            <w:shd w:val="clear" w:color="auto" w:fill="D9D9D9" w:themeFill="background1" w:themeFillShade="D9"/>
            <w:noWrap/>
            <w:vAlign w:val="bottom"/>
            <w:hideMark/>
          </w:tcPr>
          <w:p w14:paraId="0E7A8584" w14:textId="77777777" w:rsidR="00051D7E" w:rsidRPr="00F65869" w:rsidRDefault="00051D7E" w:rsidP="007531FB">
            <w:pPr>
              <w:jc w:val="right"/>
              <w:rPr>
                <w:rFonts w:ascii="Calibri" w:eastAsia="Times New Roman" w:hAnsi="Calibri" w:cs="Calibri"/>
                <w:color w:val="0D0D0D"/>
              </w:rPr>
            </w:pPr>
            <w:r w:rsidRPr="00F65869">
              <w:rPr>
                <w:rFonts w:ascii="Calibri" w:eastAsia="Times New Roman" w:hAnsi="Calibri" w:cs="Calibri"/>
                <w:color w:val="0D0D0D"/>
              </w:rPr>
              <w:t>(137,400)</w:t>
            </w:r>
          </w:p>
        </w:tc>
      </w:tr>
      <w:tr w:rsidR="00051D7E" w:rsidRPr="00F65869" w14:paraId="1A6D1947" w14:textId="77777777" w:rsidTr="007531FB">
        <w:trPr>
          <w:trHeight w:val="324"/>
          <w:jc w:val="center"/>
        </w:trPr>
        <w:tc>
          <w:tcPr>
            <w:tcW w:w="6028" w:type="dxa"/>
            <w:tcBorders>
              <w:top w:val="single" w:sz="4" w:space="0" w:color="44546A"/>
              <w:left w:val="nil"/>
              <w:bottom w:val="double" w:sz="6" w:space="0" w:color="44546A"/>
              <w:right w:val="nil"/>
            </w:tcBorders>
            <w:shd w:val="clear" w:color="000000" w:fill="FFFFFF"/>
            <w:noWrap/>
            <w:vAlign w:val="bottom"/>
            <w:hideMark/>
          </w:tcPr>
          <w:p w14:paraId="56390200" w14:textId="2FACE3D4"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Net OPEB liability</w:t>
            </w:r>
            <w:r w:rsidR="006B376D">
              <w:rPr>
                <w:rFonts w:ascii="Calibri" w:eastAsia="Times New Roman" w:hAnsi="Calibri" w:cs="Calibri"/>
                <w:color w:val="0D0D0D"/>
              </w:rPr>
              <w:t xml:space="preserve"> (asset)</w:t>
            </w:r>
          </w:p>
        </w:tc>
        <w:tc>
          <w:tcPr>
            <w:tcW w:w="1262" w:type="dxa"/>
            <w:tcBorders>
              <w:top w:val="single" w:sz="4" w:space="0" w:color="44546A"/>
              <w:left w:val="nil"/>
              <w:bottom w:val="double" w:sz="6" w:space="0" w:color="44546A"/>
              <w:right w:val="nil"/>
            </w:tcBorders>
            <w:shd w:val="clear" w:color="000000" w:fill="FFFFFF"/>
            <w:noWrap/>
            <w:vAlign w:val="bottom"/>
            <w:hideMark/>
          </w:tcPr>
          <w:p w14:paraId="640EACCA" w14:textId="77777777" w:rsidR="00051D7E" w:rsidRPr="00920295" w:rsidRDefault="00051D7E" w:rsidP="007531FB">
            <w:pPr>
              <w:jc w:val="right"/>
              <w:rPr>
                <w:rFonts w:ascii="Calibri" w:eastAsia="Times New Roman" w:hAnsi="Calibri" w:cs="Calibri"/>
              </w:rPr>
            </w:pPr>
            <w:r w:rsidRPr="00920295">
              <w:rPr>
                <w:rFonts w:ascii="Calibri" w:eastAsia="Times New Roman" w:hAnsi="Calibri" w:cs="Calibri"/>
              </w:rPr>
              <w:t>$  (18,058)</w:t>
            </w:r>
          </w:p>
        </w:tc>
        <w:tc>
          <w:tcPr>
            <w:tcW w:w="918" w:type="dxa"/>
            <w:tcBorders>
              <w:top w:val="single" w:sz="4" w:space="0" w:color="44546A"/>
              <w:left w:val="nil"/>
              <w:bottom w:val="double" w:sz="6" w:space="0" w:color="44546A"/>
              <w:right w:val="nil"/>
            </w:tcBorders>
            <w:shd w:val="clear" w:color="auto" w:fill="D9D9D9" w:themeFill="background1" w:themeFillShade="D9"/>
            <w:noWrap/>
            <w:vAlign w:val="bottom"/>
            <w:hideMark/>
          </w:tcPr>
          <w:p w14:paraId="2207A5B7" w14:textId="77777777" w:rsidR="00051D7E" w:rsidRPr="00F65869" w:rsidRDefault="00051D7E" w:rsidP="007531FB">
            <w:pPr>
              <w:jc w:val="right"/>
              <w:rPr>
                <w:rFonts w:ascii="Calibri" w:eastAsia="Times New Roman" w:hAnsi="Calibri" w:cs="Calibri"/>
                <w:color w:val="0D0D0D"/>
              </w:rPr>
            </w:pPr>
            <w:r w:rsidRPr="00F65869">
              <w:rPr>
                <w:rFonts w:ascii="Calibri" w:eastAsia="Times New Roman" w:hAnsi="Calibri" w:cs="Calibri"/>
                <w:color w:val="0D0D0D"/>
              </w:rPr>
              <w:t>$  76,031</w:t>
            </w:r>
          </w:p>
        </w:tc>
      </w:tr>
      <w:tr w:rsidR="00051D7E" w:rsidRPr="00F65869" w14:paraId="060F1BAE" w14:textId="77777777" w:rsidTr="007531FB">
        <w:trPr>
          <w:trHeight w:val="336"/>
          <w:jc w:val="center"/>
        </w:trPr>
        <w:tc>
          <w:tcPr>
            <w:tcW w:w="6028" w:type="dxa"/>
            <w:tcBorders>
              <w:top w:val="nil"/>
              <w:left w:val="nil"/>
              <w:bottom w:val="single" w:sz="8" w:space="0" w:color="44546A"/>
              <w:right w:val="nil"/>
            </w:tcBorders>
            <w:shd w:val="clear" w:color="000000" w:fill="FFFFFF"/>
            <w:vAlign w:val="bottom"/>
            <w:hideMark/>
          </w:tcPr>
          <w:p w14:paraId="666F6A52"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Fiduciary net position as a percentage of the total OPEB liability</w:t>
            </w:r>
          </w:p>
        </w:tc>
        <w:tc>
          <w:tcPr>
            <w:tcW w:w="1262" w:type="dxa"/>
            <w:tcBorders>
              <w:top w:val="nil"/>
              <w:left w:val="nil"/>
              <w:bottom w:val="single" w:sz="8" w:space="0" w:color="44546A"/>
              <w:right w:val="nil"/>
            </w:tcBorders>
            <w:shd w:val="clear" w:color="000000" w:fill="FFFFFF"/>
            <w:noWrap/>
            <w:vAlign w:val="bottom"/>
            <w:hideMark/>
          </w:tcPr>
          <w:p w14:paraId="5B4EA819" w14:textId="77777777" w:rsidR="00051D7E" w:rsidRPr="00920295" w:rsidRDefault="00051D7E" w:rsidP="007531FB">
            <w:pPr>
              <w:jc w:val="right"/>
              <w:rPr>
                <w:rFonts w:ascii="Calibri" w:eastAsia="Times New Roman" w:hAnsi="Calibri" w:cs="Calibri"/>
              </w:rPr>
            </w:pPr>
            <w:r w:rsidRPr="00920295">
              <w:rPr>
                <w:rFonts w:ascii="Calibri" w:eastAsia="Times New Roman" w:hAnsi="Calibri" w:cs="Calibri"/>
              </w:rPr>
              <w:t>111.13%</w:t>
            </w:r>
          </w:p>
        </w:tc>
        <w:tc>
          <w:tcPr>
            <w:tcW w:w="918" w:type="dxa"/>
            <w:tcBorders>
              <w:top w:val="nil"/>
              <w:left w:val="nil"/>
              <w:bottom w:val="single" w:sz="8" w:space="0" w:color="44546A"/>
              <w:right w:val="nil"/>
            </w:tcBorders>
            <w:shd w:val="clear" w:color="auto" w:fill="D9D9D9" w:themeFill="background1" w:themeFillShade="D9"/>
            <w:noWrap/>
            <w:vAlign w:val="bottom"/>
            <w:hideMark/>
          </w:tcPr>
          <w:p w14:paraId="7393BEE4" w14:textId="77777777" w:rsidR="00051D7E" w:rsidRPr="00F65869" w:rsidRDefault="00051D7E" w:rsidP="007531FB">
            <w:pPr>
              <w:jc w:val="right"/>
              <w:rPr>
                <w:rFonts w:ascii="Calibri" w:eastAsia="Times New Roman" w:hAnsi="Calibri" w:cs="Calibri"/>
                <w:color w:val="0D0D0D"/>
              </w:rPr>
            </w:pPr>
            <w:r w:rsidRPr="00F65869">
              <w:rPr>
                <w:rFonts w:ascii="Calibri" w:eastAsia="Times New Roman" w:hAnsi="Calibri" w:cs="Calibri"/>
                <w:color w:val="0D0D0D"/>
              </w:rPr>
              <w:t>64.38%</w:t>
            </w:r>
          </w:p>
        </w:tc>
      </w:tr>
    </w:tbl>
    <w:p w14:paraId="0CA59697" w14:textId="77777777" w:rsidR="00051D7E" w:rsidRPr="00F54559" w:rsidRDefault="00051D7E" w:rsidP="00051D7E">
      <w:pPr>
        <w:tabs>
          <w:tab w:val="left" w:pos="900"/>
        </w:tabs>
        <w:spacing w:before="240"/>
        <w:ind w:right="-7"/>
        <w:rPr>
          <w:rFonts w:eastAsia="Times New Roman" w:cstheme="minorHAnsi"/>
          <w:spacing w:val="-1"/>
          <w:sz w:val="24"/>
        </w:rPr>
      </w:pPr>
      <w:r w:rsidRPr="00F54559">
        <w:rPr>
          <w:rFonts w:eastAsia="Times New Roman" w:cstheme="minorHAnsi"/>
          <w:b/>
          <w:i/>
          <w:spacing w:val="-1"/>
          <w:sz w:val="24"/>
        </w:rPr>
        <w:t>Actuarial Assumptions:</w:t>
      </w:r>
      <w:r w:rsidRPr="00F54559">
        <w:rPr>
          <w:rFonts w:eastAsia="Franklin Gothic Book" w:cstheme="minorHAnsi"/>
          <w:spacing w:val="-1"/>
          <w:sz w:val="24"/>
        </w:rPr>
        <w:t xml:space="preserve"> </w:t>
      </w:r>
      <w:r w:rsidRPr="00F54559">
        <w:rPr>
          <w:rFonts w:eastAsia="Times New Roman" w:cstheme="minorHAnsi"/>
          <w:spacing w:val="-1"/>
          <w:sz w:val="24"/>
        </w:rPr>
        <w:t xml:space="preserve">The total OPEB liability as of </w:t>
      </w:r>
      <w:r w:rsidRPr="00F54559">
        <w:rPr>
          <w:rFonts w:eastAsia="Franklin Gothic Book" w:cstheme="minorHAnsi"/>
          <w:spacing w:val="-1"/>
          <w:sz w:val="24"/>
        </w:rPr>
        <w:t>June 30, 20</w:t>
      </w:r>
      <w:r>
        <w:rPr>
          <w:rFonts w:eastAsia="Franklin Gothic Book" w:cstheme="minorHAnsi"/>
          <w:spacing w:val="-1"/>
          <w:sz w:val="24"/>
        </w:rPr>
        <w:t>21</w:t>
      </w:r>
      <w:r w:rsidRPr="00F54559">
        <w:rPr>
          <w:rFonts w:eastAsia="Franklin Gothic Book" w:cstheme="minorHAnsi"/>
          <w:spacing w:val="-1"/>
          <w:sz w:val="24"/>
        </w:rPr>
        <w:t xml:space="preserve"> and 20</w:t>
      </w:r>
      <w:r>
        <w:rPr>
          <w:rFonts w:eastAsia="Franklin Gothic Book" w:cstheme="minorHAnsi"/>
          <w:spacing w:val="-1"/>
          <w:sz w:val="24"/>
        </w:rPr>
        <w:t>20</w:t>
      </w:r>
      <w:r w:rsidRPr="00F54559">
        <w:rPr>
          <w:rFonts w:eastAsia="Franklin Gothic Book" w:cstheme="minorHAnsi"/>
          <w:spacing w:val="-1"/>
          <w:sz w:val="24"/>
        </w:rPr>
        <w:t xml:space="preserve"> was determined by an actuarial valuation as of</w:t>
      </w:r>
      <w:r>
        <w:rPr>
          <w:rFonts w:eastAsia="Franklin Gothic Book" w:cstheme="minorHAnsi"/>
          <w:spacing w:val="-1"/>
          <w:sz w:val="24"/>
        </w:rPr>
        <w:t xml:space="preserve"> July 1, 2021 and as of</w:t>
      </w:r>
      <w:r w:rsidRPr="00F54559">
        <w:rPr>
          <w:rFonts w:eastAsia="Franklin Gothic Book" w:cstheme="minorHAnsi"/>
          <w:spacing w:val="-1"/>
          <w:sz w:val="24"/>
        </w:rPr>
        <w:t xml:space="preserve"> </w:t>
      </w:r>
      <w:r w:rsidRPr="00B629F4">
        <w:rPr>
          <w:rFonts w:eastAsia="Franklin Gothic Book" w:cstheme="minorHAnsi"/>
          <w:spacing w:val="-1"/>
          <w:sz w:val="24"/>
        </w:rPr>
        <w:t xml:space="preserve">July 1, 2019 </w:t>
      </w:r>
      <w:r>
        <w:rPr>
          <w:rFonts w:eastAsia="Franklin Gothic Book" w:cstheme="minorHAnsi"/>
          <w:sz w:val="24"/>
        </w:rPr>
        <w:t xml:space="preserve">rolled forward to the measurement date of June 30, 2020 </w:t>
      </w:r>
      <w:r w:rsidRPr="00F54559">
        <w:rPr>
          <w:rFonts w:eastAsia="Franklin Gothic Book" w:cstheme="minorHAnsi"/>
          <w:spacing w:val="-1"/>
          <w:sz w:val="24"/>
        </w:rPr>
        <w:t>respectively</w:t>
      </w:r>
      <w:r w:rsidRPr="00F54559">
        <w:rPr>
          <w:rFonts w:eastAsia="Times New Roman" w:cstheme="minorHAnsi"/>
          <w:spacing w:val="-1"/>
          <w:sz w:val="24"/>
        </w:rPr>
        <w:t>, using the following actuarial assumptions, applied to all periods included in the measurement:</w:t>
      </w:r>
    </w:p>
    <w:p w14:paraId="478ED10F" w14:textId="77777777" w:rsidR="00051D7E" w:rsidRPr="00F54559" w:rsidRDefault="00051D7E" w:rsidP="00051D7E">
      <w:pPr>
        <w:tabs>
          <w:tab w:val="left" w:pos="900"/>
        </w:tabs>
        <w:ind w:right="-7"/>
        <w:rPr>
          <w:rFonts w:eastAsia="Times New Roman" w:cstheme="minorHAnsi"/>
          <w:spacing w:val="-1"/>
          <w:sz w:val="24"/>
        </w:rPr>
      </w:pPr>
    </w:p>
    <w:p w14:paraId="4CF6FAC0" w14:textId="77777777" w:rsidR="00051D7E" w:rsidRPr="00BC1813" w:rsidRDefault="00051D7E" w:rsidP="00051D7E">
      <w:pPr>
        <w:widowControl w:val="0"/>
        <w:pBdr>
          <w:top w:val="single" w:sz="4" w:space="1" w:color="00688D"/>
        </w:pBdr>
        <w:tabs>
          <w:tab w:val="left" w:pos="3510"/>
        </w:tabs>
        <w:ind w:left="540" w:right="360"/>
        <w:rPr>
          <w:rFonts w:eastAsia="Franklin Gothic Book" w:cstheme="minorHAnsi"/>
          <w:sz w:val="24"/>
          <w:szCs w:val="24"/>
        </w:rPr>
      </w:pPr>
      <w:r w:rsidRPr="00BC1813">
        <w:rPr>
          <w:rFonts w:eastAsia="Franklin Gothic Book" w:cstheme="minorHAnsi"/>
          <w:sz w:val="24"/>
          <w:szCs w:val="24"/>
        </w:rPr>
        <w:t>Actuarial cost method</w:t>
      </w:r>
      <w:r w:rsidRPr="00BC1813">
        <w:rPr>
          <w:rFonts w:eastAsia="Franklin Gothic Book" w:cstheme="minorHAnsi"/>
          <w:sz w:val="24"/>
          <w:szCs w:val="24"/>
        </w:rPr>
        <w:tab/>
        <w:t>Entry age normal</w:t>
      </w:r>
    </w:p>
    <w:p w14:paraId="39FE6A79" w14:textId="77777777" w:rsidR="00051D7E" w:rsidRPr="00BC1813" w:rsidRDefault="00051D7E" w:rsidP="00051D7E">
      <w:pPr>
        <w:widowControl w:val="0"/>
        <w:pBdr>
          <w:top w:val="single" w:sz="4" w:space="1" w:color="00688D"/>
        </w:pBdr>
        <w:tabs>
          <w:tab w:val="left" w:pos="3510"/>
        </w:tabs>
        <w:ind w:left="540" w:right="360"/>
        <w:rPr>
          <w:rFonts w:eastAsia="Franklin Gothic Book" w:cstheme="minorHAnsi"/>
          <w:sz w:val="24"/>
          <w:szCs w:val="24"/>
        </w:rPr>
      </w:pPr>
      <w:r w:rsidRPr="00BC1813">
        <w:rPr>
          <w:rFonts w:eastAsia="Franklin Gothic Book" w:cstheme="minorHAnsi"/>
          <w:sz w:val="24"/>
          <w:szCs w:val="24"/>
        </w:rPr>
        <w:t>Actuarial asset method</w:t>
      </w:r>
      <w:r w:rsidRPr="00BC1813">
        <w:rPr>
          <w:rFonts w:eastAsia="Franklin Gothic Book" w:cstheme="minorHAnsi"/>
          <w:sz w:val="24"/>
          <w:szCs w:val="24"/>
        </w:rPr>
        <w:tab/>
        <w:t>Market value</w:t>
      </w:r>
    </w:p>
    <w:p w14:paraId="70476BD0" w14:textId="77777777" w:rsidR="00051D7E" w:rsidRPr="00BC1813" w:rsidRDefault="00051D7E" w:rsidP="00051D7E">
      <w:pPr>
        <w:widowControl w:val="0"/>
        <w:tabs>
          <w:tab w:val="left" w:pos="3510"/>
        </w:tabs>
        <w:ind w:left="540" w:right="360"/>
        <w:rPr>
          <w:rFonts w:eastAsia="Franklin Gothic Book" w:cstheme="minorHAnsi"/>
          <w:sz w:val="24"/>
          <w:szCs w:val="24"/>
        </w:rPr>
      </w:pPr>
      <w:r w:rsidRPr="00BC1813">
        <w:rPr>
          <w:rFonts w:eastAsia="Franklin Gothic Book" w:cstheme="minorHAnsi"/>
          <w:sz w:val="24"/>
          <w:szCs w:val="24"/>
        </w:rPr>
        <w:t>Inflation</w:t>
      </w:r>
      <w:r w:rsidRPr="00BC1813">
        <w:rPr>
          <w:rFonts w:eastAsia="Franklin Gothic Book" w:cstheme="minorHAnsi"/>
          <w:sz w:val="24"/>
          <w:szCs w:val="24"/>
        </w:rPr>
        <w:tab/>
      </w:r>
      <w:r w:rsidRPr="00FE714D">
        <w:rPr>
          <w:rFonts w:eastAsia="Franklin Gothic Book" w:cstheme="minorHAnsi"/>
          <w:sz w:val="24"/>
          <w:szCs w:val="24"/>
        </w:rPr>
        <w:t>2.</w:t>
      </w:r>
      <w:r>
        <w:rPr>
          <w:rFonts w:eastAsia="Franklin Gothic Book" w:cstheme="minorHAnsi"/>
          <w:sz w:val="24"/>
          <w:szCs w:val="24"/>
        </w:rPr>
        <w:t>2% as of June 30, 2021; 2.4% as of June 30, 2020</w:t>
      </w:r>
      <w:r w:rsidRPr="00BC1813">
        <w:rPr>
          <w:rFonts w:eastAsia="Franklin Gothic Book" w:cstheme="minorHAnsi"/>
          <w:sz w:val="24"/>
          <w:szCs w:val="24"/>
        </w:rPr>
        <w:t xml:space="preserve"> </w:t>
      </w:r>
    </w:p>
    <w:p w14:paraId="7EFFEBD1" w14:textId="77777777" w:rsidR="00051D7E" w:rsidRDefault="00051D7E" w:rsidP="00051D7E">
      <w:pPr>
        <w:widowControl w:val="0"/>
        <w:tabs>
          <w:tab w:val="left" w:pos="3510"/>
        </w:tabs>
        <w:ind w:left="3510" w:right="360" w:hanging="2970"/>
        <w:rPr>
          <w:rFonts w:eastAsia="Franklin Gothic Book" w:cstheme="minorHAnsi"/>
          <w:sz w:val="24"/>
          <w:szCs w:val="24"/>
        </w:rPr>
      </w:pPr>
      <w:r w:rsidRPr="00BC1813">
        <w:rPr>
          <w:rFonts w:eastAsia="Franklin Gothic Book" w:cstheme="minorHAnsi"/>
          <w:sz w:val="24"/>
          <w:szCs w:val="24"/>
        </w:rPr>
        <w:t>Investment rate of return</w:t>
      </w:r>
      <w:r w:rsidRPr="00BC1813">
        <w:rPr>
          <w:rFonts w:eastAsia="Franklin Gothic Book" w:cstheme="minorHAnsi"/>
          <w:sz w:val="24"/>
          <w:szCs w:val="24"/>
        </w:rPr>
        <w:tab/>
      </w:r>
      <w:r w:rsidRPr="002E5BFE">
        <w:rPr>
          <w:rFonts w:eastAsia="Franklin Gothic Book" w:cstheme="minorHAnsi"/>
          <w:sz w:val="24"/>
          <w:szCs w:val="24"/>
        </w:rPr>
        <w:t>7.25</w:t>
      </w:r>
      <w:r w:rsidRPr="001B7623">
        <w:rPr>
          <w:rFonts w:eastAsia="Franklin Gothic Book" w:cstheme="minorHAnsi"/>
          <w:sz w:val="24"/>
          <w:szCs w:val="24"/>
        </w:rPr>
        <w:t>% net of investment expenses, including inflation</w:t>
      </w:r>
      <w:r>
        <w:rPr>
          <w:rFonts w:eastAsia="Franklin Gothic Book" w:cstheme="minorHAnsi"/>
          <w:sz w:val="24"/>
          <w:szCs w:val="24"/>
        </w:rPr>
        <w:t xml:space="preserve"> as of June 30, 2021 and 2020</w:t>
      </w:r>
    </w:p>
    <w:p w14:paraId="3B06A870" w14:textId="77777777" w:rsidR="00051D7E" w:rsidRDefault="00051D7E" w:rsidP="00051D7E">
      <w:pPr>
        <w:widowControl w:val="0"/>
        <w:tabs>
          <w:tab w:val="left" w:pos="3510"/>
        </w:tabs>
        <w:ind w:left="3510" w:right="360" w:hanging="2970"/>
        <w:rPr>
          <w:rFonts w:eastAsia="Franklin Gothic Book" w:cstheme="minorHAnsi"/>
          <w:spacing w:val="-1"/>
          <w:sz w:val="24"/>
          <w:szCs w:val="24"/>
        </w:rPr>
      </w:pPr>
      <w:r w:rsidRPr="00BC1813">
        <w:rPr>
          <w:rFonts w:eastAsia="Franklin Gothic Book" w:cstheme="minorHAnsi"/>
          <w:sz w:val="24"/>
          <w:szCs w:val="24"/>
        </w:rPr>
        <w:t>Healthcare cost trend rate</w:t>
      </w:r>
      <w:r w:rsidRPr="00BC1813">
        <w:rPr>
          <w:rFonts w:eastAsia="Franklin Gothic Book" w:cstheme="minorHAnsi"/>
          <w:sz w:val="24"/>
          <w:szCs w:val="24"/>
        </w:rPr>
        <w:tab/>
      </w:r>
      <w:r w:rsidRPr="00FE714D">
        <w:rPr>
          <w:rFonts w:eastAsia="Franklin Gothic Book" w:cstheme="minorHAnsi"/>
          <w:spacing w:val="-1"/>
          <w:sz w:val="24"/>
          <w:szCs w:val="24"/>
        </w:rPr>
        <w:t xml:space="preserve">6% for 2021 decreasing .25% per year to 5.25%, then grading down to an ultimate trend rate of 4%, utilizing the Society of Actuaries </w:t>
      </w:r>
      <w:proofErr w:type="spellStart"/>
      <w:r w:rsidRPr="00FE714D">
        <w:rPr>
          <w:rFonts w:eastAsia="Franklin Gothic Book" w:cstheme="minorHAnsi"/>
          <w:spacing w:val="-1"/>
          <w:sz w:val="24"/>
          <w:szCs w:val="24"/>
        </w:rPr>
        <w:t>Getzen</w:t>
      </w:r>
      <w:proofErr w:type="spellEnd"/>
      <w:r w:rsidRPr="00FE714D">
        <w:rPr>
          <w:rFonts w:eastAsia="Franklin Gothic Book" w:cstheme="minorHAnsi"/>
          <w:spacing w:val="-1"/>
          <w:sz w:val="24"/>
          <w:szCs w:val="24"/>
        </w:rPr>
        <w:t xml:space="preserve"> Medical Trend Model. The ultimate medical inflation rate is reached in 2075</w:t>
      </w:r>
      <w:r w:rsidRPr="00BC1813">
        <w:rPr>
          <w:rFonts w:eastAsia="Franklin Gothic Book" w:cstheme="minorHAnsi"/>
          <w:spacing w:val="-1"/>
          <w:sz w:val="24"/>
          <w:szCs w:val="24"/>
        </w:rPr>
        <w:t>.</w:t>
      </w:r>
    </w:p>
    <w:p w14:paraId="65D00B0F" w14:textId="77777777" w:rsidR="007317C6" w:rsidRDefault="00051D7E" w:rsidP="00051D7E">
      <w:pPr>
        <w:widowControl w:val="0"/>
        <w:tabs>
          <w:tab w:val="left" w:pos="3510"/>
        </w:tabs>
        <w:ind w:left="3510" w:right="360" w:hanging="2970"/>
        <w:rPr>
          <w:rFonts w:eastAsia="Franklin Gothic Book" w:cstheme="minorHAnsi"/>
          <w:spacing w:val="-1"/>
          <w:sz w:val="24"/>
        </w:rPr>
      </w:pPr>
      <w:r>
        <w:rPr>
          <w:rFonts w:eastAsia="Franklin Gothic Book" w:cstheme="minorHAnsi"/>
          <w:spacing w:val="-1"/>
          <w:sz w:val="24"/>
        </w:rPr>
        <w:tab/>
      </w:r>
    </w:p>
    <w:p w14:paraId="09789FBE" w14:textId="0B64B3BE" w:rsidR="00051D7E" w:rsidRDefault="00EB11D3" w:rsidP="00051D7E">
      <w:pPr>
        <w:widowControl w:val="0"/>
        <w:tabs>
          <w:tab w:val="left" w:pos="3510"/>
        </w:tabs>
        <w:ind w:left="3510" w:right="360" w:hanging="2970"/>
        <w:rPr>
          <w:rFonts w:eastAsia="Franklin Gothic Book" w:cstheme="minorHAnsi"/>
          <w:spacing w:val="-1"/>
          <w:sz w:val="24"/>
        </w:rPr>
      </w:pPr>
      <w:r>
        <w:rPr>
          <w:rFonts w:eastAsia="Franklin Gothic Book" w:cstheme="minorHAnsi"/>
          <w:spacing w:val="-1"/>
          <w:sz w:val="24"/>
        </w:rPr>
        <w:tab/>
      </w:r>
      <w:r w:rsidR="00051D7E" w:rsidRPr="00F54559">
        <w:rPr>
          <w:rFonts w:eastAsia="Franklin Gothic Book" w:cstheme="minorHAnsi"/>
          <w:spacing w:val="-1"/>
          <w:sz w:val="24"/>
        </w:rPr>
        <w:t xml:space="preserve">8% </w:t>
      </w:r>
      <w:r w:rsidR="00051D7E">
        <w:rPr>
          <w:rFonts w:eastAsia="Franklin Gothic Book" w:cstheme="minorHAnsi"/>
          <w:spacing w:val="-1"/>
          <w:sz w:val="24"/>
        </w:rPr>
        <w:t xml:space="preserve">for 2020 </w:t>
      </w:r>
      <w:r w:rsidR="00051D7E" w:rsidRPr="00F54559">
        <w:rPr>
          <w:rFonts w:eastAsia="Franklin Gothic Book" w:cstheme="minorHAnsi"/>
          <w:spacing w:val="-1"/>
          <w:sz w:val="24"/>
        </w:rPr>
        <w:t xml:space="preserve">decreasing .5% per year to 5.5%, then grading down to an ultimate trend rate of 3.9%, utilizing the Society of Actuaries </w:t>
      </w:r>
      <w:proofErr w:type="spellStart"/>
      <w:r w:rsidR="00051D7E" w:rsidRPr="00F54559">
        <w:rPr>
          <w:rFonts w:eastAsia="Franklin Gothic Book" w:cstheme="minorHAnsi"/>
          <w:spacing w:val="-1"/>
          <w:sz w:val="24"/>
        </w:rPr>
        <w:t>Getzen</w:t>
      </w:r>
      <w:proofErr w:type="spellEnd"/>
      <w:r w:rsidR="00051D7E" w:rsidRPr="00F54559">
        <w:rPr>
          <w:rFonts w:eastAsia="Franklin Gothic Book" w:cstheme="minorHAnsi"/>
          <w:spacing w:val="-1"/>
          <w:sz w:val="24"/>
        </w:rPr>
        <w:t xml:space="preserve"> Medical Trend Model. The ultimate medical inflation rate is reached in 2075.</w:t>
      </w:r>
    </w:p>
    <w:p w14:paraId="31502F9B" w14:textId="77777777" w:rsidR="00EB11D3" w:rsidRDefault="00EB11D3" w:rsidP="00051D7E">
      <w:pPr>
        <w:widowControl w:val="0"/>
        <w:tabs>
          <w:tab w:val="left" w:pos="3510"/>
        </w:tabs>
        <w:ind w:left="3510" w:right="360" w:hanging="2970"/>
        <w:rPr>
          <w:rFonts w:eastAsia="Franklin Gothic Book" w:cstheme="minorHAnsi"/>
          <w:spacing w:val="-1"/>
          <w:sz w:val="24"/>
          <w:szCs w:val="24"/>
        </w:rPr>
      </w:pPr>
    </w:p>
    <w:p w14:paraId="7394E156" w14:textId="77777777" w:rsidR="00051D7E" w:rsidRDefault="00051D7E" w:rsidP="00051D7E">
      <w:pPr>
        <w:widowControl w:val="0"/>
        <w:tabs>
          <w:tab w:val="left" w:pos="3510"/>
        </w:tabs>
        <w:ind w:left="3510" w:right="360" w:hanging="2970"/>
        <w:rPr>
          <w:rFonts w:eastAsia="Franklin Gothic Book" w:cstheme="minorHAnsi"/>
          <w:spacing w:val="-1"/>
          <w:sz w:val="24"/>
          <w:szCs w:val="24"/>
        </w:rPr>
      </w:pPr>
      <w:r>
        <w:rPr>
          <w:rFonts w:eastAsia="Franklin Gothic Book" w:cstheme="minorHAnsi"/>
          <w:spacing w:val="-1"/>
          <w:sz w:val="24"/>
          <w:szCs w:val="24"/>
        </w:rPr>
        <w:t>Prescription drug trend rates</w:t>
      </w:r>
      <w:r>
        <w:rPr>
          <w:rFonts w:eastAsia="Franklin Gothic Book" w:cstheme="minorHAnsi"/>
          <w:spacing w:val="-1"/>
          <w:sz w:val="24"/>
          <w:szCs w:val="24"/>
        </w:rPr>
        <w:tab/>
        <w:t xml:space="preserve">6.5% for 2021, decreasing .25% per year to an ultimate </w:t>
      </w:r>
    </w:p>
    <w:p w14:paraId="31958B9E" w14:textId="77777777" w:rsidR="00051D7E" w:rsidRDefault="00051D7E" w:rsidP="00051D7E">
      <w:pPr>
        <w:widowControl w:val="0"/>
        <w:tabs>
          <w:tab w:val="left" w:pos="3510"/>
        </w:tabs>
        <w:ind w:left="3510" w:right="360" w:hanging="2970"/>
        <w:rPr>
          <w:rFonts w:eastAsia="Franklin Gothic Book" w:cstheme="minorHAnsi"/>
          <w:spacing w:val="-1"/>
          <w:sz w:val="24"/>
          <w:szCs w:val="24"/>
        </w:rPr>
      </w:pPr>
      <w:r>
        <w:rPr>
          <w:rFonts w:eastAsia="Franklin Gothic Book" w:cstheme="minorHAnsi"/>
          <w:spacing w:val="-1"/>
          <w:sz w:val="24"/>
          <w:szCs w:val="24"/>
        </w:rPr>
        <w:t>(Catastrophic prescription</w:t>
      </w:r>
      <w:r>
        <w:rPr>
          <w:rFonts w:eastAsia="Franklin Gothic Book" w:cstheme="minorHAnsi"/>
          <w:spacing w:val="-1"/>
          <w:sz w:val="24"/>
          <w:szCs w:val="24"/>
        </w:rPr>
        <w:tab/>
        <w:t>trend rate of 5 percent. Drug HRA)</w:t>
      </w:r>
    </w:p>
    <w:p w14:paraId="5119EB1D" w14:textId="77777777" w:rsidR="00051D7E" w:rsidRPr="00BC1813" w:rsidRDefault="00051D7E" w:rsidP="00051D7E">
      <w:pPr>
        <w:widowControl w:val="0"/>
        <w:tabs>
          <w:tab w:val="left" w:pos="3510"/>
        </w:tabs>
        <w:ind w:left="3510" w:right="360" w:hanging="2970"/>
        <w:rPr>
          <w:rFonts w:eastAsia="Franklin Gothic Book" w:cstheme="minorHAnsi"/>
          <w:sz w:val="24"/>
          <w:szCs w:val="24"/>
        </w:rPr>
      </w:pPr>
      <w:r>
        <w:rPr>
          <w:rFonts w:eastAsia="Franklin Gothic Book" w:cstheme="minorHAnsi"/>
          <w:spacing w:val="-1"/>
          <w:sz w:val="24"/>
          <w:szCs w:val="24"/>
        </w:rPr>
        <w:t>Drug HRA)</w:t>
      </w:r>
      <w:r>
        <w:rPr>
          <w:rFonts w:eastAsia="Franklin Gothic Book" w:cstheme="minorHAnsi"/>
          <w:spacing w:val="-1"/>
          <w:sz w:val="24"/>
          <w:szCs w:val="24"/>
        </w:rPr>
        <w:tab/>
      </w:r>
    </w:p>
    <w:p w14:paraId="6A5D92A5" w14:textId="77777777" w:rsidR="00051D7E" w:rsidRDefault="00051D7E" w:rsidP="00051D7E">
      <w:pPr>
        <w:widowControl w:val="0"/>
        <w:pBdr>
          <w:bottom w:val="single" w:sz="4" w:space="1" w:color="00688D"/>
        </w:pBdr>
        <w:tabs>
          <w:tab w:val="left" w:pos="3510"/>
        </w:tabs>
        <w:ind w:left="3510" w:right="360" w:hanging="2970"/>
        <w:rPr>
          <w:rFonts w:eastAsia="Franklin Gothic Book" w:cstheme="minorHAnsi"/>
          <w:spacing w:val="-1"/>
          <w:sz w:val="24"/>
          <w:szCs w:val="24"/>
        </w:rPr>
      </w:pPr>
      <w:r w:rsidRPr="00BC1813">
        <w:rPr>
          <w:rFonts w:eastAsia="Franklin Gothic Book" w:cstheme="minorHAnsi"/>
          <w:sz w:val="24"/>
          <w:szCs w:val="24"/>
        </w:rPr>
        <w:t>Life expectancy</w:t>
      </w:r>
      <w:r>
        <w:rPr>
          <w:rFonts w:eastAsia="Franklin Gothic Book" w:cstheme="minorHAnsi"/>
          <w:sz w:val="24"/>
          <w:szCs w:val="24"/>
        </w:rPr>
        <w:tab/>
        <w:t xml:space="preserve">Pre-retirement and post-retirement mortality rates were based on the </w:t>
      </w:r>
      <w:r>
        <w:rPr>
          <w:rFonts w:eastAsia="Franklin Gothic Book" w:cstheme="minorHAnsi"/>
          <w:spacing w:val="-1"/>
          <w:sz w:val="24"/>
          <w:szCs w:val="24"/>
        </w:rPr>
        <w:t>Pub-2010 headcount-weighted Mortality Table projected with fully generational mortality improvement using Scale MP-2020.</w:t>
      </w:r>
    </w:p>
    <w:p w14:paraId="22CFBF5A" w14:textId="77777777" w:rsidR="00051D7E" w:rsidRPr="00BC1813" w:rsidRDefault="00051D7E" w:rsidP="00051D7E">
      <w:pPr>
        <w:widowControl w:val="0"/>
        <w:pBdr>
          <w:bottom w:val="single" w:sz="4" w:space="1" w:color="00688D"/>
        </w:pBdr>
        <w:tabs>
          <w:tab w:val="left" w:pos="3510"/>
        </w:tabs>
        <w:ind w:left="3510" w:right="360" w:hanging="2970"/>
        <w:rPr>
          <w:rFonts w:eastAsia="Franklin Gothic Book" w:cstheme="minorHAnsi"/>
          <w:spacing w:val="-1"/>
          <w:sz w:val="24"/>
          <w:szCs w:val="24"/>
        </w:rPr>
      </w:pPr>
      <w:r>
        <w:rPr>
          <w:rFonts w:eastAsia="Franklin Gothic Book" w:cstheme="minorHAnsi"/>
          <w:spacing w:val="-1"/>
          <w:sz w:val="24"/>
          <w:szCs w:val="24"/>
        </w:rPr>
        <w:tab/>
        <w:t>For disabled lives, the mortality rates were based on the Pub-2010 headcount-weighted Disabled Mortality Table projected with fully generational mortality improvement using Scale MP-2020.</w:t>
      </w:r>
    </w:p>
    <w:p w14:paraId="16EC9965" w14:textId="77777777" w:rsidR="00051D7E" w:rsidRDefault="00051D7E" w:rsidP="00051D7E">
      <w:pPr>
        <w:widowControl w:val="0"/>
        <w:ind w:right="-7"/>
        <w:rPr>
          <w:rFonts w:eastAsia="Franklin Gothic Book" w:cstheme="minorHAnsi"/>
          <w:sz w:val="24"/>
        </w:rPr>
      </w:pPr>
      <w:r>
        <w:rPr>
          <w:rFonts w:eastAsia="Franklin Gothic Book" w:cstheme="minorHAnsi"/>
          <w:sz w:val="24"/>
        </w:rPr>
        <w:br w:type="page"/>
      </w:r>
    </w:p>
    <w:p w14:paraId="0DC565ED" w14:textId="77777777" w:rsidR="00051D7E" w:rsidRDefault="00051D7E" w:rsidP="009014A7">
      <w:pPr>
        <w:spacing w:before="240" w:after="120" w:line="259" w:lineRule="auto"/>
        <w:rPr>
          <w:rFonts w:eastAsiaTheme="majorEastAsia" w:cstheme="minorHAnsi"/>
          <w:b/>
          <w:i/>
          <w:iCs/>
          <w:smallCaps/>
          <w:noProof/>
          <w:color w:val="000000" w:themeColor="text1"/>
          <w:sz w:val="26"/>
          <w:szCs w:val="26"/>
          <w:u w:color="5B9BD5"/>
        </w:rPr>
      </w:pPr>
      <w:r w:rsidRPr="00F54559">
        <w:rPr>
          <w:rFonts w:eastAsiaTheme="majorEastAsia" w:cstheme="minorHAnsi"/>
          <w:b/>
          <w:i/>
          <w:iCs/>
          <w:smallCaps/>
          <w:noProof/>
          <w:color w:val="000000" w:themeColor="text1"/>
          <w:sz w:val="26"/>
          <w:szCs w:val="26"/>
          <w:u w:color="5B9BD5"/>
        </w:rPr>
        <w:lastRenderedPageBreak/>
        <w:t xml:space="preserve">14. POSTEMPLOYMENT HEALTH PLAN </w:t>
      </w:r>
      <w:r>
        <w:rPr>
          <w:rFonts w:eastAsiaTheme="majorEastAsia" w:cstheme="minorHAnsi"/>
          <w:b/>
          <w:i/>
          <w:iCs/>
          <w:smallCaps/>
          <w:noProof/>
          <w:color w:val="000000" w:themeColor="text1"/>
          <w:sz w:val="26"/>
          <w:szCs w:val="26"/>
          <w:u w:color="5B9BD5"/>
        </w:rPr>
        <w:t>–</w:t>
      </w:r>
      <w:r w:rsidRPr="00F54559">
        <w:rPr>
          <w:rFonts w:eastAsiaTheme="majorEastAsia" w:cstheme="minorHAnsi"/>
          <w:b/>
          <w:i/>
          <w:iCs/>
          <w:smallCaps/>
          <w:noProof/>
          <w:color w:val="000000" w:themeColor="text1"/>
          <w:sz w:val="26"/>
          <w:szCs w:val="26"/>
          <w:u w:color="5B9BD5"/>
        </w:rPr>
        <w:t xml:space="preserve"> CONTINUED</w:t>
      </w:r>
    </w:p>
    <w:p w14:paraId="68E3EB58" w14:textId="77777777" w:rsidR="00051D7E" w:rsidRPr="00F54559" w:rsidRDefault="00051D7E" w:rsidP="00051D7E">
      <w:pPr>
        <w:spacing w:after="160" w:line="259" w:lineRule="auto"/>
        <w:rPr>
          <w:rFonts w:eastAsia="Times New Roman" w:cstheme="minorHAnsi"/>
          <w:b/>
          <w:i/>
          <w:spacing w:val="-1"/>
          <w:sz w:val="24"/>
        </w:rPr>
      </w:pPr>
      <w:r w:rsidRPr="00F54559">
        <w:rPr>
          <w:rFonts w:eastAsia="Franklin Gothic Book" w:cstheme="minorHAnsi"/>
          <w:spacing w:val="-1"/>
          <w:sz w:val="24"/>
        </w:rPr>
        <w:t>T</w:t>
      </w:r>
      <w:r w:rsidRPr="00F54559">
        <w:rPr>
          <w:rFonts w:eastAsia="Franklin Gothic Book" w:cstheme="minorHAnsi"/>
          <w:sz w:val="24"/>
        </w:rPr>
        <w:t>he</w:t>
      </w:r>
      <w:r w:rsidRPr="00F54559">
        <w:rPr>
          <w:rFonts w:eastAsia="Franklin Gothic Book" w:cstheme="minorHAnsi"/>
          <w:spacing w:val="11"/>
          <w:sz w:val="24"/>
        </w:rPr>
        <w:t xml:space="preserve"> </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ng-te</w:t>
      </w:r>
      <w:r w:rsidRPr="00F54559">
        <w:rPr>
          <w:rFonts w:eastAsia="Franklin Gothic Book" w:cstheme="minorHAnsi"/>
          <w:spacing w:val="-2"/>
          <w:sz w:val="24"/>
        </w:rPr>
        <w:t>r</w:t>
      </w:r>
      <w:r w:rsidRPr="00F54559">
        <w:rPr>
          <w:rFonts w:eastAsia="Franklin Gothic Book" w:cstheme="minorHAnsi"/>
          <w:sz w:val="24"/>
        </w:rPr>
        <w:t>m</w:t>
      </w:r>
      <w:r w:rsidRPr="00F54559">
        <w:rPr>
          <w:rFonts w:eastAsia="Franklin Gothic Book" w:cstheme="minorHAnsi"/>
          <w:spacing w:val="11"/>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2"/>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9"/>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12"/>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9"/>
          <w:sz w:val="24"/>
        </w:rPr>
        <w:t xml:space="preserve"> </w:t>
      </w:r>
      <w:r w:rsidRPr="00F54559">
        <w:rPr>
          <w:rFonts w:eastAsia="Franklin Gothic Book" w:cstheme="minorHAnsi"/>
          <w:spacing w:val="-1"/>
          <w:sz w:val="24"/>
        </w:rPr>
        <w:t>o</w:t>
      </w:r>
      <w:r w:rsidRPr="00F54559">
        <w:rPr>
          <w:rFonts w:eastAsia="Franklin Gothic Book" w:cstheme="minorHAnsi"/>
          <w:sz w:val="24"/>
        </w:rPr>
        <w:t>n</w:t>
      </w:r>
      <w:r w:rsidRPr="00F54559">
        <w:rPr>
          <w:rFonts w:eastAsia="Franklin Gothic Book" w:cstheme="minorHAnsi"/>
          <w:spacing w:val="11"/>
          <w:sz w:val="24"/>
        </w:rPr>
        <w:t xml:space="preserve"> </w:t>
      </w:r>
      <w:r w:rsidRPr="00F54559">
        <w:rPr>
          <w:rFonts w:eastAsia="Franklin Gothic Book" w:cstheme="minorHAnsi"/>
          <w:spacing w:val="-1"/>
          <w:sz w:val="24"/>
        </w:rPr>
        <w:t>OPEB</w:t>
      </w:r>
      <w:r w:rsidRPr="00F54559">
        <w:rPr>
          <w:rFonts w:eastAsia="Franklin Gothic Book" w:cstheme="minorHAnsi"/>
          <w:spacing w:val="9"/>
          <w:sz w:val="24"/>
        </w:rPr>
        <w:t xml:space="preserve"> </w:t>
      </w:r>
      <w:r w:rsidRPr="00F54559">
        <w:rPr>
          <w:rFonts w:eastAsia="Franklin Gothic Book" w:cstheme="minorHAnsi"/>
          <w:spacing w:val="-1"/>
          <w:sz w:val="24"/>
        </w:rPr>
        <w:t>P</w:t>
      </w:r>
      <w:r w:rsidRPr="00F54559">
        <w:rPr>
          <w:rFonts w:eastAsia="Franklin Gothic Book" w:cstheme="minorHAnsi"/>
          <w:sz w:val="24"/>
        </w:rPr>
        <w:t>lan</w:t>
      </w:r>
      <w:r w:rsidRPr="00F54559">
        <w:rPr>
          <w:rFonts w:eastAsia="Franklin Gothic Book" w:cstheme="minorHAnsi"/>
          <w:spacing w:val="11"/>
          <w:sz w:val="24"/>
        </w:rPr>
        <w:t xml:space="preserve"> </w:t>
      </w: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ments</w:t>
      </w:r>
      <w:r w:rsidRPr="00F54559">
        <w:rPr>
          <w:rFonts w:eastAsia="Franklin Gothic Book" w:cstheme="minorHAnsi"/>
          <w:spacing w:val="12"/>
          <w:sz w:val="24"/>
        </w:rPr>
        <w:t xml:space="preserve"> </w:t>
      </w:r>
      <w:r w:rsidRPr="00F54559">
        <w:rPr>
          <w:rFonts w:eastAsia="Franklin Gothic Book" w:cstheme="minorHAnsi"/>
          <w:sz w:val="24"/>
        </w:rPr>
        <w:t>was</w:t>
      </w:r>
      <w:r w:rsidRPr="00F54559">
        <w:rPr>
          <w:rFonts w:eastAsia="Franklin Gothic Book" w:cstheme="minorHAnsi"/>
          <w:spacing w:val="12"/>
          <w:sz w:val="24"/>
        </w:rPr>
        <w:t xml:space="preserve"> </w:t>
      </w:r>
      <w:r w:rsidRPr="00F54559">
        <w:rPr>
          <w:rFonts w:eastAsia="Franklin Gothic Book" w:cstheme="minorHAnsi"/>
          <w:sz w:val="24"/>
        </w:rPr>
        <w:t>dete</w:t>
      </w:r>
      <w:r w:rsidRPr="00F54559">
        <w:rPr>
          <w:rFonts w:eastAsia="Franklin Gothic Book" w:cstheme="minorHAnsi"/>
          <w:spacing w:val="-1"/>
          <w:sz w:val="24"/>
        </w:rPr>
        <w:t>r</w:t>
      </w:r>
      <w:r w:rsidRPr="00F54559">
        <w:rPr>
          <w:rFonts w:eastAsia="Franklin Gothic Book" w:cstheme="minorHAnsi"/>
          <w:sz w:val="24"/>
        </w:rPr>
        <w:t>mined</w:t>
      </w:r>
      <w:r w:rsidRPr="00F54559">
        <w:rPr>
          <w:rFonts w:eastAsia="Franklin Gothic Book" w:cstheme="minorHAnsi"/>
          <w:spacing w:val="10"/>
          <w:sz w:val="24"/>
        </w:rPr>
        <w:t xml:space="preserve"> </w:t>
      </w:r>
      <w:r w:rsidRPr="00F54559">
        <w:rPr>
          <w:rFonts w:eastAsia="Franklin Gothic Book" w:cstheme="minorHAnsi"/>
          <w:sz w:val="24"/>
        </w:rPr>
        <w:t>u</w:t>
      </w:r>
      <w:r w:rsidRPr="00F54559">
        <w:rPr>
          <w:rFonts w:eastAsia="Franklin Gothic Book" w:cstheme="minorHAnsi"/>
          <w:spacing w:val="1"/>
          <w:sz w:val="24"/>
        </w:rPr>
        <w:t>s</w:t>
      </w:r>
      <w:r w:rsidRPr="00F54559">
        <w:rPr>
          <w:rFonts w:eastAsia="Franklin Gothic Book" w:cstheme="minorHAnsi"/>
          <w:sz w:val="24"/>
        </w:rPr>
        <w:t>ing</w:t>
      </w:r>
      <w:r w:rsidRPr="00F54559">
        <w:rPr>
          <w:rFonts w:eastAsia="Franklin Gothic Book" w:cstheme="minorHAnsi"/>
          <w:spacing w:val="11"/>
          <w:sz w:val="24"/>
        </w:rPr>
        <w:t xml:space="preserve"> </w:t>
      </w:r>
      <w:r w:rsidRPr="00F54559">
        <w:rPr>
          <w:rFonts w:eastAsia="Franklin Gothic Book" w:cstheme="minorHAnsi"/>
          <w:sz w:val="24"/>
        </w:rPr>
        <w:t>a</w:t>
      </w:r>
      <w:r w:rsidRPr="00F54559">
        <w:rPr>
          <w:rFonts w:eastAsia="Franklin Gothic Book" w:cstheme="minorHAnsi"/>
          <w:spacing w:val="10"/>
          <w:sz w:val="24"/>
        </w:rPr>
        <w:t xml:space="preserve"> </w:t>
      </w:r>
      <w:r w:rsidRPr="00F54559">
        <w:rPr>
          <w:rFonts w:eastAsia="Franklin Gothic Book" w:cstheme="minorHAnsi"/>
          <w:sz w:val="24"/>
        </w:rPr>
        <w:t>building-bl</w:t>
      </w:r>
      <w:r w:rsidRPr="00F54559">
        <w:rPr>
          <w:rFonts w:eastAsia="Franklin Gothic Book" w:cstheme="minorHAnsi"/>
          <w:spacing w:val="-1"/>
          <w:sz w:val="24"/>
        </w:rPr>
        <w:t>o</w:t>
      </w:r>
      <w:r w:rsidRPr="00F54559">
        <w:rPr>
          <w:rFonts w:eastAsia="Franklin Gothic Book" w:cstheme="minorHAnsi"/>
          <w:sz w:val="24"/>
        </w:rPr>
        <w:t>ck</w:t>
      </w:r>
      <w:r w:rsidRPr="00F54559">
        <w:rPr>
          <w:rFonts w:eastAsia="Franklin Gothic Book" w:cstheme="minorHAnsi"/>
          <w:w w:val="99"/>
          <w:sz w:val="24"/>
        </w:rPr>
        <w:t xml:space="preserve"> </w:t>
      </w:r>
      <w:r w:rsidRPr="00F54559">
        <w:rPr>
          <w:rFonts w:eastAsia="Franklin Gothic Book" w:cstheme="minorHAnsi"/>
          <w:sz w:val="24"/>
        </w:rPr>
        <w:t>method</w:t>
      </w:r>
      <w:r w:rsidRPr="00F54559">
        <w:rPr>
          <w:rFonts w:eastAsia="Franklin Gothic Book" w:cstheme="minorHAnsi"/>
          <w:spacing w:val="34"/>
          <w:sz w:val="24"/>
        </w:rPr>
        <w:t xml:space="preserve"> </w:t>
      </w:r>
      <w:r w:rsidRPr="00F54559">
        <w:rPr>
          <w:rFonts w:eastAsia="Franklin Gothic Book" w:cstheme="minorHAnsi"/>
          <w:sz w:val="24"/>
        </w:rPr>
        <w:t>in</w:t>
      </w:r>
      <w:r w:rsidRPr="00F54559">
        <w:rPr>
          <w:rFonts w:eastAsia="Franklin Gothic Book" w:cstheme="minorHAnsi"/>
          <w:spacing w:val="33"/>
          <w:sz w:val="24"/>
        </w:rPr>
        <w:t xml:space="preserve"> </w:t>
      </w:r>
      <w:r w:rsidRPr="00F54559">
        <w:rPr>
          <w:rFonts w:eastAsia="Franklin Gothic Book" w:cstheme="minorHAnsi"/>
          <w:sz w:val="24"/>
        </w:rPr>
        <w:t>which</w:t>
      </w:r>
      <w:r w:rsidRPr="00F54559">
        <w:rPr>
          <w:rFonts w:eastAsia="Franklin Gothic Book" w:cstheme="minorHAnsi"/>
          <w:spacing w:val="34"/>
          <w:sz w:val="24"/>
        </w:rPr>
        <w:t xml:space="preserve"> </w:t>
      </w:r>
      <w:r w:rsidRPr="00F54559">
        <w:rPr>
          <w:rFonts w:eastAsia="Franklin Gothic Book" w:cstheme="minorHAnsi"/>
          <w:sz w:val="24"/>
        </w:rPr>
        <w:t>bes</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ima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35"/>
          <w:sz w:val="24"/>
        </w:rPr>
        <w:t xml:space="preserve"> </w:t>
      </w:r>
      <w:r w:rsidRPr="00F54559">
        <w:rPr>
          <w:rFonts w:eastAsia="Franklin Gothic Book" w:cstheme="minorHAnsi"/>
          <w:spacing w:val="-1"/>
          <w:sz w:val="24"/>
        </w:rPr>
        <w:t>r</w:t>
      </w:r>
      <w:r w:rsidRPr="00F54559">
        <w:rPr>
          <w:rFonts w:eastAsia="Franklin Gothic Book" w:cstheme="minorHAnsi"/>
          <w:sz w:val="24"/>
        </w:rPr>
        <w:t>anges</w:t>
      </w:r>
      <w:r w:rsidRPr="00F54559">
        <w:rPr>
          <w:rFonts w:eastAsia="Franklin Gothic Book" w:cstheme="minorHAnsi"/>
          <w:spacing w:val="34"/>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3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31"/>
          <w:sz w:val="24"/>
        </w:rPr>
        <w:t xml:space="preserve"> </w:t>
      </w:r>
      <w:r w:rsidRPr="00F54559">
        <w:rPr>
          <w:rFonts w:eastAsia="Franklin Gothic Book" w:cstheme="minorHAnsi"/>
          <w:sz w:val="24"/>
        </w:rPr>
        <w:t>fu</w:t>
      </w:r>
      <w:r w:rsidRPr="00F54559">
        <w:rPr>
          <w:rFonts w:eastAsia="Franklin Gothic Book" w:cstheme="minorHAnsi"/>
          <w:spacing w:val="1"/>
          <w:sz w:val="24"/>
        </w:rPr>
        <w:t>t</w:t>
      </w:r>
      <w:r w:rsidRPr="00F54559">
        <w:rPr>
          <w:rFonts w:eastAsia="Franklin Gothic Book" w:cstheme="minorHAnsi"/>
          <w:sz w:val="24"/>
        </w:rPr>
        <w:t>u</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34"/>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34"/>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Pr>
          <w:rFonts w:eastAsia="Franklin Gothic Book" w:cstheme="minorHAnsi"/>
          <w:sz w:val="24"/>
        </w:rPr>
        <w:t xml:space="preserve"> </w:t>
      </w:r>
      <w:r w:rsidRPr="00F54559">
        <w:rPr>
          <w:rFonts w:eastAsia="Franklin Gothic Book" w:cstheme="minorHAnsi"/>
          <w:spacing w:val="-1"/>
          <w:sz w:val="24"/>
        </w:rPr>
        <w:t>(</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1"/>
          <w:sz w:val="24"/>
        </w:rPr>
        <w:t>s</w:t>
      </w:r>
      <w:r w:rsidRPr="00F54559">
        <w:rPr>
          <w:rFonts w:eastAsia="Franklin Gothic Book" w:cstheme="minorHAnsi"/>
          <w:sz w:val="24"/>
        </w:rPr>
        <w:t>,</w:t>
      </w:r>
      <w:r w:rsidRPr="00F54559">
        <w:rPr>
          <w:rFonts w:eastAsia="Franklin Gothic Book" w:cstheme="minorHAnsi"/>
          <w:spacing w:val="34"/>
          <w:sz w:val="24"/>
        </w:rPr>
        <w:t xml:space="preserve"> </w:t>
      </w:r>
      <w:r w:rsidRPr="00F54559">
        <w:rPr>
          <w:rFonts w:eastAsia="Franklin Gothic Book" w:cstheme="minorHAnsi"/>
          <w:sz w:val="24"/>
        </w:rPr>
        <w:t>net</w:t>
      </w:r>
      <w:r w:rsidRPr="00F54559">
        <w:rPr>
          <w:rFonts w:eastAsia="Franklin Gothic Book" w:cstheme="minorHAnsi"/>
          <w:spacing w:val="32"/>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pacing w:val="-1"/>
          <w:sz w:val="24"/>
        </w:rPr>
        <w:t>OPEB Pl</w:t>
      </w:r>
      <w:r w:rsidRPr="00F54559">
        <w:rPr>
          <w:rFonts w:eastAsia="Franklin Gothic Book" w:cstheme="minorHAnsi"/>
          <w:sz w:val="24"/>
        </w:rPr>
        <w:t>an</w:t>
      </w:r>
      <w:r w:rsidRPr="00F54559">
        <w:rPr>
          <w:rFonts w:eastAsia="Franklin Gothic Book" w:cstheme="minorHAnsi"/>
          <w:spacing w:val="-5"/>
          <w:sz w:val="24"/>
        </w:rPr>
        <w:t xml:space="preserve"> </w:t>
      </w: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w:t>
      </w:r>
      <w:r w:rsidRPr="00F54559">
        <w:rPr>
          <w:rFonts w:eastAsia="Franklin Gothic Book" w:cstheme="minorHAnsi"/>
          <w:spacing w:val="-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ense</w:t>
      </w:r>
      <w:r w:rsidRPr="00F54559">
        <w:rPr>
          <w:rFonts w:eastAsia="Franklin Gothic Book" w:cstheme="minorHAnsi"/>
          <w:spacing w:val="-4"/>
          <w:sz w:val="24"/>
        </w:rPr>
        <w:t xml:space="preserve"> </w:t>
      </w:r>
      <w:r w:rsidRPr="00F54559">
        <w:rPr>
          <w:rFonts w:eastAsia="Franklin Gothic Book" w:cstheme="minorHAnsi"/>
          <w:sz w:val="24"/>
        </w:rPr>
        <w:t>and</w:t>
      </w:r>
      <w:r w:rsidRPr="00F54559">
        <w:rPr>
          <w:rFonts w:eastAsia="Franklin Gothic Book" w:cstheme="minorHAnsi"/>
          <w:spacing w:val="-5"/>
          <w:sz w:val="24"/>
        </w:rPr>
        <w:t xml:space="preserve"> </w:t>
      </w: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4"/>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5"/>
          <w:sz w:val="24"/>
        </w:rPr>
        <w:t xml:space="preserve"> </w:t>
      </w:r>
      <w:r w:rsidRPr="00F54559">
        <w:rPr>
          <w:rFonts w:eastAsia="Franklin Gothic Book" w:cstheme="minorHAnsi"/>
          <w:sz w:val="24"/>
        </w:rPr>
        <w:t>de</w:t>
      </w:r>
      <w:r w:rsidRPr="00F54559">
        <w:rPr>
          <w:rFonts w:eastAsia="Franklin Gothic Book" w:cstheme="minorHAnsi"/>
          <w:spacing w:val="-2"/>
          <w:sz w:val="24"/>
        </w:rPr>
        <w:t>v</w:t>
      </w:r>
      <w:r w:rsidRPr="00F54559">
        <w:rPr>
          <w:rFonts w:eastAsia="Franklin Gothic Book" w:cstheme="minorHAnsi"/>
          <w:sz w:val="24"/>
        </w:rPr>
        <w:t>e</w:t>
      </w:r>
      <w:r w:rsidRPr="00F54559">
        <w:rPr>
          <w:rFonts w:eastAsia="Franklin Gothic Book" w:cstheme="minorHAnsi"/>
          <w:spacing w:val="-1"/>
          <w:sz w:val="24"/>
        </w:rPr>
        <w:t>l</w:t>
      </w:r>
      <w:r w:rsidRPr="00F54559">
        <w:rPr>
          <w:rFonts w:eastAsia="Franklin Gothic Book" w:cstheme="minorHAnsi"/>
          <w:sz w:val="24"/>
        </w:rPr>
        <w:t>o</w:t>
      </w:r>
      <w:r w:rsidRPr="00F54559">
        <w:rPr>
          <w:rFonts w:eastAsia="Franklin Gothic Book" w:cstheme="minorHAnsi"/>
          <w:spacing w:val="-2"/>
          <w:sz w:val="24"/>
        </w:rPr>
        <w:t>p</w:t>
      </w:r>
      <w:r w:rsidRPr="00F54559">
        <w:rPr>
          <w:rFonts w:eastAsia="Franklin Gothic Book" w:cstheme="minorHAnsi"/>
          <w:sz w:val="24"/>
        </w:rPr>
        <w:t>ed</w:t>
      </w:r>
      <w:r w:rsidRPr="00F54559">
        <w:rPr>
          <w:rFonts w:eastAsia="Franklin Gothic Book" w:cstheme="minorHAnsi"/>
          <w:spacing w:val="-2"/>
          <w:sz w:val="24"/>
        </w:rPr>
        <w:t xml:space="preserve"> </w:t>
      </w:r>
      <w:r w:rsidRPr="00F54559">
        <w:rPr>
          <w:rFonts w:eastAsia="Franklin Gothic Book" w:cstheme="minorHAnsi"/>
          <w:sz w:val="24"/>
        </w:rPr>
        <w:t>for</w:t>
      </w:r>
      <w:r w:rsidRPr="00F54559">
        <w:rPr>
          <w:rFonts w:eastAsia="Franklin Gothic Book" w:cstheme="minorHAnsi"/>
          <w:spacing w:val="-5"/>
          <w:sz w:val="24"/>
        </w:rPr>
        <w:t xml:space="preserve"> </w:t>
      </w:r>
      <w:r w:rsidRPr="00F54559">
        <w:rPr>
          <w:rFonts w:eastAsia="Franklin Gothic Book" w:cstheme="minorHAnsi"/>
          <w:sz w:val="24"/>
        </w:rPr>
        <w:t>each</w:t>
      </w:r>
      <w:r w:rsidRPr="00F54559">
        <w:rPr>
          <w:rFonts w:eastAsia="Franklin Gothic Book" w:cstheme="minorHAnsi"/>
          <w:spacing w:val="-2"/>
          <w:sz w:val="24"/>
        </w:rPr>
        <w:t xml:space="preserve"> </w:t>
      </w:r>
      <w:r w:rsidRPr="00F54559">
        <w:rPr>
          <w:rFonts w:eastAsia="Franklin Gothic Book" w:cstheme="minorHAnsi"/>
          <w:sz w:val="24"/>
        </w:rPr>
        <w:t>major</w:t>
      </w:r>
      <w:r w:rsidRPr="00F54559">
        <w:rPr>
          <w:rFonts w:eastAsia="Franklin Gothic Book" w:cstheme="minorHAnsi"/>
          <w:spacing w:val="-6"/>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1"/>
          <w:sz w:val="24"/>
        </w:rPr>
        <w:t xml:space="preserve"> </w:t>
      </w:r>
      <w:r w:rsidRPr="00F54559">
        <w:rPr>
          <w:rFonts w:eastAsia="Franklin Gothic Book" w:cstheme="minorHAnsi"/>
          <w:sz w:val="24"/>
        </w:rPr>
        <w:t>cla</w:t>
      </w:r>
      <w:r w:rsidRPr="00F54559">
        <w:rPr>
          <w:rFonts w:eastAsia="Franklin Gothic Book" w:cstheme="minorHAnsi"/>
          <w:spacing w:val="1"/>
          <w:sz w:val="24"/>
        </w:rPr>
        <w:t>ss</w:t>
      </w:r>
      <w:r w:rsidRPr="00F54559">
        <w:rPr>
          <w:rFonts w:eastAsia="Franklin Gothic Book" w:cstheme="minorHAnsi"/>
          <w:sz w:val="24"/>
        </w:rPr>
        <w:t>.</w:t>
      </w:r>
      <w:r w:rsidRPr="00F54559">
        <w:rPr>
          <w:rFonts w:eastAsia="Franklin Gothic Book" w:cstheme="minorHAnsi"/>
          <w:spacing w:val="41"/>
          <w:sz w:val="24"/>
        </w:rPr>
        <w:t xml:space="preserve"> </w:t>
      </w:r>
      <w:r w:rsidRPr="00F54559">
        <w:rPr>
          <w:rFonts w:eastAsia="Franklin Gothic Book" w:cstheme="minorHAnsi"/>
          <w:spacing w:val="-1"/>
          <w:sz w:val="24"/>
        </w:rPr>
        <w:t>T</w:t>
      </w:r>
      <w:r w:rsidRPr="00F54559">
        <w:rPr>
          <w:rFonts w:eastAsia="Franklin Gothic Book" w:cstheme="minorHAnsi"/>
          <w:sz w:val="24"/>
        </w:rPr>
        <w:t>hese</w:t>
      </w:r>
      <w:r w:rsidRPr="00F54559">
        <w:rPr>
          <w:rFonts w:eastAsia="Franklin Gothic Book" w:cstheme="minorHAnsi"/>
          <w:spacing w:val="-3"/>
          <w:sz w:val="24"/>
        </w:rPr>
        <w:t xml:space="preserve"> </w:t>
      </w:r>
      <w:r w:rsidRPr="00F54559">
        <w:rPr>
          <w:rFonts w:eastAsia="Franklin Gothic Book" w:cstheme="minorHAnsi"/>
          <w:spacing w:val="-1"/>
          <w:sz w:val="24"/>
        </w:rPr>
        <w:t>r</w:t>
      </w:r>
      <w:r w:rsidRPr="00F54559">
        <w:rPr>
          <w:rFonts w:eastAsia="Franklin Gothic Book" w:cstheme="minorHAnsi"/>
          <w:sz w:val="24"/>
        </w:rPr>
        <w:t>anges</w:t>
      </w:r>
      <w:r w:rsidRPr="00F54559">
        <w:rPr>
          <w:rFonts w:eastAsia="Franklin Gothic Book" w:cstheme="minorHAnsi"/>
          <w:spacing w:val="-3"/>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w w:val="99"/>
          <w:sz w:val="24"/>
        </w:rPr>
        <w:t xml:space="preserve"> </w:t>
      </w:r>
      <w:r w:rsidRPr="00F54559">
        <w:rPr>
          <w:rFonts w:eastAsia="Franklin Gothic Book" w:cstheme="minorHAnsi"/>
          <w:sz w:val="24"/>
        </w:rPr>
        <w:t>combined</w:t>
      </w:r>
      <w:r w:rsidRPr="00F54559">
        <w:rPr>
          <w:rFonts w:eastAsia="Franklin Gothic Book" w:cstheme="minorHAnsi"/>
          <w:spacing w:val="15"/>
          <w:sz w:val="24"/>
        </w:rPr>
        <w:t xml:space="preserve"> </w:t>
      </w:r>
      <w:r w:rsidRPr="00F54559">
        <w:rPr>
          <w:rFonts w:eastAsia="Franklin Gothic Book" w:cstheme="minorHAnsi"/>
          <w:spacing w:val="1"/>
          <w:sz w:val="24"/>
        </w:rPr>
        <w:t>t</w:t>
      </w:r>
      <w:r w:rsidRPr="00F54559">
        <w:rPr>
          <w:rFonts w:eastAsia="Franklin Gothic Book" w:cstheme="minorHAnsi"/>
          <w:sz w:val="24"/>
        </w:rPr>
        <w:t>o</w:t>
      </w:r>
      <w:r w:rsidRPr="00F54559">
        <w:rPr>
          <w:rFonts w:eastAsia="Franklin Gothic Book" w:cstheme="minorHAnsi"/>
          <w:spacing w:val="14"/>
          <w:sz w:val="24"/>
        </w:rPr>
        <w:t xml:space="preserve"> </w:t>
      </w:r>
      <w:r w:rsidRPr="00F54559">
        <w:rPr>
          <w:rFonts w:eastAsia="Franklin Gothic Book" w:cstheme="minorHAnsi"/>
          <w:spacing w:val="-1"/>
          <w:sz w:val="24"/>
        </w:rPr>
        <w:t>pr</w:t>
      </w:r>
      <w:r w:rsidRPr="00F54559">
        <w:rPr>
          <w:rFonts w:eastAsia="Franklin Gothic Book" w:cstheme="minorHAnsi"/>
          <w:sz w:val="24"/>
        </w:rPr>
        <w:t>odu</w:t>
      </w:r>
      <w:r w:rsidRPr="00F54559">
        <w:rPr>
          <w:rFonts w:eastAsia="Franklin Gothic Book" w:cstheme="minorHAnsi"/>
          <w:spacing w:val="1"/>
          <w:sz w:val="24"/>
        </w:rPr>
        <w:t>c</w:t>
      </w:r>
      <w:r w:rsidRPr="00F54559">
        <w:rPr>
          <w:rFonts w:eastAsia="Franklin Gothic Book" w:cstheme="minorHAnsi"/>
          <w:sz w:val="24"/>
        </w:rPr>
        <w:t>e</w:t>
      </w:r>
      <w:r w:rsidRPr="00F54559">
        <w:rPr>
          <w:rFonts w:eastAsia="Franklin Gothic Book" w:cstheme="minorHAnsi"/>
          <w:spacing w:val="16"/>
          <w:sz w:val="24"/>
        </w:rPr>
        <w:t xml:space="preserve"> </w:t>
      </w:r>
      <w:r w:rsidRPr="00F54559">
        <w:rPr>
          <w:rFonts w:eastAsia="Franklin Gothic Book" w:cstheme="minorHAnsi"/>
          <w:sz w:val="24"/>
        </w:rPr>
        <w:t>the</w:t>
      </w:r>
      <w:r w:rsidRPr="00F54559">
        <w:rPr>
          <w:rFonts w:eastAsia="Franklin Gothic Book" w:cstheme="minorHAnsi"/>
          <w:spacing w:val="15"/>
          <w:sz w:val="24"/>
        </w:rPr>
        <w:t xml:space="preserve"> </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ng-te</w:t>
      </w:r>
      <w:r w:rsidRPr="00F54559">
        <w:rPr>
          <w:rFonts w:eastAsia="Franklin Gothic Book" w:cstheme="minorHAnsi"/>
          <w:spacing w:val="-2"/>
          <w:sz w:val="24"/>
        </w:rPr>
        <w:t>r</w:t>
      </w:r>
      <w:r w:rsidRPr="00F54559">
        <w:rPr>
          <w:rFonts w:eastAsia="Franklin Gothic Book" w:cstheme="minorHAnsi"/>
          <w:sz w:val="24"/>
        </w:rPr>
        <w:t>m</w:t>
      </w:r>
      <w:r w:rsidRPr="00F54559">
        <w:rPr>
          <w:rFonts w:eastAsia="Franklin Gothic Book" w:cstheme="minorHAnsi"/>
          <w:spacing w:val="19"/>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5"/>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16"/>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15"/>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17"/>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13"/>
          <w:sz w:val="24"/>
        </w:rPr>
        <w:t xml:space="preserve"> </w:t>
      </w:r>
      <w:r w:rsidRPr="00F54559">
        <w:rPr>
          <w:rFonts w:eastAsia="Franklin Gothic Book" w:cstheme="minorHAnsi"/>
          <w:sz w:val="24"/>
        </w:rPr>
        <w:t>w</w:t>
      </w:r>
      <w:r w:rsidRPr="00F54559">
        <w:rPr>
          <w:rFonts w:eastAsia="Franklin Gothic Book" w:cstheme="minorHAnsi"/>
          <w:spacing w:val="-1"/>
          <w:sz w:val="24"/>
        </w:rPr>
        <w:t>e</w:t>
      </w:r>
      <w:r w:rsidRPr="00F54559">
        <w:rPr>
          <w:rFonts w:eastAsia="Franklin Gothic Book" w:cstheme="minorHAnsi"/>
          <w:sz w:val="24"/>
        </w:rPr>
        <w:t>ighting</w:t>
      </w:r>
      <w:r w:rsidRPr="00F54559">
        <w:rPr>
          <w:rFonts w:eastAsia="Franklin Gothic Book" w:cstheme="minorHAnsi"/>
          <w:spacing w:val="18"/>
          <w:sz w:val="24"/>
        </w:rPr>
        <w:t xml:space="preserve"> </w:t>
      </w:r>
      <w:r w:rsidRPr="00F54559">
        <w:rPr>
          <w:rFonts w:eastAsia="Franklin Gothic Book" w:cstheme="minorHAnsi"/>
          <w:sz w:val="24"/>
        </w:rPr>
        <w:t>the</w:t>
      </w:r>
      <w:r w:rsidRPr="00F54559">
        <w:rPr>
          <w:rFonts w:eastAsia="Franklin Gothic Book" w:cstheme="minorHAnsi"/>
          <w:spacing w:val="1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8"/>
          <w:sz w:val="24"/>
        </w:rPr>
        <w:t xml:space="preserve"> </w:t>
      </w:r>
      <w:r w:rsidRPr="00F54559">
        <w:rPr>
          <w:rFonts w:eastAsia="Franklin Gothic Book" w:cstheme="minorHAnsi"/>
          <w:sz w:val="24"/>
        </w:rPr>
        <w:t>fu</w:t>
      </w:r>
      <w:r w:rsidRPr="00F54559">
        <w:rPr>
          <w:rFonts w:eastAsia="Franklin Gothic Book" w:cstheme="minorHAnsi"/>
          <w:spacing w:val="1"/>
          <w:sz w:val="24"/>
        </w:rPr>
        <w:t>t</w:t>
      </w:r>
      <w:r w:rsidRPr="00F54559">
        <w:rPr>
          <w:rFonts w:eastAsia="Franklin Gothic Book" w:cstheme="minorHAnsi"/>
          <w:sz w:val="24"/>
        </w:rPr>
        <w:t>u</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14"/>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17"/>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15"/>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45"/>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44"/>
          <w:sz w:val="24"/>
        </w:rPr>
        <w:t xml:space="preserve"> </w:t>
      </w:r>
      <w:r w:rsidRPr="00F54559">
        <w:rPr>
          <w:rFonts w:eastAsia="Franklin Gothic Book" w:cstheme="minorHAnsi"/>
          <w:sz w:val="24"/>
        </w:rPr>
        <w:t>the</w:t>
      </w:r>
      <w:r w:rsidRPr="00F54559">
        <w:rPr>
          <w:rFonts w:eastAsia="Franklin Gothic Book" w:cstheme="minorHAnsi"/>
          <w:spacing w:val="46"/>
          <w:sz w:val="24"/>
        </w:rPr>
        <w:t xml:space="preserve"> </w:t>
      </w:r>
      <w:r w:rsidRPr="00F54559">
        <w:rPr>
          <w:rFonts w:eastAsia="Franklin Gothic Book" w:cstheme="minorHAnsi"/>
          <w:sz w:val="24"/>
        </w:rPr>
        <w:t>ta</w:t>
      </w:r>
      <w:r w:rsidRPr="00F54559">
        <w:rPr>
          <w:rFonts w:eastAsia="Franklin Gothic Book" w:cstheme="minorHAnsi"/>
          <w:spacing w:val="-1"/>
          <w:sz w:val="24"/>
        </w:rPr>
        <w:t>r</w:t>
      </w:r>
      <w:r w:rsidRPr="00F54559">
        <w:rPr>
          <w:rFonts w:eastAsia="Franklin Gothic Book" w:cstheme="minorHAnsi"/>
          <w:sz w:val="24"/>
        </w:rPr>
        <w:t>get</w:t>
      </w:r>
      <w:r w:rsidRPr="00F54559">
        <w:rPr>
          <w:rFonts w:eastAsia="Franklin Gothic Book" w:cstheme="minorHAnsi"/>
          <w:spacing w:val="47"/>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46"/>
          <w:sz w:val="24"/>
        </w:rPr>
        <w:t xml:space="preserve"> </w:t>
      </w:r>
      <w:r w:rsidRPr="00F54559">
        <w:rPr>
          <w:rFonts w:eastAsia="Franklin Gothic Book" w:cstheme="minorHAnsi"/>
          <w:sz w:val="24"/>
        </w:rPr>
        <w:t>alloca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46"/>
          <w:sz w:val="24"/>
        </w:rPr>
        <w:t xml:space="preserve"> </w:t>
      </w:r>
      <w:r w:rsidRPr="00F54559">
        <w:rPr>
          <w:rFonts w:eastAsia="Franklin Gothic Book" w:cstheme="minorHAnsi"/>
          <w:spacing w:val="-1"/>
          <w:sz w:val="24"/>
        </w:rPr>
        <w:t>p</w:t>
      </w:r>
      <w:r w:rsidRPr="00F54559">
        <w:rPr>
          <w:rFonts w:eastAsia="Franklin Gothic Book" w:cstheme="minorHAnsi"/>
          <w:sz w:val="24"/>
        </w:rPr>
        <w:t>e</w:t>
      </w:r>
      <w:r w:rsidRPr="00F54559">
        <w:rPr>
          <w:rFonts w:eastAsia="Franklin Gothic Book" w:cstheme="minorHAnsi"/>
          <w:spacing w:val="-2"/>
          <w:sz w:val="24"/>
        </w:rPr>
        <w:t>r</w:t>
      </w:r>
      <w:r w:rsidRPr="00F54559">
        <w:rPr>
          <w:rFonts w:eastAsia="Franklin Gothic Book" w:cstheme="minorHAnsi"/>
          <w:sz w:val="24"/>
        </w:rPr>
        <w:t>centage</w:t>
      </w:r>
      <w:r w:rsidRPr="00F54559">
        <w:rPr>
          <w:rFonts w:eastAsia="Franklin Gothic Book" w:cstheme="minorHAnsi"/>
          <w:spacing w:val="46"/>
          <w:sz w:val="24"/>
        </w:rPr>
        <w:t xml:space="preserve"> </w:t>
      </w:r>
      <w:r w:rsidRPr="00F54559">
        <w:rPr>
          <w:rFonts w:eastAsia="Franklin Gothic Book" w:cstheme="minorHAnsi"/>
          <w:sz w:val="24"/>
        </w:rPr>
        <w:t>and</w:t>
      </w:r>
      <w:r w:rsidRPr="00F54559">
        <w:rPr>
          <w:rFonts w:eastAsia="Franklin Gothic Book" w:cstheme="minorHAnsi"/>
          <w:spacing w:val="46"/>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44"/>
          <w:sz w:val="24"/>
        </w:rPr>
        <w:t xml:space="preserve"> </w:t>
      </w:r>
      <w:r w:rsidRPr="00F54559">
        <w:rPr>
          <w:rFonts w:eastAsia="Franklin Gothic Book" w:cstheme="minorHAnsi"/>
          <w:sz w:val="24"/>
        </w:rPr>
        <w:t>adding</w:t>
      </w:r>
      <w:r w:rsidRPr="00F54559">
        <w:rPr>
          <w:rFonts w:eastAsia="Franklin Gothic Book" w:cstheme="minorHAnsi"/>
          <w:spacing w:val="4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46"/>
          <w:sz w:val="24"/>
        </w:rPr>
        <w:t xml:space="preserve"> </w:t>
      </w: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p w14:paraId="0AC87C4B" w14:textId="77777777" w:rsidR="00051D7E" w:rsidRPr="00F54559" w:rsidRDefault="00051D7E" w:rsidP="00051D7E">
      <w:pPr>
        <w:widowControl w:val="0"/>
        <w:spacing w:after="240"/>
        <w:ind w:right="-7"/>
        <w:rPr>
          <w:rFonts w:eastAsia="Franklin Gothic Book" w:cstheme="minorHAnsi"/>
          <w:sz w:val="24"/>
        </w:rPr>
      </w:pPr>
      <w:r w:rsidRPr="00F54559">
        <w:rPr>
          <w:rFonts w:eastAsia="Franklin Gothic Book" w:cstheme="minorHAnsi"/>
          <w:sz w:val="24"/>
        </w:rPr>
        <w:t>B</w:t>
      </w:r>
      <w:r w:rsidRPr="00F54559">
        <w:rPr>
          <w:rFonts w:eastAsia="Franklin Gothic Book" w:cstheme="minorHAnsi"/>
          <w:spacing w:val="-1"/>
          <w:sz w:val="24"/>
        </w:rPr>
        <w:t>e</w:t>
      </w:r>
      <w:r w:rsidRPr="00F54559">
        <w:rPr>
          <w:rFonts w:eastAsia="Franklin Gothic Book" w:cstheme="minorHAnsi"/>
          <w:spacing w:val="1"/>
          <w:sz w:val="24"/>
        </w:rPr>
        <w:t>s</w:t>
      </w:r>
      <w:r w:rsidRPr="00F54559">
        <w:rPr>
          <w:rFonts w:eastAsia="Franklin Gothic Book" w:cstheme="minorHAnsi"/>
          <w:sz w:val="24"/>
        </w:rPr>
        <w:t>t</w:t>
      </w:r>
      <w:r w:rsidRPr="00F54559">
        <w:rPr>
          <w:rFonts w:eastAsia="Franklin Gothic Book" w:cstheme="minorHAnsi"/>
          <w:spacing w:val="47"/>
          <w:sz w:val="24"/>
        </w:rPr>
        <w:t xml:space="preserve"> </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ima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44"/>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ith</w:t>
      </w:r>
      <w:r w:rsidRPr="00F54559">
        <w:rPr>
          <w:rFonts w:eastAsia="Franklin Gothic Book" w:cstheme="minorHAnsi"/>
          <w:spacing w:val="1"/>
          <w:sz w:val="24"/>
        </w:rPr>
        <w:t>m</w:t>
      </w:r>
      <w:r w:rsidRPr="00F54559">
        <w:rPr>
          <w:rFonts w:eastAsia="Franklin Gothic Book" w:cstheme="minorHAnsi"/>
          <w:sz w:val="24"/>
        </w:rPr>
        <w:t>etic</w:t>
      </w:r>
      <w:r w:rsidRPr="00F54559">
        <w:rPr>
          <w:rFonts w:eastAsia="Franklin Gothic Book" w:cstheme="minorHAnsi"/>
          <w:spacing w:val="45"/>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40"/>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45"/>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4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45"/>
          <w:sz w:val="24"/>
        </w:rPr>
        <w:t xml:space="preserve"> </w:t>
      </w:r>
      <w:r w:rsidRPr="00F54559">
        <w:rPr>
          <w:rFonts w:eastAsia="Franklin Gothic Book" w:cstheme="minorHAnsi"/>
          <w:sz w:val="24"/>
        </w:rPr>
        <w:t>for</w:t>
      </w:r>
      <w:r w:rsidRPr="00F54559">
        <w:rPr>
          <w:rFonts w:eastAsia="Franklin Gothic Book" w:cstheme="minorHAnsi"/>
          <w:spacing w:val="40"/>
          <w:sz w:val="24"/>
        </w:rPr>
        <w:t xml:space="preserve"> </w:t>
      </w:r>
      <w:r w:rsidRPr="00F54559">
        <w:rPr>
          <w:rFonts w:eastAsia="Franklin Gothic Book" w:cstheme="minorHAnsi"/>
          <w:sz w:val="24"/>
        </w:rPr>
        <w:t>each</w:t>
      </w:r>
      <w:r w:rsidRPr="00F54559">
        <w:rPr>
          <w:rFonts w:eastAsia="Franklin Gothic Book" w:cstheme="minorHAnsi"/>
          <w:spacing w:val="45"/>
          <w:sz w:val="24"/>
        </w:rPr>
        <w:t xml:space="preserve"> </w:t>
      </w:r>
      <w:r w:rsidRPr="00F54559">
        <w:rPr>
          <w:rFonts w:eastAsia="Franklin Gothic Book" w:cstheme="minorHAnsi"/>
          <w:sz w:val="24"/>
        </w:rPr>
        <w:t>major</w:t>
      </w:r>
      <w:r w:rsidRPr="00F54559">
        <w:rPr>
          <w:rFonts w:eastAsia="Franklin Gothic Book" w:cstheme="minorHAnsi"/>
          <w:spacing w:val="40"/>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44"/>
          <w:sz w:val="24"/>
        </w:rPr>
        <w:t xml:space="preserve"> </w:t>
      </w:r>
      <w:r w:rsidRPr="00F54559">
        <w:rPr>
          <w:rFonts w:eastAsia="Franklin Gothic Book" w:cstheme="minorHAnsi"/>
          <w:sz w:val="24"/>
        </w:rPr>
        <w:t>cla</w:t>
      </w:r>
      <w:r w:rsidRPr="00F54559">
        <w:rPr>
          <w:rFonts w:eastAsia="Franklin Gothic Book" w:cstheme="minorHAnsi"/>
          <w:spacing w:val="1"/>
          <w:sz w:val="24"/>
        </w:rPr>
        <w:t>s</w:t>
      </w:r>
      <w:r w:rsidRPr="00F54559">
        <w:rPr>
          <w:rFonts w:eastAsia="Franklin Gothic Book" w:cstheme="minorHAnsi"/>
          <w:sz w:val="24"/>
        </w:rPr>
        <w:t>s</w:t>
      </w:r>
      <w:r w:rsidRPr="00F54559">
        <w:rPr>
          <w:rFonts w:eastAsia="Franklin Gothic Book" w:cstheme="minorHAnsi"/>
          <w:spacing w:val="43"/>
          <w:sz w:val="24"/>
        </w:rPr>
        <w:t xml:space="preserve"> </w:t>
      </w:r>
      <w:r w:rsidRPr="00F54559">
        <w:rPr>
          <w:rFonts w:eastAsia="Franklin Gothic Book" w:cstheme="minorHAnsi"/>
          <w:sz w:val="24"/>
        </w:rPr>
        <w:t>included</w:t>
      </w:r>
      <w:r w:rsidRPr="00F54559">
        <w:rPr>
          <w:rFonts w:eastAsia="Franklin Gothic Book" w:cstheme="minorHAnsi"/>
          <w:spacing w:val="44"/>
          <w:sz w:val="24"/>
        </w:rPr>
        <w:t xml:space="preserve"> </w:t>
      </w:r>
      <w:r w:rsidRPr="00F54559">
        <w:rPr>
          <w:rFonts w:eastAsia="Franklin Gothic Book" w:cstheme="minorHAnsi"/>
          <w:sz w:val="24"/>
        </w:rPr>
        <w:t>in</w:t>
      </w:r>
      <w:r w:rsidRPr="00F54559">
        <w:rPr>
          <w:rFonts w:eastAsia="Franklin Gothic Book" w:cstheme="minorHAnsi"/>
          <w:spacing w:val="41"/>
          <w:sz w:val="24"/>
        </w:rPr>
        <w:t xml:space="preserve"> </w:t>
      </w:r>
      <w:r w:rsidRPr="00F54559">
        <w:rPr>
          <w:rFonts w:eastAsia="Franklin Gothic Book" w:cstheme="minorHAnsi"/>
          <w:sz w:val="24"/>
        </w:rPr>
        <w:t>the</w:t>
      </w:r>
      <w:r w:rsidRPr="00F54559">
        <w:rPr>
          <w:rFonts w:eastAsia="Franklin Gothic Book" w:cstheme="minorHAnsi"/>
          <w:spacing w:val="43"/>
          <w:sz w:val="24"/>
        </w:rPr>
        <w:t xml:space="preserve"> </w:t>
      </w:r>
      <w:r w:rsidRPr="00F54559">
        <w:rPr>
          <w:rFonts w:eastAsia="Franklin Gothic Book" w:cstheme="minorHAnsi"/>
          <w:spacing w:val="-1"/>
          <w:sz w:val="24"/>
        </w:rPr>
        <w:t>OPEB</w:t>
      </w:r>
      <w:r w:rsidRPr="00F54559">
        <w:rPr>
          <w:rFonts w:eastAsia="Franklin Gothic Book" w:cstheme="minorHAnsi"/>
          <w:spacing w:val="42"/>
          <w:sz w:val="24"/>
        </w:rPr>
        <w:t xml:space="preserve"> </w:t>
      </w:r>
      <w:r w:rsidRPr="00F54559">
        <w:rPr>
          <w:rFonts w:eastAsia="Franklin Gothic Book" w:cstheme="minorHAnsi"/>
          <w:spacing w:val="-1"/>
          <w:sz w:val="24"/>
        </w:rPr>
        <w:t>P</w:t>
      </w:r>
      <w:r w:rsidRPr="00F54559">
        <w:rPr>
          <w:rFonts w:eastAsia="Franklin Gothic Book" w:cstheme="minorHAnsi"/>
          <w:sz w:val="24"/>
        </w:rPr>
        <w:t>lan's</w:t>
      </w:r>
      <w:r w:rsidRPr="00F54559">
        <w:rPr>
          <w:rFonts w:eastAsia="Franklin Gothic Book" w:cstheme="minorHAnsi"/>
          <w:spacing w:val="44"/>
          <w:sz w:val="24"/>
        </w:rPr>
        <w:t xml:space="preserve"> </w:t>
      </w:r>
      <w:r w:rsidRPr="00F54559">
        <w:rPr>
          <w:rFonts w:eastAsia="Franklin Gothic Book" w:cstheme="minorHAnsi"/>
          <w:sz w:val="24"/>
        </w:rPr>
        <w:t>ta</w:t>
      </w:r>
      <w:r w:rsidRPr="00F54559">
        <w:rPr>
          <w:rFonts w:eastAsia="Franklin Gothic Book" w:cstheme="minorHAnsi"/>
          <w:spacing w:val="-1"/>
          <w:sz w:val="24"/>
        </w:rPr>
        <w:t>r</w:t>
      </w:r>
      <w:r w:rsidRPr="00F54559">
        <w:rPr>
          <w:rFonts w:eastAsia="Franklin Gothic Book" w:cstheme="minorHAnsi"/>
          <w:sz w:val="24"/>
        </w:rPr>
        <w:t>get</w:t>
      </w:r>
      <w:r w:rsidRPr="00F54559">
        <w:rPr>
          <w:rFonts w:eastAsia="Franklin Gothic Book" w:cstheme="minorHAnsi"/>
          <w:spacing w:val="43"/>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w w:val="99"/>
          <w:sz w:val="24"/>
        </w:rPr>
        <w:t xml:space="preserve"> </w:t>
      </w:r>
      <w:r w:rsidRPr="00F54559">
        <w:rPr>
          <w:rFonts w:eastAsia="Franklin Gothic Book" w:cstheme="minorHAnsi"/>
          <w:sz w:val="24"/>
        </w:rPr>
        <w:t>alloca</w:t>
      </w:r>
      <w:r w:rsidRPr="00F54559">
        <w:rPr>
          <w:rFonts w:eastAsia="Franklin Gothic Book" w:cstheme="minorHAnsi"/>
          <w:spacing w:val="1"/>
          <w:sz w:val="24"/>
        </w:rPr>
        <w:t>t</w:t>
      </w:r>
      <w:r w:rsidRPr="00F54559">
        <w:rPr>
          <w:rFonts w:eastAsia="Franklin Gothic Book" w:cstheme="minorHAnsi"/>
          <w:sz w:val="24"/>
        </w:rPr>
        <w:t>ion as</w:t>
      </w:r>
      <w:r w:rsidRPr="00F54559">
        <w:rPr>
          <w:rFonts w:eastAsia="Franklin Gothic Book" w:cstheme="minorHAnsi"/>
          <w:spacing w:val="1"/>
          <w:sz w:val="24"/>
        </w:rPr>
        <w:t xml:space="preserve"> </w:t>
      </w:r>
      <w:r w:rsidRPr="00F54559">
        <w:rPr>
          <w:rFonts w:eastAsia="Franklin Gothic Book" w:cstheme="minorHAnsi"/>
          <w:spacing w:val="-1"/>
          <w:sz w:val="24"/>
        </w:rPr>
        <w:t>o</w:t>
      </w:r>
      <w:r w:rsidRPr="00F54559">
        <w:rPr>
          <w:rFonts w:eastAsia="Franklin Gothic Book" w:cstheme="minorHAnsi"/>
          <w:sz w:val="24"/>
        </w:rPr>
        <w:t xml:space="preserve">f </w:t>
      </w:r>
      <w:r w:rsidRPr="00F54559">
        <w:rPr>
          <w:rFonts w:eastAsia="Franklin Gothic Book" w:cstheme="minorHAnsi"/>
          <w:spacing w:val="-1"/>
          <w:sz w:val="24"/>
        </w:rPr>
        <w:t>Jun</w:t>
      </w:r>
      <w:r w:rsidRPr="00F54559">
        <w:rPr>
          <w:rFonts w:eastAsia="Franklin Gothic Book" w:cstheme="minorHAnsi"/>
          <w:sz w:val="24"/>
        </w:rPr>
        <w:t>e 30</w:t>
      </w:r>
      <w:r w:rsidRPr="00F54559">
        <w:rPr>
          <w:rFonts w:eastAsia="Franklin Gothic Book" w:cstheme="minorHAnsi"/>
          <w:spacing w:val="1"/>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2"/>
          <w:sz w:val="24"/>
        </w:rPr>
        <w:t xml:space="preserve"> </w:t>
      </w:r>
      <w:r w:rsidRPr="00F54559">
        <w:rPr>
          <w:rFonts w:eastAsia="Franklin Gothic Book" w:cstheme="minorHAnsi"/>
          <w:spacing w:val="1"/>
          <w:sz w:val="24"/>
        </w:rPr>
        <w:t>s</w:t>
      </w:r>
      <w:r w:rsidRPr="00F54559">
        <w:rPr>
          <w:rFonts w:eastAsia="Franklin Gothic Book" w:cstheme="minorHAnsi"/>
          <w:sz w:val="24"/>
        </w:rPr>
        <w:t>umma</w:t>
      </w:r>
      <w:r w:rsidRPr="00F54559">
        <w:rPr>
          <w:rFonts w:eastAsia="Franklin Gothic Book" w:cstheme="minorHAnsi"/>
          <w:spacing w:val="-1"/>
          <w:sz w:val="24"/>
        </w:rPr>
        <w:t>r</w:t>
      </w:r>
      <w:r w:rsidRPr="00F54559">
        <w:rPr>
          <w:rFonts w:eastAsia="Franklin Gothic Book" w:cstheme="minorHAnsi"/>
          <w:sz w:val="24"/>
        </w:rPr>
        <w:t>iz</w:t>
      </w:r>
      <w:r w:rsidRPr="00F54559">
        <w:rPr>
          <w:rFonts w:eastAsia="Franklin Gothic Book" w:cstheme="minorHAnsi"/>
          <w:spacing w:val="-1"/>
          <w:sz w:val="24"/>
        </w:rPr>
        <w:t>e</w:t>
      </w:r>
      <w:r w:rsidRPr="00F54559">
        <w:rPr>
          <w:rFonts w:eastAsia="Franklin Gothic Book" w:cstheme="minorHAnsi"/>
          <w:sz w:val="24"/>
        </w:rPr>
        <w:t>d</w:t>
      </w:r>
      <w:r w:rsidRPr="00F54559">
        <w:rPr>
          <w:rFonts w:eastAsia="Franklin Gothic Book" w:cstheme="minorHAnsi"/>
          <w:w w:val="99"/>
          <w:sz w:val="24"/>
        </w:rPr>
        <w:t xml:space="preserve"> </w:t>
      </w:r>
      <w:r w:rsidRPr="00F54559">
        <w:rPr>
          <w:rFonts w:eastAsia="Franklin Gothic Book" w:cstheme="minorHAnsi"/>
          <w:sz w:val="24"/>
        </w:rPr>
        <w:t>in</w:t>
      </w:r>
      <w:r w:rsidRPr="00F54559">
        <w:rPr>
          <w:rFonts w:eastAsia="Franklin Gothic Book" w:cstheme="minorHAnsi"/>
          <w:spacing w:val="-6"/>
          <w:sz w:val="24"/>
        </w:rPr>
        <w:t xml:space="preserve"> </w:t>
      </w:r>
      <w:r w:rsidRPr="00F54559">
        <w:rPr>
          <w:rFonts w:eastAsia="Franklin Gothic Book" w:cstheme="minorHAnsi"/>
          <w:sz w:val="24"/>
        </w:rPr>
        <w:t>the</w:t>
      </w:r>
      <w:r w:rsidRPr="00F54559">
        <w:rPr>
          <w:rFonts w:eastAsia="Franklin Gothic Book" w:cstheme="minorHAnsi"/>
          <w:spacing w:val="-6"/>
          <w:sz w:val="24"/>
        </w:rPr>
        <w:t xml:space="preserve"> </w:t>
      </w:r>
      <w:r w:rsidRPr="00F54559">
        <w:rPr>
          <w:rFonts w:eastAsia="Franklin Gothic Book" w:cstheme="minorHAnsi"/>
          <w:sz w:val="24"/>
        </w:rPr>
        <w:t>fo</w:t>
      </w:r>
      <w:r w:rsidRPr="00F54559">
        <w:rPr>
          <w:rFonts w:eastAsia="Franklin Gothic Book" w:cstheme="minorHAnsi"/>
          <w:spacing w:val="-1"/>
          <w:sz w:val="24"/>
        </w:rPr>
        <w:t>l</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wing</w:t>
      </w:r>
      <w:r w:rsidRPr="00F54559">
        <w:rPr>
          <w:rFonts w:eastAsia="Franklin Gothic Book" w:cstheme="minorHAnsi"/>
          <w:spacing w:val="-6"/>
          <w:sz w:val="24"/>
        </w:rPr>
        <w:t xml:space="preserve"> </w:t>
      </w:r>
      <w:r w:rsidRPr="00F54559">
        <w:rPr>
          <w:rFonts w:eastAsia="Franklin Gothic Book" w:cstheme="minorHAnsi"/>
          <w:sz w:val="24"/>
        </w:rPr>
        <w:t>ta</w:t>
      </w:r>
      <w:r w:rsidRPr="00F54559">
        <w:rPr>
          <w:rFonts w:eastAsia="Franklin Gothic Book" w:cstheme="minorHAnsi"/>
          <w:spacing w:val="1"/>
          <w:sz w:val="24"/>
        </w:rPr>
        <w:t>b</w:t>
      </w:r>
      <w:r w:rsidRPr="00F54559">
        <w:rPr>
          <w:rFonts w:eastAsia="Franklin Gothic Book" w:cstheme="minorHAnsi"/>
          <w:sz w:val="24"/>
        </w:rPr>
        <w:t>l</w:t>
      </w:r>
      <w:r w:rsidRPr="00F54559">
        <w:rPr>
          <w:rFonts w:eastAsia="Franklin Gothic Book" w:cstheme="minorHAnsi"/>
          <w:spacing w:val="-1"/>
          <w:sz w:val="24"/>
        </w:rPr>
        <w:t>e</w:t>
      </w:r>
      <w:r w:rsidRPr="00F54559">
        <w:rPr>
          <w:rFonts w:eastAsia="Franklin Gothic Book" w:cstheme="minorHAnsi"/>
          <w:sz w:val="24"/>
        </w:rPr>
        <w:t>:</w:t>
      </w:r>
      <w:r>
        <w:rPr>
          <w:rFonts w:eastAsia="Franklin Gothic Book" w:cstheme="minorHAnsi"/>
          <w:sz w:val="24"/>
        </w:rPr>
        <w:fldChar w:fldCharType="begin"/>
      </w:r>
      <w:r>
        <w:rPr>
          <w:rFonts w:eastAsia="Franklin Gothic Book" w:cstheme="minorHAnsi"/>
          <w:sz w:val="24"/>
        </w:rPr>
        <w:fldChar w:fldCharType="end"/>
      </w:r>
    </w:p>
    <w:tbl>
      <w:tblPr>
        <w:tblW w:w="9246" w:type="dxa"/>
        <w:jc w:val="center"/>
        <w:tblLook w:val="04A0" w:firstRow="1" w:lastRow="0" w:firstColumn="1" w:lastColumn="0" w:noHBand="0" w:noVBand="1"/>
      </w:tblPr>
      <w:tblGrid>
        <w:gridCol w:w="3545"/>
        <w:gridCol w:w="1311"/>
        <w:gridCol w:w="1600"/>
        <w:gridCol w:w="1155"/>
        <w:gridCol w:w="1635"/>
      </w:tblGrid>
      <w:tr w:rsidR="00051D7E" w:rsidRPr="00F65869" w14:paraId="772B9C9E" w14:textId="77777777" w:rsidTr="007531FB">
        <w:trPr>
          <w:trHeight w:val="375"/>
          <w:tblHeader/>
          <w:jc w:val="center"/>
        </w:trPr>
        <w:tc>
          <w:tcPr>
            <w:tcW w:w="3545" w:type="dxa"/>
            <w:tcBorders>
              <w:top w:val="nil"/>
              <w:left w:val="nil"/>
              <w:bottom w:val="nil"/>
              <w:right w:val="nil"/>
            </w:tcBorders>
            <w:shd w:val="clear" w:color="auto" w:fill="auto"/>
            <w:noWrap/>
            <w:vAlign w:val="bottom"/>
            <w:hideMark/>
          </w:tcPr>
          <w:p w14:paraId="4854FD3F" w14:textId="77777777" w:rsidR="00051D7E" w:rsidRPr="00F65869" w:rsidRDefault="00051D7E" w:rsidP="007531FB">
            <w:pPr>
              <w:rPr>
                <w:rFonts w:ascii="Times New Roman" w:eastAsia="Times New Roman" w:hAnsi="Times New Roman" w:cs="Times New Roman"/>
                <w:sz w:val="24"/>
                <w:szCs w:val="24"/>
              </w:rPr>
            </w:pPr>
          </w:p>
        </w:tc>
        <w:tc>
          <w:tcPr>
            <w:tcW w:w="1311" w:type="dxa"/>
            <w:tcBorders>
              <w:top w:val="nil"/>
              <w:left w:val="nil"/>
              <w:bottom w:val="single" w:sz="12" w:space="0" w:color="44546A"/>
              <w:right w:val="nil"/>
            </w:tcBorders>
            <w:shd w:val="clear" w:color="000000" w:fill="FFFFFF"/>
            <w:vAlign w:val="bottom"/>
            <w:hideMark/>
          </w:tcPr>
          <w:p w14:paraId="7F8435F8" w14:textId="77777777" w:rsidR="00051D7E" w:rsidRPr="00F65869" w:rsidRDefault="00051D7E" w:rsidP="007531FB">
            <w:pPr>
              <w:jc w:val="center"/>
              <w:rPr>
                <w:rFonts w:ascii="Calibri" w:eastAsia="Times New Roman" w:hAnsi="Calibri" w:cs="Calibri"/>
                <w:b/>
                <w:bCs/>
                <w:color w:val="0D0D0D"/>
              </w:rPr>
            </w:pPr>
          </w:p>
        </w:tc>
        <w:tc>
          <w:tcPr>
            <w:tcW w:w="1600" w:type="dxa"/>
            <w:tcBorders>
              <w:top w:val="nil"/>
              <w:left w:val="nil"/>
              <w:bottom w:val="single" w:sz="12" w:space="0" w:color="44546A"/>
              <w:right w:val="nil"/>
            </w:tcBorders>
            <w:shd w:val="clear" w:color="000000" w:fill="FFFFFF"/>
            <w:vAlign w:val="bottom"/>
          </w:tcPr>
          <w:p w14:paraId="0E17745E" w14:textId="77777777" w:rsidR="00051D7E" w:rsidRPr="00F65869" w:rsidRDefault="00051D7E" w:rsidP="007531FB">
            <w:pPr>
              <w:rPr>
                <w:rFonts w:ascii="Calibri" w:eastAsia="Times New Roman" w:hAnsi="Calibri" w:cs="Calibri"/>
                <w:b/>
                <w:bCs/>
                <w:color w:val="0D0D0D"/>
              </w:rPr>
            </w:pPr>
            <w:r w:rsidRPr="00F65869">
              <w:rPr>
                <w:rFonts w:ascii="Calibri" w:eastAsia="Times New Roman" w:hAnsi="Calibri" w:cs="Calibri"/>
                <w:b/>
                <w:bCs/>
                <w:color w:val="0D0D0D"/>
              </w:rPr>
              <w:t>202</w:t>
            </w:r>
            <w:r>
              <w:rPr>
                <w:rFonts w:ascii="Calibri" w:eastAsia="Times New Roman" w:hAnsi="Calibri" w:cs="Calibri"/>
                <w:b/>
                <w:bCs/>
                <w:color w:val="0D0D0D"/>
              </w:rPr>
              <w:t>1</w:t>
            </w:r>
          </w:p>
        </w:tc>
        <w:tc>
          <w:tcPr>
            <w:tcW w:w="1155" w:type="dxa"/>
            <w:tcBorders>
              <w:top w:val="nil"/>
              <w:left w:val="nil"/>
              <w:bottom w:val="single" w:sz="12" w:space="0" w:color="44546A"/>
              <w:right w:val="nil"/>
            </w:tcBorders>
            <w:shd w:val="clear" w:color="auto" w:fill="D9D9D9" w:themeFill="background1" w:themeFillShade="D9"/>
            <w:vAlign w:val="bottom"/>
            <w:hideMark/>
          </w:tcPr>
          <w:p w14:paraId="34D7E4A2" w14:textId="77777777" w:rsidR="00051D7E" w:rsidRPr="00F65869" w:rsidRDefault="00051D7E" w:rsidP="007531FB">
            <w:pPr>
              <w:jc w:val="center"/>
              <w:rPr>
                <w:rFonts w:ascii="Calibri" w:eastAsia="Times New Roman" w:hAnsi="Calibri" w:cs="Calibri"/>
                <w:b/>
                <w:bCs/>
                <w:color w:val="0D0D0D"/>
              </w:rPr>
            </w:pPr>
          </w:p>
        </w:tc>
        <w:tc>
          <w:tcPr>
            <w:tcW w:w="1635" w:type="dxa"/>
            <w:tcBorders>
              <w:top w:val="nil"/>
              <w:left w:val="nil"/>
              <w:bottom w:val="single" w:sz="12" w:space="0" w:color="44546A"/>
              <w:right w:val="nil"/>
            </w:tcBorders>
            <w:shd w:val="clear" w:color="auto" w:fill="D9D9D9" w:themeFill="background1" w:themeFillShade="D9"/>
            <w:vAlign w:val="bottom"/>
          </w:tcPr>
          <w:p w14:paraId="596AF451" w14:textId="77777777" w:rsidR="00051D7E" w:rsidRPr="00F65869" w:rsidRDefault="00051D7E" w:rsidP="007531FB">
            <w:pPr>
              <w:rPr>
                <w:rFonts w:ascii="Calibri" w:eastAsia="Times New Roman" w:hAnsi="Calibri" w:cs="Calibri"/>
                <w:b/>
                <w:bCs/>
                <w:color w:val="0D0D0D"/>
              </w:rPr>
            </w:pPr>
            <w:r w:rsidRPr="00F65869">
              <w:rPr>
                <w:rFonts w:ascii="Calibri" w:eastAsia="Times New Roman" w:hAnsi="Calibri" w:cs="Calibri"/>
                <w:b/>
                <w:bCs/>
                <w:color w:val="0D0D0D"/>
              </w:rPr>
              <w:t>20</w:t>
            </w:r>
            <w:r>
              <w:rPr>
                <w:rFonts w:ascii="Calibri" w:eastAsia="Times New Roman" w:hAnsi="Calibri" w:cs="Calibri"/>
                <w:b/>
                <w:bCs/>
                <w:color w:val="0D0D0D"/>
              </w:rPr>
              <w:t>20</w:t>
            </w:r>
          </w:p>
        </w:tc>
      </w:tr>
      <w:tr w:rsidR="00051D7E" w:rsidRPr="00F65869" w14:paraId="6B6A7E4F" w14:textId="77777777" w:rsidTr="007531FB">
        <w:trPr>
          <w:trHeight w:val="888"/>
          <w:tblHeader/>
          <w:jc w:val="center"/>
        </w:trPr>
        <w:tc>
          <w:tcPr>
            <w:tcW w:w="3545" w:type="dxa"/>
            <w:tcBorders>
              <w:top w:val="nil"/>
              <w:left w:val="nil"/>
              <w:bottom w:val="single" w:sz="12" w:space="0" w:color="44546A"/>
              <w:right w:val="nil"/>
            </w:tcBorders>
            <w:shd w:val="clear" w:color="000000" w:fill="FFFFFF"/>
            <w:noWrap/>
            <w:vAlign w:val="bottom"/>
            <w:hideMark/>
          </w:tcPr>
          <w:p w14:paraId="5F244764" w14:textId="77777777" w:rsidR="00051D7E" w:rsidRPr="00F65869" w:rsidRDefault="00051D7E" w:rsidP="007531FB">
            <w:pPr>
              <w:rPr>
                <w:rFonts w:ascii="Calibri" w:eastAsia="Times New Roman" w:hAnsi="Calibri" w:cs="Calibri"/>
                <w:b/>
                <w:bCs/>
                <w:color w:val="0D0D0D"/>
              </w:rPr>
            </w:pPr>
            <w:r w:rsidRPr="00F65869">
              <w:rPr>
                <w:rFonts w:ascii="Calibri" w:eastAsia="Times New Roman" w:hAnsi="Calibri" w:cs="Calibri"/>
                <w:b/>
                <w:bCs/>
                <w:color w:val="0D0D0D"/>
              </w:rPr>
              <w:t>Asset Class</w:t>
            </w:r>
          </w:p>
        </w:tc>
        <w:tc>
          <w:tcPr>
            <w:tcW w:w="1311" w:type="dxa"/>
            <w:tcBorders>
              <w:top w:val="nil"/>
              <w:left w:val="nil"/>
              <w:bottom w:val="single" w:sz="12" w:space="0" w:color="44546A"/>
              <w:right w:val="nil"/>
            </w:tcBorders>
            <w:shd w:val="clear" w:color="000000" w:fill="FFFFFF"/>
            <w:vAlign w:val="bottom"/>
            <w:hideMark/>
          </w:tcPr>
          <w:p w14:paraId="0DD3BA0C" w14:textId="77777777" w:rsidR="00051D7E" w:rsidRPr="00F65869" w:rsidRDefault="00051D7E" w:rsidP="007531FB">
            <w:pPr>
              <w:jc w:val="center"/>
              <w:rPr>
                <w:rFonts w:ascii="Calibri" w:eastAsia="Times New Roman" w:hAnsi="Calibri" w:cs="Calibri"/>
                <w:b/>
                <w:bCs/>
                <w:color w:val="0D0D0D"/>
              </w:rPr>
            </w:pPr>
            <w:r w:rsidRPr="00F65869">
              <w:rPr>
                <w:rFonts w:ascii="Calibri" w:eastAsia="Times New Roman" w:hAnsi="Calibri" w:cs="Calibri"/>
                <w:b/>
                <w:bCs/>
                <w:color w:val="0D0D0D"/>
              </w:rPr>
              <w:t>Target</w:t>
            </w:r>
            <w:r>
              <w:rPr>
                <w:rFonts w:ascii="Calibri" w:eastAsia="Times New Roman" w:hAnsi="Calibri" w:cs="Calibri"/>
                <w:b/>
                <w:bCs/>
                <w:color w:val="0D0D0D"/>
              </w:rPr>
              <w:t xml:space="preserve"> </w:t>
            </w:r>
            <w:r w:rsidRPr="00F65869">
              <w:rPr>
                <w:rFonts w:ascii="Calibri" w:eastAsia="Times New Roman" w:hAnsi="Calibri" w:cs="Calibri"/>
                <w:b/>
                <w:bCs/>
                <w:color w:val="0D0D0D"/>
              </w:rPr>
              <w:t>Allocation</w:t>
            </w:r>
          </w:p>
        </w:tc>
        <w:tc>
          <w:tcPr>
            <w:tcW w:w="1600" w:type="dxa"/>
            <w:tcBorders>
              <w:top w:val="nil"/>
              <w:left w:val="nil"/>
              <w:bottom w:val="single" w:sz="12" w:space="0" w:color="44546A"/>
              <w:right w:val="nil"/>
            </w:tcBorders>
            <w:shd w:val="clear" w:color="000000" w:fill="FFFFFF"/>
            <w:vAlign w:val="bottom"/>
            <w:hideMark/>
          </w:tcPr>
          <w:p w14:paraId="0E95155C" w14:textId="77777777" w:rsidR="00051D7E" w:rsidRPr="00F65869" w:rsidRDefault="00051D7E" w:rsidP="007531FB">
            <w:pPr>
              <w:jc w:val="center"/>
              <w:rPr>
                <w:rFonts w:ascii="Calibri" w:eastAsia="Times New Roman" w:hAnsi="Calibri" w:cs="Calibri"/>
                <w:b/>
                <w:bCs/>
                <w:color w:val="0D0D0D"/>
              </w:rPr>
            </w:pPr>
            <w:r w:rsidRPr="00F65869">
              <w:rPr>
                <w:rFonts w:ascii="Calibri" w:eastAsia="Times New Roman" w:hAnsi="Calibri" w:cs="Calibri"/>
                <w:b/>
                <w:bCs/>
                <w:color w:val="0D0D0D"/>
              </w:rPr>
              <w:t>Long-Term Expected Real Rate of Return</w:t>
            </w:r>
          </w:p>
        </w:tc>
        <w:tc>
          <w:tcPr>
            <w:tcW w:w="1155" w:type="dxa"/>
            <w:tcBorders>
              <w:top w:val="nil"/>
              <w:left w:val="nil"/>
              <w:bottom w:val="single" w:sz="12" w:space="0" w:color="44546A"/>
              <w:right w:val="nil"/>
            </w:tcBorders>
            <w:shd w:val="clear" w:color="auto" w:fill="D9D9D9" w:themeFill="background1" w:themeFillShade="D9"/>
            <w:vAlign w:val="bottom"/>
            <w:hideMark/>
          </w:tcPr>
          <w:p w14:paraId="08612A57" w14:textId="77777777" w:rsidR="00051D7E" w:rsidRPr="00F65869" w:rsidRDefault="00051D7E" w:rsidP="007531FB">
            <w:pPr>
              <w:jc w:val="center"/>
              <w:rPr>
                <w:rFonts w:ascii="Calibri" w:eastAsia="Times New Roman" w:hAnsi="Calibri" w:cs="Calibri"/>
                <w:b/>
                <w:bCs/>
                <w:color w:val="0D0D0D"/>
              </w:rPr>
            </w:pPr>
            <w:r w:rsidRPr="00F65869">
              <w:rPr>
                <w:rFonts w:ascii="Calibri" w:eastAsia="Times New Roman" w:hAnsi="Calibri" w:cs="Calibri"/>
                <w:b/>
                <w:bCs/>
                <w:color w:val="0D0D0D"/>
              </w:rPr>
              <w:t>Target</w:t>
            </w:r>
            <w:r>
              <w:rPr>
                <w:rFonts w:ascii="Calibri" w:eastAsia="Times New Roman" w:hAnsi="Calibri" w:cs="Calibri"/>
                <w:b/>
                <w:bCs/>
                <w:color w:val="0D0D0D"/>
              </w:rPr>
              <w:t xml:space="preserve"> </w:t>
            </w:r>
            <w:r w:rsidRPr="00F65869">
              <w:rPr>
                <w:rFonts w:ascii="Calibri" w:eastAsia="Times New Roman" w:hAnsi="Calibri" w:cs="Calibri"/>
                <w:b/>
                <w:bCs/>
                <w:color w:val="0D0D0D"/>
              </w:rPr>
              <w:t>Allocation</w:t>
            </w:r>
          </w:p>
        </w:tc>
        <w:tc>
          <w:tcPr>
            <w:tcW w:w="1635" w:type="dxa"/>
            <w:tcBorders>
              <w:top w:val="nil"/>
              <w:left w:val="nil"/>
              <w:bottom w:val="single" w:sz="12" w:space="0" w:color="44546A"/>
              <w:right w:val="nil"/>
            </w:tcBorders>
            <w:shd w:val="clear" w:color="auto" w:fill="D9D9D9" w:themeFill="background1" w:themeFillShade="D9"/>
            <w:vAlign w:val="bottom"/>
            <w:hideMark/>
          </w:tcPr>
          <w:p w14:paraId="12A1FCC3" w14:textId="77777777" w:rsidR="00051D7E" w:rsidRPr="00F65869" w:rsidRDefault="00051D7E" w:rsidP="007531FB">
            <w:pPr>
              <w:jc w:val="center"/>
              <w:rPr>
                <w:rFonts w:ascii="Calibri" w:eastAsia="Times New Roman" w:hAnsi="Calibri" w:cs="Calibri"/>
                <w:b/>
                <w:bCs/>
                <w:color w:val="0D0D0D"/>
              </w:rPr>
            </w:pPr>
            <w:r w:rsidRPr="00F65869">
              <w:rPr>
                <w:rFonts w:ascii="Calibri" w:eastAsia="Times New Roman" w:hAnsi="Calibri" w:cs="Calibri"/>
                <w:b/>
                <w:bCs/>
                <w:color w:val="0D0D0D"/>
              </w:rPr>
              <w:t>Long-Term Expected Real Rate of Return</w:t>
            </w:r>
          </w:p>
        </w:tc>
      </w:tr>
      <w:tr w:rsidR="00051D7E" w:rsidRPr="00F65869" w14:paraId="4019A374" w14:textId="77777777" w:rsidTr="007531FB">
        <w:trPr>
          <w:trHeight w:val="480"/>
          <w:jc w:val="center"/>
        </w:trPr>
        <w:tc>
          <w:tcPr>
            <w:tcW w:w="3545" w:type="dxa"/>
            <w:tcBorders>
              <w:top w:val="nil"/>
              <w:left w:val="nil"/>
              <w:bottom w:val="nil"/>
              <w:right w:val="nil"/>
            </w:tcBorders>
            <w:shd w:val="clear" w:color="000000" w:fill="FFFFFF"/>
            <w:noWrap/>
            <w:vAlign w:val="bottom"/>
            <w:hideMark/>
          </w:tcPr>
          <w:p w14:paraId="6F7C82C0"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Large Cap Equities</w:t>
            </w:r>
          </w:p>
        </w:tc>
        <w:tc>
          <w:tcPr>
            <w:tcW w:w="1311" w:type="dxa"/>
            <w:tcBorders>
              <w:top w:val="nil"/>
              <w:left w:val="nil"/>
              <w:bottom w:val="nil"/>
              <w:right w:val="nil"/>
            </w:tcBorders>
            <w:shd w:val="clear" w:color="000000" w:fill="FFFFFF"/>
            <w:noWrap/>
            <w:vAlign w:val="bottom"/>
            <w:hideMark/>
          </w:tcPr>
          <w:p w14:paraId="16B0E8E1" w14:textId="77777777" w:rsidR="00051D7E" w:rsidRPr="00B77D08" w:rsidRDefault="00051D7E" w:rsidP="007531FB">
            <w:pPr>
              <w:jc w:val="center"/>
              <w:rPr>
                <w:rFonts w:ascii="Calibri" w:eastAsia="Times New Roman" w:hAnsi="Calibri" w:cs="Calibri"/>
                <w:color w:val="FF0000"/>
              </w:rPr>
            </w:pPr>
            <w:r>
              <w:rPr>
                <w:rFonts w:ascii="Calibri" w:hAnsi="Calibri" w:cs="Calibri"/>
              </w:rPr>
              <w:t>22.0%</w:t>
            </w:r>
          </w:p>
        </w:tc>
        <w:tc>
          <w:tcPr>
            <w:tcW w:w="1600" w:type="dxa"/>
            <w:tcBorders>
              <w:top w:val="nil"/>
              <w:left w:val="nil"/>
              <w:bottom w:val="nil"/>
              <w:right w:val="nil"/>
            </w:tcBorders>
            <w:shd w:val="clear" w:color="000000" w:fill="FFFFFF"/>
            <w:noWrap/>
            <w:vAlign w:val="bottom"/>
            <w:hideMark/>
          </w:tcPr>
          <w:p w14:paraId="1BE2AD39" w14:textId="77777777" w:rsidR="00051D7E" w:rsidRPr="00B77D08" w:rsidRDefault="00051D7E" w:rsidP="007531FB">
            <w:pPr>
              <w:jc w:val="center"/>
              <w:rPr>
                <w:rFonts w:ascii="Calibri" w:eastAsia="Times New Roman" w:hAnsi="Calibri" w:cs="Calibri"/>
                <w:color w:val="FF0000"/>
              </w:rPr>
            </w:pPr>
            <w:r>
              <w:rPr>
                <w:rFonts w:ascii="Calibri" w:hAnsi="Calibri" w:cs="Calibri"/>
              </w:rPr>
              <w:t>3.80%</w:t>
            </w:r>
          </w:p>
        </w:tc>
        <w:tc>
          <w:tcPr>
            <w:tcW w:w="1155" w:type="dxa"/>
            <w:tcBorders>
              <w:top w:val="nil"/>
              <w:left w:val="nil"/>
              <w:bottom w:val="nil"/>
              <w:right w:val="nil"/>
            </w:tcBorders>
            <w:shd w:val="clear" w:color="auto" w:fill="D9D9D9" w:themeFill="background1" w:themeFillShade="D9"/>
            <w:noWrap/>
            <w:vAlign w:val="bottom"/>
          </w:tcPr>
          <w:p w14:paraId="621C20FF"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17.0%</w:t>
            </w:r>
          </w:p>
        </w:tc>
        <w:tc>
          <w:tcPr>
            <w:tcW w:w="1635" w:type="dxa"/>
            <w:tcBorders>
              <w:top w:val="nil"/>
              <w:left w:val="nil"/>
              <w:bottom w:val="nil"/>
              <w:right w:val="nil"/>
            </w:tcBorders>
            <w:shd w:val="clear" w:color="auto" w:fill="D9D9D9" w:themeFill="background1" w:themeFillShade="D9"/>
            <w:noWrap/>
            <w:vAlign w:val="bottom"/>
          </w:tcPr>
          <w:p w14:paraId="6C2AC6CD"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5.00%</w:t>
            </w:r>
          </w:p>
        </w:tc>
      </w:tr>
      <w:tr w:rsidR="00051D7E" w:rsidRPr="00F65869" w14:paraId="0D259880" w14:textId="77777777" w:rsidTr="007531FB">
        <w:trPr>
          <w:trHeight w:val="288"/>
          <w:jc w:val="center"/>
        </w:trPr>
        <w:tc>
          <w:tcPr>
            <w:tcW w:w="3545" w:type="dxa"/>
            <w:tcBorders>
              <w:top w:val="nil"/>
              <w:left w:val="nil"/>
              <w:bottom w:val="nil"/>
              <w:right w:val="nil"/>
            </w:tcBorders>
            <w:shd w:val="clear" w:color="000000" w:fill="FFFFFF"/>
            <w:noWrap/>
            <w:vAlign w:val="center"/>
            <w:hideMark/>
          </w:tcPr>
          <w:p w14:paraId="32A07215"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Domestic Small/Mid Cap</w:t>
            </w:r>
          </w:p>
        </w:tc>
        <w:tc>
          <w:tcPr>
            <w:tcW w:w="1311" w:type="dxa"/>
            <w:tcBorders>
              <w:top w:val="nil"/>
              <w:left w:val="nil"/>
              <w:bottom w:val="nil"/>
              <w:right w:val="nil"/>
            </w:tcBorders>
            <w:shd w:val="clear" w:color="000000" w:fill="FFFFFF"/>
            <w:noWrap/>
            <w:vAlign w:val="bottom"/>
            <w:hideMark/>
          </w:tcPr>
          <w:p w14:paraId="50455A68" w14:textId="77777777" w:rsidR="00051D7E" w:rsidRPr="00B77D08" w:rsidRDefault="00051D7E" w:rsidP="007531FB">
            <w:pPr>
              <w:jc w:val="center"/>
              <w:rPr>
                <w:rFonts w:ascii="Calibri" w:eastAsia="Times New Roman" w:hAnsi="Calibri" w:cs="Calibri"/>
                <w:color w:val="FF0000"/>
              </w:rPr>
            </w:pPr>
            <w:r>
              <w:rPr>
                <w:rFonts w:ascii="Calibri" w:hAnsi="Calibri" w:cs="Calibri"/>
              </w:rPr>
              <w:t>6.0%</w:t>
            </w:r>
          </w:p>
        </w:tc>
        <w:tc>
          <w:tcPr>
            <w:tcW w:w="1600" w:type="dxa"/>
            <w:tcBorders>
              <w:top w:val="nil"/>
              <w:left w:val="nil"/>
              <w:bottom w:val="nil"/>
              <w:right w:val="nil"/>
            </w:tcBorders>
            <w:shd w:val="clear" w:color="000000" w:fill="FFFFFF"/>
            <w:noWrap/>
            <w:vAlign w:val="bottom"/>
            <w:hideMark/>
          </w:tcPr>
          <w:p w14:paraId="0FAA2C43" w14:textId="77777777" w:rsidR="00051D7E" w:rsidRPr="00B77D08" w:rsidRDefault="00051D7E" w:rsidP="007531FB">
            <w:pPr>
              <w:jc w:val="center"/>
              <w:rPr>
                <w:rFonts w:ascii="Calibri" w:eastAsia="Times New Roman" w:hAnsi="Calibri" w:cs="Calibri"/>
                <w:color w:val="FF0000"/>
              </w:rPr>
            </w:pPr>
            <w:r>
              <w:rPr>
                <w:rFonts w:ascii="Calibri" w:hAnsi="Calibri" w:cs="Calibri"/>
              </w:rPr>
              <w:t>3.90%</w:t>
            </w:r>
          </w:p>
        </w:tc>
        <w:tc>
          <w:tcPr>
            <w:tcW w:w="1155" w:type="dxa"/>
            <w:tcBorders>
              <w:top w:val="nil"/>
              <w:left w:val="nil"/>
              <w:bottom w:val="nil"/>
              <w:right w:val="nil"/>
            </w:tcBorders>
            <w:shd w:val="clear" w:color="auto" w:fill="D9D9D9" w:themeFill="background1" w:themeFillShade="D9"/>
            <w:noWrap/>
            <w:vAlign w:val="bottom"/>
            <w:hideMark/>
          </w:tcPr>
          <w:p w14:paraId="0E70D013"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7.0%</w:t>
            </w:r>
          </w:p>
        </w:tc>
        <w:tc>
          <w:tcPr>
            <w:tcW w:w="1635" w:type="dxa"/>
            <w:tcBorders>
              <w:top w:val="nil"/>
              <w:left w:val="nil"/>
              <w:bottom w:val="nil"/>
              <w:right w:val="nil"/>
            </w:tcBorders>
            <w:shd w:val="clear" w:color="auto" w:fill="D9D9D9" w:themeFill="background1" w:themeFillShade="D9"/>
            <w:noWrap/>
            <w:vAlign w:val="bottom"/>
            <w:hideMark/>
          </w:tcPr>
          <w:p w14:paraId="18EB1231"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5.20%</w:t>
            </w:r>
          </w:p>
        </w:tc>
      </w:tr>
      <w:tr w:rsidR="00051D7E" w:rsidRPr="00F65869" w14:paraId="4C2792D2" w14:textId="77777777" w:rsidTr="007531FB">
        <w:trPr>
          <w:trHeight w:val="288"/>
          <w:jc w:val="center"/>
        </w:trPr>
        <w:tc>
          <w:tcPr>
            <w:tcW w:w="3545" w:type="dxa"/>
            <w:tcBorders>
              <w:top w:val="nil"/>
              <w:left w:val="nil"/>
              <w:bottom w:val="nil"/>
              <w:right w:val="nil"/>
            </w:tcBorders>
            <w:shd w:val="clear" w:color="000000" w:fill="FFFFFF"/>
            <w:noWrap/>
            <w:vAlign w:val="center"/>
            <w:hideMark/>
          </w:tcPr>
          <w:p w14:paraId="765830E7"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International Equities</w:t>
            </w:r>
          </w:p>
        </w:tc>
        <w:tc>
          <w:tcPr>
            <w:tcW w:w="1311" w:type="dxa"/>
            <w:tcBorders>
              <w:top w:val="nil"/>
              <w:left w:val="nil"/>
              <w:bottom w:val="nil"/>
              <w:right w:val="nil"/>
            </w:tcBorders>
            <w:shd w:val="clear" w:color="000000" w:fill="FFFFFF"/>
            <w:noWrap/>
            <w:vAlign w:val="bottom"/>
            <w:hideMark/>
          </w:tcPr>
          <w:p w14:paraId="3058F5EB" w14:textId="77777777" w:rsidR="00051D7E" w:rsidRPr="00B77D08" w:rsidRDefault="00051D7E" w:rsidP="007531FB">
            <w:pPr>
              <w:jc w:val="center"/>
              <w:rPr>
                <w:rFonts w:ascii="Calibri" w:eastAsia="Times New Roman" w:hAnsi="Calibri" w:cs="Calibri"/>
                <w:color w:val="FF0000"/>
              </w:rPr>
            </w:pPr>
            <w:r>
              <w:rPr>
                <w:rFonts w:ascii="Calibri" w:hAnsi="Calibri" w:cs="Calibri"/>
              </w:rPr>
              <w:t>10.0%</w:t>
            </w:r>
          </w:p>
        </w:tc>
        <w:tc>
          <w:tcPr>
            <w:tcW w:w="1600" w:type="dxa"/>
            <w:tcBorders>
              <w:top w:val="nil"/>
              <w:left w:val="nil"/>
              <w:bottom w:val="nil"/>
              <w:right w:val="nil"/>
            </w:tcBorders>
            <w:shd w:val="clear" w:color="000000" w:fill="FFFFFF"/>
            <w:noWrap/>
            <w:vAlign w:val="bottom"/>
            <w:hideMark/>
          </w:tcPr>
          <w:p w14:paraId="5FDF16B4" w14:textId="77777777" w:rsidR="00051D7E" w:rsidRPr="00B77D08" w:rsidRDefault="00051D7E" w:rsidP="007531FB">
            <w:pPr>
              <w:jc w:val="center"/>
              <w:rPr>
                <w:rFonts w:ascii="Calibri" w:eastAsia="Times New Roman" w:hAnsi="Calibri" w:cs="Calibri"/>
                <w:color w:val="FF0000"/>
              </w:rPr>
            </w:pPr>
            <w:r>
              <w:rPr>
                <w:rFonts w:ascii="Calibri" w:hAnsi="Calibri" w:cs="Calibri"/>
              </w:rPr>
              <w:t>3.80%</w:t>
            </w:r>
          </w:p>
        </w:tc>
        <w:tc>
          <w:tcPr>
            <w:tcW w:w="1155" w:type="dxa"/>
            <w:tcBorders>
              <w:top w:val="nil"/>
              <w:left w:val="nil"/>
              <w:bottom w:val="nil"/>
              <w:right w:val="nil"/>
            </w:tcBorders>
            <w:shd w:val="clear" w:color="auto" w:fill="D9D9D9" w:themeFill="background1" w:themeFillShade="D9"/>
            <w:noWrap/>
            <w:vAlign w:val="bottom"/>
            <w:hideMark/>
          </w:tcPr>
          <w:p w14:paraId="0C76EB88"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10.0%</w:t>
            </w:r>
          </w:p>
        </w:tc>
        <w:tc>
          <w:tcPr>
            <w:tcW w:w="1635" w:type="dxa"/>
            <w:tcBorders>
              <w:top w:val="nil"/>
              <w:left w:val="nil"/>
              <w:bottom w:val="nil"/>
              <w:right w:val="nil"/>
            </w:tcBorders>
            <w:shd w:val="clear" w:color="auto" w:fill="D9D9D9" w:themeFill="background1" w:themeFillShade="D9"/>
            <w:noWrap/>
            <w:vAlign w:val="bottom"/>
            <w:hideMark/>
          </w:tcPr>
          <w:p w14:paraId="493688B6"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5.20%</w:t>
            </w:r>
          </w:p>
        </w:tc>
      </w:tr>
      <w:tr w:rsidR="00051D7E" w:rsidRPr="00F65869" w14:paraId="3D769F75" w14:textId="77777777" w:rsidTr="007531FB">
        <w:trPr>
          <w:trHeight w:val="288"/>
          <w:jc w:val="center"/>
        </w:trPr>
        <w:tc>
          <w:tcPr>
            <w:tcW w:w="3545" w:type="dxa"/>
            <w:tcBorders>
              <w:top w:val="nil"/>
              <w:left w:val="nil"/>
              <w:bottom w:val="nil"/>
              <w:right w:val="nil"/>
            </w:tcBorders>
            <w:shd w:val="clear" w:color="000000" w:fill="FFFFFF"/>
            <w:noWrap/>
            <w:vAlign w:val="center"/>
            <w:hideMark/>
          </w:tcPr>
          <w:p w14:paraId="253860ED"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International Small Cap Equities</w:t>
            </w:r>
          </w:p>
        </w:tc>
        <w:tc>
          <w:tcPr>
            <w:tcW w:w="1311" w:type="dxa"/>
            <w:tcBorders>
              <w:top w:val="nil"/>
              <w:left w:val="nil"/>
              <w:bottom w:val="nil"/>
              <w:right w:val="nil"/>
            </w:tcBorders>
            <w:shd w:val="clear" w:color="000000" w:fill="FFFFFF"/>
            <w:noWrap/>
            <w:vAlign w:val="bottom"/>
            <w:hideMark/>
          </w:tcPr>
          <w:p w14:paraId="7EEB2761" w14:textId="77777777" w:rsidR="00051D7E" w:rsidRPr="00B77D08" w:rsidRDefault="00051D7E" w:rsidP="007531FB">
            <w:pPr>
              <w:jc w:val="center"/>
              <w:rPr>
                <w:rFonts w:ascii="Calibri" w:eastAsia="Times New Roman" w:hAnsi="Calibri" w:cs="Calibri"/>
                <w:color w:val="FF0000"/>
              </w:rPr>
            </w:pPr>
            <w:r>
              <w:rPr>
                <w:rFonts w:ascii="Calibri" w:hAnsi="Calibri" w:cs="Calibri"/>
              </w:rPr>
              <w:t>4.0%</w:t>
            </w:r>
          </w:p>
        </w:tc>
        <w:tc>
          <w:tcPr>
            <w:tcW w:w="1600" w:type="dxa"/>
            <w:tcBorders>
              <w:top w:val="nil"/>
              <w:left w:val="nil"/>
              <w:bottom w:val="nil"/>
              <w:right w:val="nil"/>
            </w:tcBorders>
            <w:shd w:val="clear" w:color="000000" w:fill="FFFFFF"/>
            <w:noWrap/>
            <w:vAlign w:val="bottom"/>
            <w:hideMark/>
          </w:tcPr>
          <w:p w14:paraId="1E52B8CA" w14:textId="77777777" w:rsidR="00051D7E" w:rsidRPr="00B77D08" w:rsidRDefault="00051D7E" w:rsidP="007531FB">
            <w:pPr>
              <w:jc w:val="center"/>
              <w:rPr>
                <w:rFonts w:ascii="Calibri" w:eastAsia="Times New Roman" w:hAnsi="Calibri" w:cs="Calibri"/>
                <w:color w:val="FF0000"/>
              </w:rPr>
            </w:pPr>
            <w:r>
              <w:rPr>
                <w:rFonts w:ascii="Calibri" w:hAnsi="Calibri" w:cs="Calibri"/>
              </w:rPr>
              <w:t>4.10%</w:t>
            </w:r>
          </w:p>
        </w:tc>
        <w:tc>
          <w:tcPr>
            <w:tcW w:w="1155" w:type="dxa"/>
            <w:tcBorders>
              <w:top w:val="nil"/>
              <w:left w:val="nil"/>
              <w:bottom w:val="nil"/>
              <w:right w:val="nil"/>
            </w:tcBorders>
            <w:shd w:val="clear" w:color="auto" w:fill="D9D9D9" w:themeFill="background1" w:themeFillShade="D9"/>
            <w:noWrap/>
            <w:vAlign w:val="bottom"/>
            <w:hideMark/>
          </w:tcPr>
          <w:p w14:paraId="6687DD4B"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4.0%</w:t>
            </w:r>
          </w:p>
        </w:tc>
        <w:tc>
          <w:tcPr>
            <w:tcW w:w="1635" w:type="dxa"/>
            <w:tcBorders>
              <w:top w:val="nil"/>
              <w:left w:val="nil"/>
              <w:bottom w:val="nil"/>
              <w:right w:val="nil"/>
            </w:tcBorders>
            <w:shd w:val="clear" w:color="auto" w:fill="D9D9D9" w:themeFill="background1" w:themeFillShade="D9"/>
            <w:noWrap/>
            <w:vAlign w:val="bottom"/>
            <w:hideMark/>
          </w:tcPr>
          <w:p w14:paraId="05418421"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5.60%</w:t>
            </w:r>
          </w:p>
        </w:tc>
      </w:tr>
      <w:tr w:rsidR="00051D7E" w:rsidRPr="00F65869" w14:paraId="0E67C13A" w14:textId="77777777" w:rsidTr="007531FB">
        <w:trPr>
          <w:trHeight w:val="288"/>
          <w:jc w:val="center"/>
        </w:trPr>
        <w:tc>
          <w:tcPr>
            <w:tcW w:w="3545" w:type="dxa"/>
            <w:tcBorders>
              <w:top w:val="nil"/>
              <w:left w:val="nil"/>
              <w:bottom w:val="nil"/>
              <w:right w:val="nil"/>
            </w:tcBorders>
            <w:shd w:val="clear" w:color="000000" w:fill="FFFFFF"/>
            <w:noWrap/>
            <w:vAlign w:val="center"/>
            <w:hideMark/>
          </w:tcPr>
          <w:p w14:paraId="0AD0318F"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Emerging Market Equities</w:t>
            </w:r>
          </w:p>
        </w:tc>
        <w:tc>
          <w:tcPr>
            <w:tcW w:w="1311" w:type="dxa"/>
            <w:tcBorders>
              <w:top w:val="nil"/>
              <w:left w:val="nil"/>
              <w:bottom w:val="nil"/>
              <w:right w:val="nil"/>
            </w:tcBorders>
            <w:shd w:val="clear" w:color="000000" w:fill="FFFFFF"/>
            <w:noWrap/>
            <w:vAlign w:val="bottom"/>
            <w:hideMark/>
          </w:tcPr>
          <w:p w14:paraId="7009FD8F" w14:textId="77777777" w:rsidR="00051D7E" w:rsidRPr="00B77D08" w:rsidRDefault="00051D7E" w:rsidP="007531FB">
            <w:pPr>
              <w:jc w:val="center"/>
              <w:rPr>
                <w:rFonts w:ascii="Calibri" w:eastAsia="Times New Roman" w:hAnsi="Calibri" w:cs="Calibri"/>
                <w:color w:val="FF0000"/>
              </w:rPr>
            </w:pPr>
            <w:r>
              <w:rPr>
                <w:rFonts w:ascii="Calibri" w:hAnsi="Calibri" w:cs="Calibri"/>
              </w:rPr>
              <w:t>3.5%</w:t>
            </w:r>
          </w:p>
        </w:tc>
        <w:tc>
          <w:tcPr>
            <w:tcW w:w="1600" w:type="dxa"/>
            <w:tcBorders>
              <w:top w:val="nil"/>
              <w:left w:val="nil"/>
              <w:bottom w:val="nil"/>
              <w:right w:val="nil"/>
            </w:tcBorders>
            <w:shd w:val="clear" w:color="000000" w:fill="FFFFFF"/>
            <w:noWrap/>
            <w:vAlign w:val="bottom"/>
            <w:hideMark/>
          </w:tcPr>
          <w:p w14:paraId="4A514325" w14:textId="77777777" w:rsidR="00051D7E" w:rsidRPr="00B77D08" w:rsidRDefault="00051D7E" w:rsidP="007531FB">
            <w:pPr>
              <w:jc w:val="center"/>
              <w:rPr>
                <w:rFonts w:ascii="Calibri" w:eastAsia="Times New Roman" w:hAnsi="Calibri" w:cs="Calibri"/>
                <w:color w:val="FF0000"/>
              </w:rPr>
            </w:pPr>
            <w:r>
              <w:rPr>
                <w:rFonts w:ascii="Calibri" w:hAnsi="Calibri" w:cs="Calibri"/>
              </w:rPr>
              <w:t>5.90%</w:t>
            </w:r>
          </w:p>
        </w:tc>
        <w:tc>
          <w:tcPr>
            <w:tcW w:w="1155" w:type="dxa"/>
            <w:tcBorders>
              <w:top w:val="nil"/>
              <w:left w:val="nil"/>
              <w:bottom w:val="nil"/>
              <w:right w:val="nil"/>
            </w:tcBorders>
            <w:shd w:val="clear" w:color="auto" w:fill="D9D9D9" w:themeFill="background1" w:themeFillShade="D9"/>
            <w:noWrap/>
            <w:vAlign w:val="bottom"/>
            <w:hideMark/>
          </w:tcPr>
          <w:p w14:paraId="2A89C75F"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3.5%</w:t>
            </w:r>
          </w:p>
        </w:tc>
        <w:tc>
          <w:tcPr>
            <w:tcW w:w="1635" w:type="dxa"/>
            <w:tcBorders>
              <w:top w:val="nil"/>
              <w:left w:val="nil"/>
              <w:bottom w:val="nil"/>
              <w:right w:val="nil"/>
            </w:tcBorders>
            <w:shd w:val="clear" w:color="auto" w:fill="D9D9D9" w:themeFill="background1" w:themeFillShade="D9"/>
            <w:noWrap/>
            <w:vAlign w:val="bottom"/>
            <w:hideMark/>
          </w:tcPr>
          <w:p w14:paraId="02B254B1"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7.10%</w:t>
            </w:r>
          </w:p>
        </w:tc>
      </w:tr>
      <w:tr w:rsidR="00051D7E" w:rsidRPr="00F65869" w14:paraId="1B260E12" w14:textId="77777777" w:rsidTr="007531FB">
        <w:trPr>
          <w:trHeight w:val="288"/>
          <w:jc w:val="center"/>
        </w:trPr>
        <w:tc>
          <w:tcPr>
            <w:tcW w:w="3545" w:type="dxa"/>
            <w:tcBorders>
              <w:top w:val="nil"/>
              <w:left w:val="nil"/>
              <w:bottom w:val="nil"/>
              <w:right w:val="nil"/>
            </w:tcBorders>
            <w:shd w:val="clear" w:color="000000" w:fill="FFFFFF"/>
            <w:noWrap/>
            <w:vAlign w:val="center"/>
            <w:hideMark/>
          </w:tcPr>
          <w:p w14:paraId="3D6C8705"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Emerging Small Cap Market Equities</w:t>
            </w:r>
          </w:p>
        </w:tc>
        <w:tc>
          <w:tcPr>
            <w:tcW w:w="1311" w:type="dxa"/>
            <w:tcBorders>
              <w:top w:val="nil"/>
              <w:left w:val="nil"/>
              <w:bottom w:val="nil"/>
              <w:right w:val="nil"/>
            </w:tcBorders>
            <w:shd w:val="clear" w:color="000000" w:fill="FFFFFF"/>
            <w:noWrap/>
            <w:vAlign w:val="bottom"/>
            <w:hideMark/>
          </w:tcPr>
          <w:p w14:paraId="07849719" w14:textId="77777777" w:rsidR="00051D7E" w:rsidRPr="00B77D08" w:rsidRDefault="00051D7E" w:rsidP="007531FB">
            <w:pPr>
              <w:jc w:val="center"/>
              <w:rPr>
                <w:rFonts w:ascii="Calibri" w:eastAsia="Times New Roman" w:hAnsi="Calibri" w:cs="Calibri"/>
                <w:color w:val="FF0000"/>
              </w:rPr>
            </w:pPr>
            <w:r>
              <w:rPr>
                <w:rFonts w:ascii="Calibri" w:hAnsi="Calibri" w:cs="Calibri"/>
              </w:rPr>
              <w:t>3.5%</w:t>
            </w:r>
          </w:p>
        </w:tc>
        <w:tc>
          <w:tcPr>
            <w:tcW w:w="1600" w:type="dxa"/>
            <w:tcBorders>
              <w:top w:val="nil"/>
              <w:left w:val="nil"/>
              <w:bottom w:val="nil"/>
              <w:right w:val="nil"/>
            </w:tcBorders>
            <w:shd w:val="clear" w:color="000000" w:fill="FFFFFF"/>
            <w:noWrap/>
            <w:vAlign w:val="bottom"/>
            <w:hideMark/>
          </w:tcPr>
          <w:p w14:paraId="04A54A1D" w14:textId="77777777" w:rsidR="00051D7E" w:rsidRPr="00B77D08" w:rsidRDefault="00051D7E" w:rsidP="007531FB">
            <w:pPr>
              <w:jc w:val="center"/>
              <w:rPr>
                <w:rFonts w:ascii="Calibri" w:eastAsia="Times New Roman" w:hAnsi="Calibri" w:cs="Calibri"/>
                <w:color w:val="FF0000"/>
              </w:rPr>
            </w:pPr>
            <w:r>
              <w:rPr>
                <w:rFonts w:ascii="Calibri" w:hAnsi="Calibri" w:cs="Calibri"/>
              </w:rPr>
              <w:t>6.10%</w:t>
            </w:r>
          </w:p>
        </w:tc>
        <w:tc>
          <w:tcPr>
            <w:tcW w:w="1155" w:type="dxa"/>
            <w:tcBorders>
              <w:top w:val="nil"/>
              <w:left w:val="nil"/>
              <w:bottom w:val="nil"/>
              <w:right w:val="nil"/>
            </w:tcBorders>
            <w:shd w:val="clear" w:color="auto" w:fill="D9D9D9" w:themeFill="background1" w:themeFillShade="D9"/>
            <w:noWrap/>
            <w:vAlign w:val="bottom"/>
            <w:hideMark/>
          </w:tcPr>
          <w:p w14:paraId="5418FE92"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3.5%</w:t>
            </w:r>
          </w:p>
        </w:tc>
        <w:tc>
          <w:tcPr>
            <w:tcW w:w="1635" w:type="dxa"/>
            <w:tcBorders>
              <w:top w:val="nil"/>
              <w:left w:val="nil"/>
              <w:bottom w:val="nil"/>
              <w:right w:val="nil"/>
            </w:tcBorders>
            <w:shd w:val="clear" w:color="auto" w:fill="D9D9D9" w:themeFill="background1" w:themeFillShade="D9"/>
            <w:noWrap/>
            <w:vAlign w:val="bottom"/>
            <w:hideMark/>
          </w:tcPr>
          <w:p w14:paraId="5DEAFE2E"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7.60%</w:t>
            </w:r>
          </w:p>
        </w:tc>
      </w:tr>
      <w:tr w:rsidR="00051D7E" w:rsidRPr="00F65869" w14:paraId="7EC85DB4" w14:textId="77777777" w:rsidTr="007531FB">
        <w:trPr>
          <w:trHeight w:val="288"/>
          <w:jc w:val="center"/>
        </w:trPr>
        <w:tc>
          <w:tcPr>
            <w:tcW w:w="3545" w:type="dxa"/>
            <w:tcBorders>
              <w:top w:val="nil"/>
              <w:left w:val="nil"/>
              <w:bottom w:val="nil"/>
              <w:right w:val="nil"/>
            </w:tcBorders>
            <w:shd w:val="clear" w:color="000000" w:fill="FFFFFF"/>
            <w:noWrap/>
            <w:vAlign w:val="center"/>
            <w:hideMark/>
          </w:tcPr>
          <w:p w14:paraId="1DF67679"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Global Equity</w:t>
            </w:r>
          </w:p>
        </w:tc>
        <w:tc>
          <w:tcPr>
            <w:tcW w:w="1311" w:type="dxa"/>
            <w:tcBorders>
              <w:top w:val="nil"/>
              <w:left w:val="nil"/>
              <w:bottom w:val="nil"/>
              <w:right w:val="nil"/>
            </w:tcBorders>
            <w:shd w:val="clear" w:color="000000" w:fill="FFFFFF"/>
            <w:noWrap/>
            <w:vAlign w:val="bottom"/>
            <w:hideMark/>
          </w:tcPr>
          <w:p w14:paraId="132BC0B3" w14:textId="77777777" w:rsidR="00051D7E" w:rsidRPr="00B77D08" w:rsidRDefault="00051D7E" w:rsidP="007531FB">
            <w:pPr>
              <w:jc w:val="center"/>
              <w:rPr>
                <w:rFonts w:ascii="Calibri" w:eastAsia="Times New Roman" w:hAnsi="Calibri" w:cs="Calibri"/>
                <w:color w:val="FF0000"/>
              </w:rPr>
            </w:pPr>
            <w:r>
              <w:rPr>
                <w:rFonts w:ascii="Calibri" w:hAnsi="Calibri" w:cs="Calibri"/>
              </w:rPr>
              <w:t>10.0%</w:t>
            </w:r>
          </w:p>
        </w:tc>
        <w:tc>
          <w:tcPr>
            <w:tcW w:w="1600" w:type="dxa"/>
            <w:tcBorders>
              <w:top w:val="nil"/>
              <w:left w:val="nil"/>
              <w:bottom w:val="nil"/>
              <w:right w:val="nil"/>
            </w:tcBorders>
            <w:shd w:val="clear" w:color="000000" w:fill="FFFFFF"/>
            <w:noWrap/>
            <w:vAlign w:val="bottom"/>
            <w:hideMark/>
          </w:tcPr>
          <w:p w14:paraId="108C441C" w14:textId="77777777" w:rsidR="00051D7E" w:rsidRPr="00B77D08" w:rsidRDefault="00051D7E" w:rsidP="007531FB">
            <w:pPr>
              <w:jc w:val="center"/>
              <w:rPr>
                <w:rFonts w:ascii="Calibri" w:eastAsia="Times New Roman" w:hAnsi="Calibri" w:cs="Calibri"/>
                <w:color w:val="FF0000"/>
              </w:rPr>
            </w:pPr>
            <w:r>
              <w:rPr>
                <w:rFonts w:ascii="Calibri" w:hAnsi="Calibri" w:cs="Calibri"/>
              </w:rPr>
              <w:t>4.40%</w:t>
            </w:r>
          </w:p>
        </w:tc>
        <w:tc>
          <w:tcPr>
            <w:tcW w:w="1155" w:type="dxa"/>
            <w:tcBorders>
              <w:top w:val="nil"/>
              <w:left w:val="nil"/>
              <w:bottom w:val="nil"/>
              <w:right w:val="nil"/>
            </w:tcBorders>
            <w:shd w:val="clear" w:color="auto" w:fill="D9D9D9" w:themeFill="background1" w:themeFillShade="D9"/>
            <w:noWrap/>
            <w:vAlign w:val="bottom"/>
            <w:hideMark/>
          </w:tcPr>
          <w:p w14:paraId="701D98AC"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10.0%</w:t>
            </w:r>
          </w:p>
        </w:tc>
        <w:tc>
          <w:tcPr>
            <w:tcW w:w="1635" w:type="dxa"/>
            <w:tcBorders>
              <w:top w:val="nil"/>
              <w:left w:val="nil"/>
              <w:bottom w:val="nil"/>
              <w:right w:val="nil"/>
            </w:tcBorders>
            <w:shd w:val="clear" w:color="auto" w:fill="D9D9D9" w:themeFill="background1" w:themeFillShade="D9"/>
            <w:noWrap/>
            <w:vAlign w:val="bottom"/>
            <w:hideMark/>
          </w:tcPr>
          <w:p w14:paraId="3A76E8A9"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5.70%</w:t>
            </w:r>
          </w:p>
        </w:tc>
      </w:tr>
      <w:tr w:rsidR="00051D7E" w:rsidRPr="00F65869" w14:paraId="2D5F8A9B" w14:textId="77777777" w:rsidTr="007531FB">
        <w:trPr>
          <w:trHeight w:val="288"/>
          <w:jc w:val="center"/>
        </w:trPr>
        <w:tc>
          <w:tcPr>
            <w:tcW w:w="3545" w:type="dxa"/>
            <w:tcBorders>
              <w:top w:val="nil"/>
              <w:left w:val="nil"/>
              <w:bottom w:val="nil"/>
              <w:right w:val="nil"/>
            </w:tcBorders>
            <w:shd w:val="clear" w:color="000000" w:fill="FFFFFF"/>
            <w:noWrap/>
            <w:vAlign w:val="center"/>
            <w:hideMark/>
          </w:tcPr>
          <w:p w14:paraId="67BFB913"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Domestic Core Bonds</w:t>
            </w:r>
          </w:p>
        </w:tc>
        <w:tc>
          <w:tcPr>
            <w:tcW w:w="1311" w:type="dxa"/>
            <w:tcBorders>
              <w:top w:val="nil"/>
              <w:left w:val="nil"/>
              <w:bottom w:val="nil"/>
              <w:right w:val="nil"/>
            </w:tcBorders>
            <w:shd w:val="clear" w:color="000000" w:fill="FFFFFF"/>
            <w:noWrap/>
            <w:vAlign w:val="bottom"/>
            <w:hideMark/>
          </w:tcPr>
          <w:p w14:paraId="412C0351" w14:textId="77777777" w:rsidR="00051D7E" w:rsidRPr="00B77D08" w:rsidRDefault="00051D7E" w:rsidP="007531FB">
            <w:pPr>
              <w:jc w:val="center"/>
              <w:rPr>
                <w:rFonts w:ascii="Calibri" w:eastAsia="Times New Roman" w:hAnsi="Calibri" w:cs="Calibri"/>
                <w:color w:val="FF0000"/>
              </w:rPr>
            </w:pPr>
            <w:r>
              <w:rPr>
                <w:rFonts w:ascii="Calibri" w:hAnsi="Calibri" w:cs="Calibri"/>
              </w:rPr>
              <w:t>9.5%</w:t>
            </w:r>
          </w:p>
        </w:tc>
        <w:tc>
          <w:tcPr>
            <w:tcW w:w="1600" w:type="dxa"/>
            <w:tcBorders>
              <w:top w:val="nil"/>
              <w:left w:val="nil"/>
              <w:bottom w:val="nil"/>
              <w:right w:val="nil"/>
            </w:tcBorders>
            <w:shd w:val="clear" w:color="000000" w:fill="FFFFFF"/>
            <w:noWrap/>
            <w:vAlign w:val="bottom"/>
            <w:hideMark/>
          </w:tcPr>
          <w:p w14:paraId="5088061A" w14:textId="77777777" w:rsidR="00051D7E" w:rsidRPr="00B77D08" w:rsidRDefault="00051D7E" w:rsidP="007531FB">
            <w:pPr>
              <w:jc w:val="center"/>
              <w:rPr>
                <w:rFonts w:ascii="Calibri" w:eastAsia="Times New Roman" w:hAnsi="Calibri" w:cs="Calibri"/>
                <w:color w:val="FF0000"/>
              </w:rPr>
            </w:pPr>
            <w:r>
              <w:rPr>
                <w:rFonts w:ascii="Calibri" w:hAnsi="Calibri" w:cs="Calibri"/>
              </w:rPr>
              <w:t>0.70%</w:t>
            </w:r>
          </w:p>
        </w:tc>
        <w:tc>
          <w:tcPr>
            <w:tcW w:w="1155" w:type="dxa"/>
            <w:tcBorders>
              <w:top w:val="nil"/>
              <w:left w:val="nil"/>
              <w:bottom w:val="nil"/>
              <w:right w:val="nil"/>
            </w:tcBorders>
            <w:shd w:val="clear" w:color="auto" w:fill="D9D9D9" w:themeFill="background1" w:themeFillShade="D9"/>
            <w:noWrap/>
            <w:vAlign w:val="bottom"/>
            <w:hideMark/>
          </w:tcPr>
          <w:p w14:paraId="0D5EFED2"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7.0%</w:t>
            </w:r>
          </w:p>
        </w:tc>
        <w:tc>
          <w:tcPr>
            <w:tcW w:w="1635" w:type="dxa"/>
            <w:tcBorders>
              <w:top w:val="nil"/>
              <w:left w:val="nil"/>
              <w:bottom w:val="nil"/>
              <w:right w:val="nil"/>
            </w:tcBorders>
            <w:shd w:val="clear" w:color="auto" w:fill="D9D9D9" w:themeFill="background1" w:themeFillShade="D9"/>
            <w:noWrap/>
            <w:vAlign w:val="bottom"/>
            <w:hideMark/>
          </w:tcPr>
          <w:p w14:paraId="10627CEF"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0.20%</w:t>
            </w:r>
          </w:p>
        </w:tc>
      </w:tr>
      <w:tr w:rsidR="00051D7E" w:rsidRPr="00F65869" w14:paraId="094183E7" w14:textId="77777777" w:rsidTr="007531FB">
        <w:trPr>
          <w:trHeight w:val="288"/>
          <w:jc w:val="center"/>
        </w:trPr>
        <w:tc>
          <w:tcPr>
            <w:tcW w:w="3545" w:type="dxa"/>
            <w:tcBorders>
              <w:top w:val="nil"/>
              <w:left w:val="nil"/>
              <w:bottom w:val="nil"/>
              <w:right w:val="nil"/>
            </w:tcBorders>
            <w:shd w:val="clear" w:color="000000" w:fill="FFFFFF"/>
            <w:noWrap/>
            <w:vAlign w:val="center"/>
            <w:hideMark/>
          </w:tcPr>
          <w:p w14:paraId="45553579"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TIPS</w:t>
            </w:r>
          </w:p>
        </w:tc>
        <w:tc>
          <w:tcPr>
            <w:tcW w:w="1311" w:type="dxa"/>
            <w:tcBorders>
              <w:top w:val="nil"/>
              <w:left w:val="nil"/>
              <w:bottom w:val="nil"/>
              <w:right w:val="nil"/>
            </w:tcBorders>
            <w:shd w:val="clear" w:color="000000" w:fill="FFFFFF"/>
            <w:noWrap/>
            <w:vAlign w:val="bottom"/>
            <w:hideMark/>
          </w:tcPr>
          <w:p w14:paraId="70F142A3" w14:textId="77777777" w:rsidR="00051D7E" w:rsidRPr="00B77D08" w:rsidRDefault="00051D7E" w:rsidP="007531FB">
            <w:pPr>
              <w:jc w:val="center"/>
              <w:rPr>
                <w:rFonts w:ascii="Calibri" w:eastAsia="Times New Roman" w:hAnsi="Calibri" w:cs="Calibri"/>
                <w:color w:val="FF0000"/>
              </w:rPr>
            </w:pPr>
            <w:r>
              <w:rPr>
                <w:rFonts w:ascii="Calibri" w:hAnsi="Calibri" w:cs="Calibri"/>
              </w:rPr>
              <w:t>3.5%</w:t>
            </w:r>
          </w:p>
        </w:tc>
        <w:tc>
          <w:tcPr>
            <w:tcW w:w="1600" w:type="dxa"/>
            <w:tcBorders>
              <w:top w:val="nil"/>
              <w:left w:val="nil"/>
              <w:bottom w:val="nil"/>
              <w:right w:val="nil"/>
            </w:tcBorders>
            <w:shd w:val="clear" w:color="000000" w:fill="FFFFFF"/>
            <w:noWrap/>
            <w:vAlign w:val="bottom"/>
            <w:hideMark/>
          </w:tcPr>
          <w:p w14:paraId="729665B1" w14:textId="77777777" w:rsidR="00051D7E" w:rsidRPr="00B77D08" w:rsidRDefault="00051D7E" w:rsidP="007531FB">
            <w:pPr>
              <w:jc w:val="center"/>
              <w:rPr>
                <w:rFonts w:ascii="Calibri" w:eastAsia="Times New Roman" w:hAnsi="Calibri" w:cs="Calibri"/>
                <w:color w:val="FF0000"/>
              </w:rPr>
            </w:pPr>
            <w:r>
              <w:rPr>
                <w:rFonts w:ascii="Calibri" w:hAnsi="Calibri" w:cs="Calibri"/>
              </w:rPr>
              <w:t>0.20%</w:t>
            </w:r>
          </w:p>
        </w:tc>
        <w:tc>
          <w:tcPr>
            <w:tcW w:w="1155" w:type="dxa"/>
            <w:tcBorders>
              <w:top w:val="nil"/>
              <w:left w:val="nil"/>
              <w:bottom w:val="nil"/>
              <w:right w:val="nil"/>
            </w:tcBorders>
            <w:shd w:val="clear" w:color="auto" w:fill="D9D9D9" w:themeFill="background1" w:themeFillShade="D9"/>
            <w:noWrap/>
            <w:vAlign w:val="bottom"/>
            <w:hideMark/>
          </w:tcPr>
          <w:p w14:paraId="0EC82885"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7.0%</w:t>
            </w:r>
          </w:p>
        </w:tc>
        <w:tc>
          <w:tcPr>
            <w:tcW w:w="1635" w:type="dxa"/>
            <w:tcBorders>
              <w:top w:val="nil"/>
              <w:left w:val="nil"/>
              <w:bottom w:val="nil"/>
              <w:right w:val="nil"/>
            </w:tcBorders>
            <w:shd w:val="clear" w:color="auto" w:fill="D9D9D9" w:themeFill="background1" w:themeFillShade="D9"/>
            <w:noWrap/>
            <w:vAlign w:val="bottom"/>
            <w:hideMark/>
          </w:tcPr>
          <w:p w14:paraId="2FC73B7A"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-0.40%</w:t>
            </w:r>
          </w:p>
        </w:tc>
      </w:tr>
      <w:tr w:rsidR="00051D7E" w:rsidRPr="00F65869" w14:paraId="561FA9E9" w14:textId="77777777" w:rsidTr="007531FB">
        <w:trPr>
          <w:trHeight w:val="288"/>
          <w:jc w:val="center"/>
        </w:trPr>
        <w:tc>
          <w:tcPr>
            <w:tcW w:w="3545" w:type="dxa"/>
            <w:tcBorders>
              <w:top w:val="nil"/>
              <w:left w:val="nil"/>
              <w:bottom w:val="nil"/>
              <w:right w:val="nil"/>
            </w:tcBorders>
            <w:shd w:val="clear" w:color="000000" w:fill="FFFFFF"/>
            <w:noWrap/>
            <w:vAlign w:val="center"/>
          </w:tcPr>
          <w:p w14:paraId="316DDA75" w14:textId="77777777" w:rsidR="00051D7E" w:rsidRPr="00F65869" w:rsidRDefault="00051D7E" w:rsidP="007531FB">
            <w:pPr>
              <w:rPr>
                <w:rFonts w:ascii="Calibri" w:eastAsia="Times New Roman" w:hAnsi="Calibri" w:cs="Calibri"/>
                <w:color w:val="0D0D0D"/>
              </w:rPr>
            </w:pPr>
            <w:r>
              <w:rPr>
                <w:rFonts w:ascii="Calibri" w:eastAsia="Times New Roman" w:hAnsi="Calibri" w:cs="Calibri"/>
                <w:color w:val="0D0D0D"/>
              </w:rPr>
              <w:t>Short-term TIPS</w:t>
            </w:r>
          </w:p>
        </w:tc>
        <w:tc>
          <w:tcPr>
            <w:tcW w:w="1311" w:type="dxa"/>
            <w:tcBorders>
              <w:top w:val="nil"/>
              <w:left w:val="nil"/>
              <w:bottom w:val="nil"/>
              <w:right w:val="nil"/>
            </w:tcBorders>
            <w:shd w:val="clear" w:color="000000" w:fill="FFFFFF"/>
            <w:noWrap/>
            <w:vAlign w:val="bottom"/>
          </w:tcPr>
          <w:p w14:paraId="5E62946B" w14:textId="77777777" w:rsidR="00051D7E" w:rsidRPr="00B77D08" w:rsidRDefault="00051D7E" w:rsidP="007531FB">
            <w:pPr>
              <w:jc w:val="center"/>
              <w:rPr>
                <w:rFonts w:ascii="Calibri" w:eastAsia="Times New Roman" w:hAnsi="Calibri" w:cs="Calibri"/>
                <w:color w:val="FF0000"/>
              </w:rPr>
            </w:pPr>
            <w:r>
              <w:rPr>
                <w:rFonts w:ascii="Calibri" w:hAnsi="Calibri" w:cs="Calibri"/>
              </w:rPr>
              <w:t>3.5%</w:t>
            </w:r>
          </w:p>
        </w:tc>
        <w:tc>
          <w:tcPr>
            <w:tcW w:w="1600" w:type="dxa"/>
            <w:tcBorders>
              <w:top w:val="nil"/>
              <w:left w:val="nil"/>
              <w:bottom w:val="nil"/>
              <w:right w:val="nil"/>
            </w:tcBorders>
            <w:shd w:val="clear" w:color="000000" w:fill="FFFFFF"/>
            <w:noWrap/>
            <w:vAlign w:val="bottom"/>
          </w:tcPr>
          <w:p w14:paraId="06E4A584" w14:textId="77777777" w:rsidR="00051D7E" w:rsidRPr="00B77D08" w:rsidRDefault="00051D7E" w:rsidP="007531FB">
            <w:pPr>
              <w:jc w:val="center"/>
              <w:rPr>
                <w:rFonts w:ascii="Calibri" w:eastAsia="Times New Roman" w:hAnsi="Calibri" w:cs="Calibri"/>
                <w:color w:val="FF0000"/>
              </w:rPr>
            </w:pPr>
            <w:r>
              <w:rPr>
                <w:rFonts w:ascii="Calibri" w:hAnsi="Calibri" w:cs="Calibri"/>
              </w:rPr>
              <w:t>0.00%</w:t>
            </w:r>
          </w:p>
        </w:tc>
        <w:tc>
          <w:tcPr>
            <w:tcW w:w="1155" w:type="dxa"/>
            <w:tcBorders>
              <w:top w:val="nil"/>
              <w:left w:val="nil"/>
              <w:bottom w:val="nil"/>
              <w:right w:val="nil"/>
            </w:tcBorders>
            <w:shd w:val="clear" w:color="auto" w:fill="D9D9D9" w:themeFill="background1" w:themeFillShade="D9"/>
            <w:noWrap/>
            <w:vAlign w:val="bottom"/>
          </w:tcPr>
          <w:p w14:paraId="0CAE67DD" w14:textId="33B1C997" w:rsidR="00051D7E" w:rsidRPr="004A41D4" w:rsidRDefault="000E482E" w:rsidP="000E482E">
            <w:pPr>
              <w:jc w:val="center"/>
              <w:rPr>
                <w:rFonts w:ascii="Calibri" w:eastAsia="Times New Roman" w:hAnsi="Calibri" w:cs="Calibri"/>
              </w:rPr>
            </w:pPr>
            <w:r>
              <w:rPr>
                <w:rFonts w:ascii="Calibri" w:eastAsia="Times New Roman" w:hAnsi="Calibri" w:cs="Calibri"/>
              </w:rPr>
              <w:t>0.0%</w:t>
            </w:r>
          </w:p>
        </w:tc>
        <w:tc>
          <w:tcPr>
            <w:tcW w:w="1635" w:type="dxa"/>
            <w:tcBorders>
              <w:top w:val="nil"/>
              <w:left w:val="nil"/>
              <w:bottom w:val="nil"/>
              <w:right w:val="nil"/>
            </w:tcBorders>
            <w:shd w:val="clear" w:color="auto" w:fill="D9D9D9" w:themeFill="background1" w:themeFillShade="D9"/>
            <w:noWrap/>
            <w:vAlign w:val="bottom"/>
          </w:tcPr>
          <w:p w14:paraId="19D33186" w14:textId="101C7AB0" w:rsidR="00051D7E" w:rsidRPr="004A41D4" w:rsidRDefault="000E482E" w:rsidP="007531FB">
            <w:pPr>
              <w:jc w:val="center"/>
              <w:rPr>
                <w:rFonts w:ascii="Calibri" w:eastAsia="Times New Roman" w:hAnsi="Calibri" w:cs="Calibri"/>
              </w:rPr>
            </w:pPr>
            <w:r>
              <w:rPr>
                <w:rFonts w:ascii="Calibri" w:eastAsia="Times New Roman" w:hAnsi="Calibri" w:cs="Calibri"/>
              </w:rPr>
              <w:t>0.00%</w:t>
            </w:r>
          </w:p>
        </w:tc>
      </w:tr>
      <w:tr w:rsidR="00051D7E" w:rsidRPr="00F65869" w14:paraId="495503F0" w14:textId="77777777" w:rsidTr="007531FB">
        <w:trPr>
          <w:trHeight w:val="288"/>
          <w:jc w:val="center"/>
        </w:trPr>
        <w:tc>
          <w:tcPr>
            <w:tcW w:w="3545" w:type="dxa"/>
            <w:tcBorders>
              <w:top w:val="nil"/>
              <w:left w:val="nil"/>
              <w:bottom w:val="nil"/>
              <w:right w:val="nil"/>
            </w:tcBorders>
            <w:shd w:val="clear" w:color="000000" w:fill="FFFFFF"/>
            <w:noWrap/>
            <w:vAlign w:val="center"/>
            <w:hideMark/>
          </w:tcPr>
          <w:p w14:paraId="17C62D62"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Bank Loans</w:t>
            </w:r>
          </w:p>
        </w:tc>
        <w:tc>
          <w:tcPr>
            <w:tcW w:w="1311" w:type="dxa"/>
            <w:tcBorders>
              <w:top w:val="nil"/>
              <w:left w:val="nil"/>
              <w:bottom w:val="nil"/>
              <w:right w:val="nil"/>
            </w:tcBorders>
            <w:shd w:val="clear" w:color="000000" w:fill="FFFFFF"/>
            <w:noWrap/>
            <w:vAlign w:val="bottom"/>
            <w:hideMark/>
          </w:tcPr>
          <w:p w14:paraId="28C7C4FF" w14:textId="77777777" w:rsidR="00051D7E" w:rsidRPr="00B77D08" w:rsidRDefault="00051D7E" w:rsidP="007531FB">
            <w:pPr>
              <w:jc w:val="center"/>
              <w:rPr>
                <w:rFonts w:ascii="Calibri" w:eastAsia="Times New Roman" w:hAnsi="Calibri" w:cs="Calibri"/>
                <w:color w:val="FF0000"/>
              </w:rPr>
            </w:pPr>
            <w:r>
              <w:rPr>
                <w:rFonts w:ascii="Calibri" w:hAnsi="Calibri" w:cs="Calibri"/>
              </w:rPr>
              <w:t>5.0%</w:t>
            </w:r>
          </w:p>
        </w:tc>
        <w:tc>
          <w:tcPr>
            <w:tcW w:w="1600" w:type="dxa"/>
            <w:tcBorders>
              <w:top w:val="nil"/>
              <w:left w:val="nil"/>
              <w:bottom w:val="nil"/>
              <w:right w:val="nil"/>
            </w:tcBorders>
            <w:shd w:val="clear" w:color="000000" w:fill="FFFFFF"/>
            <w:noWrap/>
            <w:vAlign w:val="bottom"/>
            <w:hideMark/>
          </w:tcPr>
          <w:p w14:paraId="12DD2D8D" w14:textId="77777777" w:rsidR="00051D7E" w:rsidRPr="00B77D08" w:rsidRDefault="00051D7E" w:rsidP="007531FB">
            <w:pPr>
              <w:jc w:val="center"/>
              <w:rPr>
                <w:rFonts w:ascii="Calibri" w:eastAsia="Times New Roman" w:hAnsi="Calibri" w:cs="Calibri"/>
                <w:color w:val="FF0000"/>
              </w:rPr>
            </w:pPr>
            <w:r>
              <w:rPr>
                <w:rFonts w:ascii="Calibri" w:hAnsi="Calibri" w:cs="Calibri"/>
              </w:rPr>
              <w:t>2.80%</w:t>
            </w:r>
          </w:p>
        </w:tc>
        <w:tc>
          <w:tcPr>
            <w:tcW w:w="1155" w:type="dxa"/>
            <w:tcBorders>
              <w:top w:val="nil"/>
              <w:left w:val="nil"/>
              <w:bottom w:val="nil"/>
              <w:right w:val="nil"/>
            </w:tcBorders>
            <w:shd w:val="clear" w:color="auto" w:fill="D9D9D9" w:themeFill="background1" w:themeFillShade="D9"/>
            <w:noWrap/>
            <w:vAlign w:val="bottom"/>
            <w:hideMark/>
          </w:tcPr>
          <w:p w14:paraId="4A293591"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5.0%</w:t>
            </w:r>
          </w:p>
        </w:tc>
        <w:tc>
          <w:tcPr>
            <w:tcW w:w="1635" w:type="dxa"/>
            <w:tcBorders>
              <w:top w:val="nil"/>
              <w:left w:val="nil"/>
              <w:bottom w:val="nil"/>
              <w:right w:val="nil"/>
            </w:tcBorders>
            <w:shd w:val="clear" w:color="auto" w:fill="D9D9D9" w:themeFill="background1" w:themeFillShade="D9"/>
            <w:noWrap/>
            <w:vAlign w:val="bottom"/>
            <w:hideMark/>
          </w:tcPr>
          <w:p w14:paraId="29F8D01F"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2.70%</w:t>
            </w:r>
          </w:p>
        </w:tc>
      </w:tr>
      <w:tr w:rsidR="00051D7E" w:rsidRPr="00F65869" w14:paraId="5EDA8A83" w14:textId="77777777" w:rsidTr="007531FB">
        <w:trPr>
          <w:trHeight w:val="288"/>
          <w:jc w:val="center"/>
        </w:trPr>
        <w:tc>
          <w:tcPr>
            <w:tcW w:w="3545" w:type="dxa"/>
            <w:tcBorders>
              <w:top w:val="nil"/>
              <w:left w:val="nil"/>
              <w:bottom w:val="nil"/>
              <w:right w:val="nil"/>
            </w:tcBorders>
            <w:shd w:val="clear" w:color="000000" w:fill="FFFFFF"/>
            <w:noWrap/>
            <w:vAlign w:val="center"/>
            <w:hideMark/>
          </w:tcPr>
          <w:p w14:paraId="5D84DD63"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Absolute Return Fixed Income</w:t>
            </w:r>
          </w:p>
        </w:tc>
        <w:tc>
          <w:tcPr>
            <w:tcW w:w="1311" w:type="dxa"/>
            <w:tcBorders>
              <w:top w:val="nil"/>
              <w:left w:val="nil"/>
              <w:bottom w:val="nil"/>
              <w:right w:val="nil"/>
            </w:tcBorders>
            <w:shd w:val="clear" w:color="000000" w:fill="FFFFFF"/>
            <w:noWrap/>
            <w:vAlign w:val="bottom"/>
            <w:hideMark/>
          </w:tcPr>
          <w:p w14:paraId="4D2DF894" w14:textId="77777777" w:rsidR="00051D7E" w:rsidRPr="00B77D08" w:rsidRDefault="00051D7E" w:rsidP="007531FB">
            <w:pPr>
              <w:jc w:val="center"/>
              <w:rPr>
                <w:rFonts w:ascii="Calibri" w:eastAsia="Times New Roman" w:hAnsi="Calibri" w:cs="Calibri"/>
                <w:color w:val="FF0000"/>
              </w:rPr>
            </w:pPr>
            <w:r>
              <w:rPr>
                <w:rFonts w:ascii="Calibri" w:hAnsi="Calibri" w:cs="Calibri"/>
              </w:rPr>
              <w:t>5.0%</w:t>
            </w:r>
          </w:p>
        </w:tc>
        <w:tc>
          <w:tcPr>
            <w:tcW w:w="1600" w:type="dxa"/>
            <w:tcBorders>
              <w:top w:val="nil"/>
              <w:left w:val="nil"/>
              <w:bottom w:val="nil"/>
              <w:right w:val="nil"/>
            </w:tcBorders>
            <w:shd w:val="clear" w:color="000000" w:fill="FFFFFF"/>
            <w:noWrap/>
            <w:vAlign w:val="bottom"/>
            <w:hideMark/>
          </w:tcPr>
          <w:p w14:paraId="77A628E5" w14:textId="77777777" w:rsidR="00051D7E" w:rsidRPr="00B77D08" w:rsidRDefault="00051D7E" w:rsidP="007531FB">
            <w:pPr>
              <w:jc w:val="center"/>
              <w:rPr>
                <w:rFonts w:ascii="Calibri" w:eastAsia="Times New Roman" w:hAnsi="Calibri" w:cs="Calibri"/>
                <w:color w:val="FF0000"/>
              </w:rPr>
            </w:pPr>
            <w:r>
              <w:rPr>
                <w:rFonts w:ascii="Calibri" w:hAnsi="Calibri" w:cs="Calibri"/>
              </w:rPr>
              <w:t>1.80%</w:t>
            </w:r>
          </w:p>
        </w:tc>
        <w:tc>
          <w:tcPr>
            <w:tcW w:w="1155" w:type="dxa"/>
            <w:tcBorders>
              <w:top w:val="nil"/>
              <w:left w:val="nil"/>
              <w:bottom w:val="nil"/>
              <w:right w:val="nil"/>
            </w:tcBorders>
            <w:shd w:val="clear" w:color="auto" w:fill="D9D9D9" w:themeFill="background1" w:themeFillShade="D9"/>
            <w:noWrap/>
            <w:vAlign w:val="bottom"/>
            <w:hideMark/>
          </w:tcPr>
          <w:p w14:paraId="3C7BBEF2"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5.0%</w:t>
            </w:r>
          </w:p>
        </w:tc>
        <w:tc>
          <w:tcPr>
            <w:tcW w:w="1635" w:type="dxa"/>
            <w:tcBorders>
              <w:top w:val="nil"/>
              <w:left w:val="nil"/>
              <w:bottom w:val="nil"/>
              <w:right w:val="nil"/>
            </w:tcBorders>
            <w:shd w:val="clear" w:color="auto" w:fill="D9D9D9" w:themeFill="background1" w:themeFillShade="D9"/>
            <w:noWrap/>
            <w:vAlign w:val="bottom"/>
            <w:hideMark/>
          </w:tcPr>
          <w:p w14:paraId="7259172A"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1.10%</w:t>
            </w:r>
          </w:p>
        </w:tc>
      </w:tr>
      <w:tr w:rsidR="00051D7E" w:rsidRPr="00F65869" w14:paraId="7482C440" w14:textId="77777777" w:rsidTr="007531FB">
        <w:trPr>
          <w:trHeight w:val="288"/>
          <w:jc w:val="center"/>
        </w:trPr>
        <w:tc>
          <w:tcPr>
            <w:tcW w:w="3545" w:type="dxa"/>
            <w:tcBorders>
              <w:top w:val="nil"/>
              <w:left w:val="nil"/>
              <w:bottom w:val="nil"/>
              <w:right w:val="nil"/>
            </w:tcBorders>
            <w:shd w:val="clear" w:color="000000" w:fill="FFFFFF"/>
            <w:noWrap/>
            <w:vAlign w:val="center"/>
            <w:hideMark/>
          </w:tcPr>
          <w:p w14:paraId="01009EEE"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Global Asset Allocation</w:t>
            </w:r>
          </w:p>
        </w:tc>
        <w:tc>
          <w:tcPr>
            <w:tcW w:w="1311" w:type="dxa"/>
            <w:tcBorders>
              <w:top w:val="nil"/>
              <w:left w:val="nil"/>
              <w:bottom w:val="nil"/>
              <w:right w:val="nil"/>
            </w:tcBorders>
            <w:shd w:val="clear" w:color="000000" w:fill="FFFFFF"/>
            <w:noWrap/>
            <w:vAlign w:val="bottom"/>
            <w:hideMark/>
          </w:tcPr>
          <w:p w14:paraId="0FDDD40D" w14:textId="77777777" w:rsidR="00051D7E" w:rsidRPr="00B77D08" w:rsidRDefault="00051D7E" w:rsidP="007531FB">
            <w:pPr>
              <w:jc w:val="center"/>
              <w:rPr>
                <w:rFonts w:ascii="Calibri" w:eastAsia="Times New Roman" w:hAnsi="Calibri" w:cs="Calibri"/>
                <w:color w:val="FF0000"/>
              </w:rPr>
            </w:pPr>
            <w:r>
              <w:rPr>
                <w:rFonts w:ascii="Calibri" w:hAnsi="Calibri" w:cs="Calibri"/>
              </w:rPr>
              <w:t>7.5%</w:t>
            </w:r>
          </w:p>
        </w:tc>
        <w:tc>
          <w:tcPr>
            <w:tcW w:w="1600" w:type="dxa"/>
            <w:tcBorders>
              <w:top w:val="nil"/>
              <w:left w:val="nil"/>
              <w:bottom w:val="nil"/>
              <w:right w:val="nil"/>
            </w:tcBorders>
            <w:shd w:val="clear" w:color="000000" w:fill="FFFFFF"/>
            <w:noWrap/>
            <w:vAlign w:val="bottom"/>
            <w:hideMark/>
          </w:tcPr>
          <w:p w14:paraId="4C1CA40E" w14:textId="77777777" w:rsidR="00051D7E" w:rsidRPr="00B77D08" w:rsidRDefault="00051D7E" w:rsidP="007531FB">
            <w:pPr>
              <w:jc w:val="center"/>
              <w:rPr>
                <w:rFonts w:ascii="Calibri" w:eastAsia="Times New Roman" w:hAnsi="Calibri" w:cs="Calibri"/>
                <w:color w:val="FF0000"/>
              </w:rPr>
            </w:pPr>
            <w:r>
              <w:rPr>
                <w:rFonts w:ascii="Calibri" w:hAnsi="Calibri" w:cs="Calibri"/>
              </w:rPr>
              <w:t>2.30%</w:t>
            </w:r>
          </w:p>
        </w:tc>
        <w:tc>
          <w:tcPr>
            <w:tcW w:w="1155" w:type="dxa"/>
            <w:tcBorders>
              <w:top w:val="nil"/>
              <w:left w:val="nil"/>
              <w:bottom w:val="nil"/>
              <w:right w:val="nil"/>
            </w:tcBorders>
            <w:shd w:val="clear" w:color="auto" w:fill="D9D9D9" w:themeFill="background1" w:themeFillShade="D9"/>
            <w:noWrap/>
            <w:vAlign w:val="bottom"/>
            <w:hideMark/>
          </w:tcPr>
          <w:p w14:paraId="01CE8E4F"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15.0%</w:t>
            </w:r>
          </w:p>
        </w:tc>
        <w:tc>
          <w:tcPr>
            <w:tcW w:w="1635" w:type="dxa"/>
            <w:tcBorders>
              <w:top w:val="nil"/>
              <w:left w:val="nil"/>
              <w:bottom w:val="nil"/>
              <w:right w:val="nil"/>
            </w:tcBorders>
            <w:shd w:val="clear" w:color="auto" w:fill="D9D9D9" w:themeFill="background1" w:themeFillShade="D9"/>
            <w:noWrap/>
            <w:vAlign w:val="bottom"/>
            <w:hideMark/>
          </w:tcPr>
          <w:p w14:paraId="6C3626FE"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2.90%</w:t>
            </w:r>
          </w:p>
        </w:tc>
      </w:tr>
      <w:tr w:rsidR="00051D7E" w:rsidRPr="00F65869" w14:paraId="41A43FBF" w14:textId="77777777" w:rsidTr="007531FB">
        <w:trPr>
          <w:trHeight w:val="288"/>
          <w:jc w:val="center"/>
        </w:trPr>
        <w:tc>
          <w:tcPr>
            <w:tcW w:w="3545" w:type="dxa"/>
            <w:tcBorders>
              <w:top w:val="nil"/>
              <w:left w:val="nil"/>
              <w:bottom w:val="nil"/>
              <w:right w:val="nil"/>
            </w:tcBorders>
            <w:shd w:val="clear" w:color="000000" w:fill="FFFFFF"/>
            <w:noWrap/>
            <w:vAlign w:val="center"/>
            <w:hideMark/>
          </w:tcPr>
          <w:p w14:paraId="57AFC442"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Hedge Funds</w:t>
            </w:r>
          </w:p>
        </w:tc>
        <w:tc>
          <w:tcPr>
            <w:tcW w:w="1311" w:type="dxa"/>
            <w:tcBorders>
              <w:top w:val="nil"/>
              <w:left w:val="nil"/>
              <w:bottom w:val="nil"/>
              <w:right w:val="nil"/>
            </w:tcBorders>
            <w:shd w:val="clear" w:color="000000" w:fill="FFFFFF"/>
            <w:noWrap/>
            <w:vAlign w:val="bottom"/>
            <w:hideMark/>
          </w:tcPr>
          <w:p w14:paraId="0D08FF4E" w14:textId="77777777" w:rsidR="00051D7E" w:rsidRPr="00B77D08" w:rsidRDefault="00051D7E" w:rsidP="007531FB">
            <w:pPr>
              <w:jc w:val="center"/>
              <w:rPr>
                <w:rFonts w:ascii="Calibri" w:eastAsia="Times New Roman" w:hAnsi="Calibri" w:cs="Calibri"/>
                <w:color w:val="FF0000"/>
              </w:rPr>
            </w:pPr>
            <w:r>
              <w:rPr>
                <w:rFonts w:ascii="Calibri" w:hAnsi="Calibri" w:cs="Calibri"/>
              </w:rPr>
              <w:t>7.0%</w:t>
            </w:r>
          </w:p>
        </w:tc>
        <w:tc>
          <w:tcPr>
            <w:tcW w:w="1600" w:type="dxa"/>
            <w:tcBorders>
              <w:top w:val="nil"/>
              <w:left w:val="nil"/>
              <w:bottom w:val="nil"/>
              <w:right w:val="nil"/>
            </w:tcBorders>
            <w:shd w:val="clear" w:color="000000" w:fill="FFFFFF"/>
            <w:noWrap/>
            <w:vAlign w:val="bottom"/>
            <w:hideMark/>
          </w:tcPr>
          <w:p w14:paraId="2D371952" w14:textId="77777777" w:rsidR="00051D7E" w:rsidRPr="00B77D08" w:rsidRDefault="00051D7E" w:rsidP="007531FB">
            <w:pPr>
              <w:jc w:val="center"/>
              <w:rPr>
                <w:rFonts w:ascii="Calibri" w:eastAsia="Times New Roman" w:hAnsi="Calibri" w:cs="Calibri"/>
                <w:color w:val="FF0000"/>
              </w:rPr>
            </w:pPr>
            <w:r>
              <w:rPr>
                <w:rFonts w:ascii="Calibri" w:hAnsi="Calibri" w:cs="Calibri"/>
              </w:rPr>
              <w:t>3.10%</w:t>
            </w:r>
          </w:p>
        </w:tc>
        <w:tc>
          <w:tcPr>
            <w:tcW w:w="1155" w:type="dxa"/>
            <w:tcBorders>
              <w:top w:val="nil"/>
              <w:left w:val="nil"/>
              <w:bottom w:val="nil"/>
              <w:right w:val="nil"/>
            </w:tcBorders>
            <w:shd w:val="clear" w:color="auto" w:fill="D9D9D9" w:themeFill="background1" w:themeFillShade="D9"/>
            <w:noWrap/>
            <w:vAlign w:val="bottom"/>
            <w:hideMark/>
          </w:tcPr>
          <w:p w14:paraId="35D32B4B"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6.0%</w:t>
            </w:r>
          </w:p>
        </w:tc>
        <w:tc>
          <w:tcPr>
            <w:tcW w:w="1635" w:type="dxa"/>
            <w:tcBorders>
              <w:top w:val="nil"/>
              <w:left w:val="nil"/>
              <w:bottom w:val="nil"/>
              <w:right w:val="nil"/>
            </w:tcBorders>
            <w:shd w:val="clear" w:color="auto" w:fill="D9D9D9" w:themeFill="background1" w:themeFillShade="D9"/>
            <w:noWrap/>
            <w:vAlign w:val="bottom"/>
            <w:hideMark/>
          </w:tcPr>
          <w:p w14:paraId="0130A12F" w14:textId="77777777" w:rsidR="00051D7E" w:rsidRPr="004A41D4" w:rsidRDefault="00051D7E" w:rsidP="007531FB">
            <w:pPr>
              <w:jc w:val="center"/>
              <w:rPr>
                <w:rFonts w:ascii="Calibri" w:eastAsia="Times New Roman" w:hAnsi="Calibri" w:cs="Calibri"/>
              </w:rPr>
            </w:pPr>
            <w:r w:rsidRPr="004A41D4">
              <w:rPr>
                <w:rFonts w:ascii="Calibri" w:eastAsia="Times New Roman" w:hAnsi="Calibri" w:cs="Calibri"/>
              </w:rPr>
              <w:t>3.20%</w:t>
            </w:r>
          </w:p>
        </w:tc>
      </w:tr>
      <w:tr w:rsidR="00051D7E" w:rsidRPr="00F65869" w14:paraId="22719304" w14:textId="77777777" w:rsidTr="007531FB">
        <w:trPr>
          <w:trHeight w:val="300"/>
          <w:jc w:val="center"/>
        </w:trPr>
        <w:tc>
          <w:tcPr>
            <w:tcW w:w="3545" w:type="dxa"/>
            <w:tcBorders>
              <w:top w:val="single" w:sz="4" w:space="0" w:color="44546A"/>
              <w:left w:val="nil"/>
              <w:bottom w:val="double" w:sz="6" w:space="0" w:color="44546A"/>
              <w:right w:val="nil"/>
            </w:tcBorders>
            <w:shd w:val="clear" w:color="000000" w:fill="FFFFFF"/>
            <w:noWrap/>
            <w:vAlign w:val="bottom"/>
            <w:hideMark/>
          </w:tcPr>
          <w:p w14:paraId="552E5AA7"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Total</w:t>
            </w:r>
          </w:p>
        </w:tc>
        <w:tc>
          <w:tcPr>
            <w:tcW w:w="1311" w:type="dxa"/>
            <w:tcBorders>
              <w:top w:val="single" w:sz="4" w:space="0" w:color="44546A"/>
              <w:left w:val="nil"/>
              <w:bottom w:val="double" w:sz="6" w:space="0" w:color="44546A"/>
              <w:right w:val="nil"/>
            </w:tcBorders>
            <w:shd w:val="clear" w:color="000000" w:fill="FFFFFF"/>
            <w:noWrap/>
            <w:vAlign w:val="bottom"/>
            <w:hideMark/>
          </w:tcPr>
          <w:p w14:paraId="6E589CEB" w14:textId="77777777" w:rsidR="00051D7E" w:rsidRPr="00F65869" w:rsidRDefault="00051D7E" w:rsidP="007531FB">
            <w:pPr>
              <w:jc w:val="center"/>
              <w:rPr>
                <w:rFonts w:ascii="Calibri" w:eastAsia="Times New Roman" w:hAnsi="Calibri" w:cs="Calibri"/>
                <w:color w:val="0D0D0D"/>
              </w:rPr>
            </w:pPr>
            <w:r w:rsidRPr="00F65869">
              <w:rPr>
                <w:rFonts w:ascii="Calibri" w:eastAsia="Times New Roman" w:hAnsi="Calibri" w:cs="Calibri"/>
                <w:color w:val="0D0D0D"/>
              </w:rPr>
              <w:t>100%</w:t>
            </w:r>
          </w:p>
        </w:tc>
        <w:tc>
          <w:tcPr>
            <w:tcW w:w="1600" w:type="dxa"/>
            <w:tcBorders>
              <w:top w:val="nil"/>
              <w:left w:val="nil"/>
              <w:bottom w:val="nil"/>
              <w:right w:val="nil"/>
            </w:tcBorders>
            <w:shd w:val="clear" w:color="000000" w:fill="FFFFFF"/>
            <w:noWrap/>
            <w:vAlign w:val="bottom"/>
            <w:hideMark/>
          </w:tcPr>
          <w:p w14:paraId="5888E4EC" w14:textId="77777777" w:rsidR="00051D7E" w:rsidRPr="00F65869" w:rsidRDefault="00051D7E" w:rsidP="007531FB">
            <w:pPr>
              <w:jc w:val="center"/>
              <w:rPr>
                <w:rFonts w:ascii="Calibri" w:eastAsia="Times New Roman" w:hAnsi="Calibri" w:cs="Calibri"/>
                <w:color w:val="0D0D0D"/>
              </w:rPr>
            </w:pPr>
            <w:r w:rsidRPr="00F65869">
              <w:rPr>
                <w:rFonts w:ascii="Calibri" w:eastAsia="Times New Roman" w:hAnsi="Calibri" w:cs="Calibri"/>
                <w:color w:val="0D0D0D"/>
              </w:rPr>
              <w:t> </w:t>
            </w:r>
          </w:p>
        </w:tc>
        <w:tc>
          <w:tcPr>
            <w:tcW w:w="1155" w:type="dxa"/>
            <w:tcBorders>
              <w:top w:val="single" w:sz="4" w:space="0" w:color="44546A"/>
              <w:left w:val="nil"/>
              <w:bottom w:val="double" w:sz="6" w:space="0" w:color="44546A"/>
              <w:right w:val="nil"/>
            </w:tcBorders>
            <w:shd w:val="clear" w:color="auto" w:fill="D9D9D9" w:themeFill="background1" w:themeFillShade="D9"/>
            <w:noWrap/>
            <w:vAlign w:val="bottom"/>
            <w:hideMark/>
          </w:tcPr>
          <w:p w14:paraId="16C30DD3" w14:textId="77777777" w:rsidR="00051D7E" w:rsidRPr="00F65869" w:rsidRDefault="00051D7E" w:rsidP="007531FB">
            <w:pPr>
              <w:jc w:val="center"/>
              <w:rPr>
                <w:rFonts w:ascii="Calibri" w:eastAsia="Times New Roman" w:hAnsi="Calibri" w:cs="Calibri"/>
                <w:color w:val="0D0D0D"/>
              </w:rPr>
            </w:pPr>
            <w:r w:rsidRPr="00F65869">
              <w:rPr>
                <w:rFonts w:ascii="Calibri" w:eastAsia="Times New Roman" w:hAnsi="Calibri" w:cs="Calibri"/>
                <w:color w:val="0D0D0D"/>
              </w:rPr>
              <w:t>100%</w:t>
            </w:r>
          </w:p>
        </w:tc>
        <w:tc>
          <w:tcPr>
            <w:tcW w:w="1635" w:type="dxa"/>
            <w:tcBorders>
              <w:top w:val="nil"/>
              <w:left w:val="nil"/>
              <w:bottom w:val="nil"/>
              <w:right w:val="nil"/>
            </w:tcBorders>
            <w:shd w:val="clear" w:color="auto" w:fill="D9D9D9" w:themeFill="background1" w:themeFillShade="D9"/>
            <w:noWrap/>
            <w:vAlign w:val="bottom"/>
            <w:hideMark/>
          </w:tcPr>
          <w:p w14:paraId="53F61432" w14:textId="77777777" w:rsidR="00051D7E" w:rsidRPr="00F65869" w:rsidRDefault="00051D7E" w:rsidP="007531FB">
            <w:pPr>
              <w:jc w:val="center"/>
              <w:rPr>
                <w:rFonts w:ascii="Calibri" w:eastAsia="Times New Roman" w:hAnsi="Calibri" w:cs="Calibri"/>
                <w:color w:val="0D0D0D"/>
              </w:rPr>
            </w:pPr>
            <w:r w:rsidRPr="00F65869">
              <w:rPr>
                <w:rFonts w:ascii="Calibri" w:eastAsia="Times New Roman" w:hAnsi="Calibri" w:cs="Calibri"/>
                <w:color w:val="0D0D0D"/>
              </w:rPr>
              <w:t> </w:t>
            </w:r>
          </w:p>
        </w:tc>
      </w:tr>
    </w:tbl>
    <w:p w14:paraId="7A21B38D" w14:textId="77777777" w:rsidR="00051D7E" w:rsidRDefault="00051D7E" w:rsidP="00051D7E">
      <w:pPr>
        <w:spacing w:before="240" w:line="259" w:lineRule="auto"/>
        <w:rPr>
          <w:rFonts w:eastAsiaTheme="majorEastAsia" w:cstheme="minorHAnsi"/>
          <w:b/>
          <w:i/>
          <w:iCs/>
          <w:smallCaps/>
          <w:noProof/>
          <w:color w:val="000000" w:themeColor="text1"/>
          <w:sz w:val="26"/>
          <w:szCs w:val="26"/>
          <w:u w:color="5B9BD5"/>
        </w:rPr>
      </w:pPr>
      <w:r w:rsidRPr="00F54559">
        <w:rPr>
          <w:rFonts w:eastAsia="Times New Roman" w:cstheme="minorHAnsi"/>
          <w:b/>
          <w:i/>
          <w:spacing w:val="-1"/>
          <w:sz w:val="24"/>
        </w:rPr>
        <w:t>Discount Rate</w:t>
      </w:r>
      <w:r w:rsidRPr="00F54559">
        <w:rPr>
          <w:rFonts w:eastAsia="Times New Roman" w:cstheme="minorHAnsi"/>
          <w:b/>
          <w:spacing w:val="-1"/>
          <w:sz w:val="24"/>
        </w:rPr>
        <w:t>:</w:t>
      </w:r>
      <w:r w:rsidRPr="00F54559">
        <w:rPr>
          <w:rFonts w:eastAsia="Times New Roman" w:cstheme="minorHAnsi"/>
          <w:spacing w:val="-1"/>
          <w:sz w:val="24"/>
          <w:szCs w:val="24"/>
        </w:rPr>
        <w:t xml:space="preserve"> </w:t>
      </w:r>
      <w:r w:rsidRPr="00F54559">
        <w:rPr>
          <w:rFonts w:cstheme="minorHAnsi"/>
          <w:sz w:val="24"/>
          <w:szCs w:val="24"/>
        </w:rPr>
        <w:t>Projected benefit payments are required to be discounted to their actuarial present value using the single rate that reflects (1) a long-term expected rate of return on OPEB Plan investments to the extent that the OPEB Plan’s fiduciary net position is projected to be sufficient to make projected benefit payments and OPEB Plan assets are expected to be invested using a strategy to achieve that return and (2) a tax-exempt, high-quality municipal bond rate to the extent that the conditions for use of the long-term expected rate of return are not met.</w:t>
      </w:r>
      <w:r>
        <w:rPr>
          <w:rFonts w:eastAsiaTheme="majorEastAsia" w:cstheme="minorHAnsi"/>
          <w:b/>
          <w:i/>
          <w:iCs/>
          <w:smallCaps/>
          <w:noProof/>
          <w:color w:val="000000" w:themeColor="text1"/>
          <w:sz w:val="26"/>
          <w:szCs w:val="26"/>
          <w:u w:color="5B9BD5"/>
        </w:rPr>
        <w:br w:type="page"/>
      </w:r>
    </w:p>
    <w:p w14:paraId="79F223C7" w14:textId="77777777" w:rsidR="00051D7E" w:rsidRPr="00F54559" w:rsidRDefault="00051D7E" w:rsidP="009014A7">
      <w:pPr>
        <w:tabs>
          <w:tab w:val="left" w:pos="900"/>
        </w:tabs>
        <w:spacing w:before="240" w:after="120"/>
        <w:ind w:right="-7"/>
        <w:rPr>
          <w:rFonts w:cstheme="minorHAnsi"/>
          <w:color w:val="222222"/>
          <w:sz w:val="24"/>
          <w:shd w:val="clear" w:color="auto" w:fill="FFFFFF"/>
        </w:rPr>
      </w:pPr>
      <w:r w:rsidRPr="00F54559">
        <w:rPr>
          <w:rFonts w:eastAsiaTheme="majorEastAsia" w:cstheme="minorHAnsi"/>
          <w:b/>
          <w:i/>
          <w:iCs/>
          <w:smallCaps/>
          <w:noProof/>
          <w:color w:val="000000" w:themeColor="text1"/>
          <w:sz w:val="26"/>
          <w:szCs w:val="26"/>
          <w:u w:color="5B9BD5"/>
        </w:rPr>
        <w:lastRenderedPageBreak/>
        <w:t>14. POSTEMPLOYMENT HEALTH PLAN - CONTINUED</w:t>
      </w:r>
    </w:p>
    <w:p w14:paraId="5953775D" w14:textId="7663FF17" w:rsidR="00051D7E" w:rsidRPr="00F54559" w:rsidRDefault="00051D7E" w:rsidP="00051D7E">
      <w:pPr>
        <w:rPr>
          <w:rFonts w:eastAsia="Times New Roman" w:cstheme="minorHAnsi"/>
          <w:spacing w:val="-1"/>
          <w:sz w:val="24"/>
        </w:rPr>
      </w:pPr>
      <w:r w:rsidRPr="00F54559">
        <w:rPr>
          <w:rFonts w:eastAsia="Times New Roman" w:cstheme="minorHAnsi"/>
          <w:spacing w:val="-1"/>
          <w:sz w:val="24"/>
        </w:rPr>
        <w:t>The discount rate used to measure the total OPEB liability at the measurement date</w:t>
      </w:r>
      <w:r>
        <w:rPr>
          <w:rFonts w:eastAsia="Times New Roman" w:cstheme="minorHAnsi"/>
          <w:spacing w:val="-1"/>
          <w:sz w:val="24"/>
        </w:rPr>
        <w:t xml:space="preserve">s of June 30, 2021 and 2020 </w:t>
      </w:r>
      <w:r w:rsidR="006F516D">
        <w:rPr>
          <w:rFonts w:eastAsia="Times New Roman" w:cstheme="minorHAnsi"/>
          <w:spacing w:val="-1"/>
          <w:sz w:val="24"/>
        </w:rPr>
        <w:t>was</w:t>
      </w:r>
      <w:r w:rsidR="006F516D" w:rsidRPr="00F54559">
        <w:rPr>
          <w:rFonts w:eastAsia="Times New Roman" w:cstheme="minorHAnsi"/>
          <w:spacing w:val="-1"/>
          <w:sz w:val="24"/>
        </w:rPr>
        <w:t xml:space="preserve"> </w:t>
      </w:r>
      <w:r w:rsidRPr="00F54559">
        <w:rPr>
          <w:rFonts w:eastAsia="Times New Roman" w:cstheme="minorHAnsi"/>
          <w:spacing w:val="-1"/>
          <w:sz w:val="24"/>
        </w:rPr>
        <w:t>7.</w:t>
      </w:r>
      <w:r>
        <w:rPr>
          <w:rFonts w:eastAsia="Times New Roman" w:cstheme="minorHAnsi"/>
          <w:spacing w:val="-1"/>
          <w:sz w:val="24"/>
        </w:rPr>
        <w:t>2</w:t>
      </w:r>
      <w:r w:rsidRPr="00F54559">
        <w:rPr>
          <w:rFonts w:eastAsia="Times New Roman" w:cstheme="minorHAnsi"/>
          <w:spacing w:val="-1"/>
          <w:sz w:val="24"/>
        </w:rPr>
        <w:t>5%</w:t>
      </w:r>
      <w:r>
        <w:rPr>
          <w:rFonts w:eastAsia="Times New Roman" w:cstheme="minorHAnsi"/>
          <w:spacing w:val="-1"/>
          <w:sz w:val="24"/>
        </w:rPr>
        <w:t>.</w:t>
      </w:r>
      <w:r w:rsidRPr="00F54559">
        <w:rPr>
          <w:rFonts w:eastAsia="Times New Roman" w:cstheme="minorHAnsi"/>
          <w:spacing w:val="-1"/>
          <w:sz w:val="24"/>
        </w:rPr>
        <w:t xml:space="preserve"> The projection of cash flows used to determine the discount rate assumed that contributions from the System will be made in accordance with the OPEB Plan’s funding policy. Based on those assumptions, the OPEB Plan's fiduciary net position was projected to be available to make all projected future benefit payments of current plan members. Therefore, the long-term expected rate </w:t>
      </w:r>
      <w:r w:rsidRPr="004C21B8">
        <w:rPr>
          <w:rFonts w:eastAsia="Times New Roman" w:cstheme="minorHAnsi"/>
          <w:spacing w:val="-1"/>
          <w:sz w:val="24"/>
        </w:rPr>
        <w:t xml:space="preserve">of return </w:t>
      </w:r>
      <w:r w:rsidRPr="00F54559">
        <w:rPr>
          <w:rFonts w:eastAsia="Times New Roman" w:cstheme="minorHAnsi"/>
          <w:spacing w:val="-1"/>
          <w:sz w:val="24"/>
        </w:rPr>
        <w:t>on OPEB Plan investments was applied to all periods of projected benefit payments to determine the total OPEB liability.</w:t>
      </w:r>
    </w:p>
    <w:p w14:paraId="7216FE2D" w14:textId="77777777" w:rsidR="00051D7E" w:rsidRPr="00F54559" w:rsidRDefault="00051D7E" w:rsidP="00051D7E">
      <w:pPr>
        <w:tabs>
          <w:tab w:val="left" w:pos="900"/>
        </w:tabs>
        <w:ind w:right="-7"/>
        <w:rPr>
          <w:rFonts w:cstheme="minorHAnsi"/>
          <w:sz w:val="24"/>
        </w:rPr>
      </w:pPr>
    </w:p>
    <w:p w14:paraId="77220AEA" w14:textId="77777777" w:rsidR="00051D7E" w:rsidRPr="00F54559" w:rsidRDefault="00051D7E" w:rsidP="00051D7E">
      <w:pPr>
        <w:tabs>
          <w:tab w:val="left" w:pos="1080"/>
        </w:tabs>
        <w:spacing w:after="240"/>
        <w:ind w:right="-7"/>
        <w:rPr>
          <w:rFonts w:eastAsia="Times New Roman" w:cstheme="minorHAnsi"/>
          <w:sz w:val="24"/>
        </w:rPr>
      </w:pPr>
      <w:r w:rsidRPr="00F54559">
        <w:rPr>
          <w:rFonts w:eastAsia="Franklin Gothic Book" w:cstheme="minorHAnsi"/>
          <w:b/>
          <w:i/>
          <w:spacing w:val="-2"/>
          <w:sz w:val="24"/>
        </w:rPr>
        <w:t>S</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2"/>
          <w:sz w:val="24"/>
        </w:rPr>
        <w:t>t</w:t>
      </w:r>
      <w:r w:rsidRPr="00F54559">
        <w:rPr>
          <w:rFonts w:eastAsia="Franklin Gothic Book" w:cstheme="minorHAnsi"/>
          <w:b/>
          <w:i/>
          <w:sz w:val="24"/>
        </w:rPr>
        <w:t>ivi</w:t>
      </w:r>
      <w:r w:rsidRPr="00F54559">
        <w:rPr>
          <w:rFonts w:eastAsia="Franklin Gothic Book" w:cstheme="minorHAnsi"/>
          <w:b/>
          <w:i/>
          <w:spacing w:val="-1"/>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z w:val="24"/>
        </w:rPr>
        <w:t>of</w:t>
      </w:r>
      <w:r w:rsidRPr="00F54559">
        <w:rPr>
          <w:rFonts w:eastAsia="Franklin Gothic Book" w:cstheme="minorHAnsi"/>
          <w:b/>
          <w:i/>
          <w:spacing w:val="-6"/>
          <w:sz w:val="24"/>
        </w:rPr>
        <w:t xml:space="preserve"> </w:t>
      </w:r>
      <w:r w:rsidRPr="00F54559">
        <w:rPr>
          <w:rFonts w:eastAsia="Franklin Gothic Book" w:cstheme="minorHAnsi"/>
          <w:b/>
          <w:i/>
          <w:spacing w:val="-1"/>
          <w:sz w:val="24"/>
        </w:rPr>
        <w:t>t</w:t>
      </w:r>
      <w:r w:rsidRPr="00F54559">
        <w:rPr>
          <w:rFonts w:eastAsia="Franklin Gothic Book" w:cstheme="minorHAnsi"/>
          <w:b/>
          <w:i/>
          <w:sz w:val="24"/>
        </w:rPr>
        <w:t>he</w:t>
      </w:r>
      <w:r w:rsidRPr="00F54559">
        <w:rPr>
          <w:rFonts w:eastAsia="Franklin Gothic Book" w:cstheme="minorHAnsi"/>
          <w:b/>
          <w:i/>
          <w:spacing w:val="-6"/>
          <w:sz w:val="24"/>
        </w:rPr>
        <w:t xml:space="preserve"> </w:t>
      </w:r>
      <w:r w:rsidRPr="00F54559">
        <w:rPr>
          <w:rFonts w:eastAsia="Franklin Gothic Book" w:cstheme="minorHAnsi"/>
          <w:b/>
          <w:i/>
          <w:spacing w:val="-2"/>
          <w:sz w:val="24"/>
        </w:rPr>
        <w:t>n</w:t>
      </w:r>
      <w:r w:rsidRPr="00F54559">
        <w:rPr>
          <w:rFonts w:eastAsia="Franklin Gothic Book" w:cstheme="minorHAnsi"/>
          <w:b/>
          <w:i/>
          <w:sz w:val="24"/>
        </w:rPr>
        <w:t>et</w:t>
      </w:r>
      <w:r w:rsidRPr="00F54559">
        <w:rPr>
          <w:rFonts w:eastAsia="Franklin Gothic Book" w:cstheme="minorHAnsi"/>
          <w:b/>
          <w:i/>
          <w:spacing w:val="-7"/>
          <w:sz w:val="24"/>
        </w:rPr>
        <w:t xml:space="preserve"> </w:t>
      </w:r>
      <w:r w:rsidRPr="00F54559">
        <w:rPr>
          <w:rFonts w:eastAsia="Franklin Gothic Book" w:cstheme="minorHAnsi"/>
          <w:b/>
          <w:i/>
          <w:spacing w:val="-2"/>
          <w:sz w:val="24"/>
        </w:rPr>
        <w:t>OPEB</w:t>
      </w:r>
      <w:r w:rsidRPr="00F54559">
        <w:rPr>
          <w:rFonts w:eastAsia="Franklin Gothic Book" w:cstheme="minorHAnsi"/>
          <w:b/>
          <w:i/>
          <w:spacing w:val="-5"/>
          <w:sz w:val="24"/>
        </w:rPr>
        <w:t xml:space="preserve"> </w:t>
      </w:r>
      <w:r w:rsidRPr="00F54559">
        <w:rPr>
          <w:rFonts w:eastAsia="Franklin Gothic Book" w:cstheme="minorHAnsi"/>
          <w:b/>
          <w:i/>
          <w:sz w:val="24"/>
        </w:rPr>
        <w:t>li</w:t>
      </w:r>
      <w:r w:rsidRPr="00F54559">
        <w:rPr>
          <w:rFonts w:eastAsia="Franklin Gothic Book" w:cstheme="minorHAnsi"/>
          <w:b/>
          <w:i/>
          <w:spacing w:val="-2"/>
          <w:sz w:val="24"/>
        </w:rPr>
        <w:t>a</w:t>
      </w:r>
      <w:r w:rsidRPr="00F54559">
        <w:rPr>
          <w:rFonts w:eastAsia="Franklin Gothic Book" w:cstheme="minorHAnsi"/>
          <w:b/>
          <w:i/>
          <w:sz w:val="24"/>
        </w:rPr>
        <w:t>bili</w:t>
      </w:r>
      <w:r w:rsidRPr="00F54559">
        <w:rPr>
          <w:rFonts w:eastAsia="Franklin Gothic Book" w:cstheme="minorHAnsi"/>
          <w:b/>
          <w:i/>
          <w:spacing w:val="-2"/>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o</w:t>
      </w:r>
      <w:r w:rsidRPr="00F54559">
        <w:rPr>
          <w:rFonts w:eastAsia="Franklin Gothic Book" w:cstheme="minorHAnsi"/>
          <w:b/>
          <w:i/>
          <w:spacing w:val="-6"/>
          <w:sz w:val="24"/>
        </w:rPr>
        <w:t xml:space="preserve"> </w:t>
      </w:r>
      <w:r w:rsidRPr="00F54559">
        <w:rPr>
          <w:rFonts w:eastAsia="Franklin Gothic Book" w:cstheme="minorHAnsi"/>
          <w:b/>
          <w:i/>
          <w:spacing w:val="-1"/>
          <w:sz w:val="24"/>
        </w:rPr>
        <w:t>c</w:t>
      </w:r>
      <w:r w:rsidRPr="00F54559">
        <w:rPr>
          <w:rFonts w:eastAsia="Franklin Gothic Book" w:cstheme="minorHAnsi"/>
          <w:b/>
          <w:i/>
          <w:sz w:val="24"/>
        </w:rPr>
        <w:t>h</w:t>
      </w:r>
      <w:r w:rsidRPr="00F54559">
        <w:rPr>
          <w:rFonts w:eastAsia="Franklin Gothic Book" w:cstheme="minorHAnsi"/>
          <w:b/>
          <w:i/>
          <w:spacing w:val="-2"/>
          <w:sz w:val="24"/>
        </w:rPr>
        <w:t>an</w:t>
      </w:r>
      <w:r w:rsidRPr="00F54559">
        <w:rPr>
          <w:rFonts w:eastAsia="Franklin Gothic Book" w:cstheme="minorHAnsi"/>
          <w:b/>
          <w:i/>
          <w:sz w:val="24"/>
        </w:rPr>
        <w:t>ges</w:t>
      </w:r>
      <w:r w:rsidRPr="00F54559">
        <w:rPr>
          <w:rFonts w:eastAsia="Franklin Gothic Book" w:cstheme="minorHAnsi"/>
          <w:b/>
          <w:i/>
          <w:spacing w:val="-6"/>
          <w:sz w:val="24"/>
        </w:rPr>
        <w:t xml:space="preserve"> </w:t>
      </w:r>
      <w:r w:rsidRPr="00F54559">
        <w:rPr>
          <w:rFonts w:eastAsia="Franklin Gothic Book" w:cstheme="minorHAnsi"/>
          <w:b/>
          <w:i/>
          <w:sz w:val="24"/>
        </w:rPr>
        <w:t>in</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he</w:t>
      </w:r>
      <w:r w:rsidRPr="00F54559">
        <w:rPr>
          <w:rFonts w:eastAsia="Franklin Gothic Book" w:cstheme="minorHAnsi"/>
          <w:b/>
          <w:i/>
          <w:spacing w:val="-6"/>
          <w:sz w:val="24"/>
        </w:rPr>
        <w:t xml:space="preserve"> d</w:t>
      </w:r>
      <w:r w:rsidRPr="00F54559">
        <w:rPr>
          <w:rFonts w:eastAsia="Franklin Gothic Book" w:cstheme="minorHAnsi"/>
          <w:b/>
          <w:i/>
          <w:sz w:val="24"/>
        </w:rPr>
        <w:t>i</w:t>
      </w:r>
      <w:r w:rsidRPr="00F54559">
        <w:rPr>
          <w:rFonts w:eastAsia="Franklin Gothic Book" w:cstheme="minorHAnsi"/>
          <w:b/>
          <w:i/>
          <w:spacing w:val="-1"/>
          <w:sz w:val="24"/>
        </w:rPr>
        <w:t>sc</w:t>
      </w:r>
      <w:r w:rsidRPr="00F54559">
        <w:rPr>
          <w:rFonts w:eastAsia="Franklin Gothic Book" w:cstheme="minorHAnsi"/>
          <w:b/>
          <w:i/>
          <w:sz w:val="24"/>
        </w:rPr>
        <w:t>ou</w:t>
      </w:r>
      <w:r w:rsidRPr="00F54559">
        <w:rPr>
          <w:rFonts w:eastAsia="Franklin Gothic Book" w:cstheme="minorHAnsi"/>
          <w:b/>
          <w:i/>
          <w:spacing w:val="-2"/>
          <w:sz w:val="24"/>
        </w:rPr>
        <w:t>n</w:t>
      </w:r>
      <w:r w:rsidRPr="00F54559">
        <w:rPr>
          <w:rFonts w:eastAsia="Franklin Gothic Book" w:cstheme="minorHAnsi"/>
          <w:b/>
          <w:i/>
          <w:sz w:val="24"/>
        </w:rPr>
        <w:t>t</w:t>
      </w:r>
      <w:r w:rsidRPr="00F54559">
        <w:rPr>
          <w:rFonts w:eastAsia="Franklin Gothic Book" w:cstheme="minorHAnsi"/>
          <w:b/>
          <w:i/>
          <w:spacing w:val="-6"/>
          <w:sz w:val="24"/>
        </w:rPr>
        <w:t xml:space="preserve"> </w:t>
      </w:r>
      <w:r w:rsidRPr="00F54559">
        <w:rPr>
          <w:rFonts w:eastAsia="Franklin Gothic Book" w:cstheme="minorHAnsi"/>
          <w:b/>
          <w:i/>
          <w:sz w:val="24"/>
        </w:rPr>
        <w:t>r</w:t>
      </w:r>
      <w:r w:rsidRPr="00F54559">
        <w:rPr>
          <w:rFonts w:eastAsia="Franklin Gothic Book" w:cstheme="minorHAnsi"/>
          <w:b/>
          <w:i/>
          <w:spacing w:val="-2"/>
          <w:sz w:val="24"/>
        </w:rPr>
        <w:t>at</w:t>
      </w:r>
      <w:r w:rsidRPr="00F54559">
        <w:rPr>
          <w:rFonts w:eastAsia="Franklin Gothic Book" w:cstheme="minorHAnsi"/>
          <w:b/>
          <w:i/>
          <w:sz w:val="24"/>
        </w:rPr>
        <w:t>e:</w:t>
      </w:r>
      <w:r w:rsidRPr="00F54559">
        <w:rPr>
          <w:rFonts w:eastAsia="Franklin Gothic Book" w:cstheme="minorHAnsi"/>
          <w:i/>
          <w:sz w:val="24"/>
        </w:rPr>
        <w:t xml:space="preserve">  </w:t>
      </w:r>
      <w:r w:rsidRPr="00F54559">
        <w:rPr>
          <w:rFonts w:eastAsia="Times New Roman" w:cstheme="minorHAnsi"/>
          <w:spacing w:val="-1"/>
          <w:sz w:val="24"/>
        </w:rPr>
        <w:t>T</w:t>
      </w:r>
      <w:r w:rsidRPr="00F54559">
        <w:rPr>
          <w:rFonts w:eastAsia="Times New Roman" w:cstheme="minorHAnsi"/>
          <w:sz w:val="24"/>
        </w:rPr>
        <w:t>he foll</w:t>
      </w:r>
      <w:r w:rsidRPr="00F54559">
        <w:rPr>
          <w:rFonts w:eastAsia="Times New Roman" w:cstheme="minorHAnsi"/>
          <w:spacing w:val="-1"/>
          <w:sz w:val="24"/>
        </w:rPr>
        <w:t>o</w:t>
      </w:r>
      <w:r w:rsidRPr="00F54559">
        <w:rPr>
          <w:rFonts w:eastAsia="Times New Roman" w:cstheme="minorHAnsi"/>
          <w:sz w:val="24"/>
        </w:rPr>
        <w:t>wing</w:t>
      </w:r>
      <w:r w:rsidRPr="00F54559">
        <w:rPr>
          <w:rFonts w:eastAsia="Times New Roman" w:cstheme="minorHAnsi"/>
          <w:spacing w:val="1"/>
          <w:sz w:val="24"/>
        </w:rPr>
        <w:t xml:space="preserve"> </w:t>
      </w:r>
      <w:r w:rsidRPr="00F54559">
        <w:rPr>
          <w:rFonts w:eastAsia="Times New Roman" w:cstheme="minorHAnsi"/>
          <w:spacing w:val="-1"/>
          <w:sz w:val="24"/>
        </w:rPr>
        <w:t>pr</w:t>
      </w:r>
      <w:r w:rsidRPr="00F54559">
        <w:rPr>
          <w:rFonts w:eastAsia="Times New Roman" w:cstheme="minorHAnsi"/>
          <w:sz w:val="24"/>
        </w:rPr>
        <w:t>esen</w:t>
      </w:r>
      <w:r w:rsidRPr="00F54559">
        <w:rPr>
          <w:rFonts w:eastAsia="Times New Roman" w:cstheme="minorHAnsi"/>
          <w:spacing w:val="1"/>
          <w:sz w:val="24"/>
        </w:rPr>
        <w:t>t</w:t>
      </w:r>
      <w:r w:rsidRPr="00F54559">
        <w:rPr>
          <w:rFonts w:eastAsia="Times New Roman" w:cstheme="minorHAnsi"/>
          <w:sz w:val="24"/>
        </w:rPr>
        <w:t>s</w:t>
      </w:r>
      <w:r w:rsidRPr="00F54559">
        <w:rPr>
          <w:rFonts w:eastAsia="Times New Roman" w:cstheme="minorHAnsi"/>
          <w:spacing w:val="1"/>
          <w:sz w:val="24"/>
        </w:rPr>
        <w:t xml:space="preserve"> </w:t>
      </w:r>
      <w:r w:rsidRPr="00F54559">
        <w:rPr>
          <w:rFonts w:eastAsia="Times New Roman" w:cstheme="minorHAnsi"/>
          <w:sz w:val="24"/>
        </w:rPr>
        <w:t>the</w:t>
      </w:r>
      <w:r w:rsidRPr="00F54559">
        <w:rPr>
          <w:rFonts w:eastAsia="Times New Roman" w:cstheme="minorHAnsi"/>
          <w:spacing w:val="1"/>
          <w:sz w:val="24"/>
        </w:rPr>
        <w:t xml:space="preserve"> </w:t>
      </w:r>
      <w:r w:rsidRPr="00F54559">
        <w:rPr>
          <w:rFonts w:eastAsia="Times New Roman" w:cstheme="minorHAnsi"/>
          <w:sz w:val="24"/>
        </w:rPr>
        <w:t xml:space="preserve">net </w:t>
      </w:r>
      <w:r w:rsidRPr="00F54559">
        <w:rPr>
          <w:rFonts w:eastAsia="Times New Roman" w:cstheme="minorHAnsi"/>
          <w:spacing w:val="-1"/>
          <w:sz w:val="24"/>
        </w:rPr>
        <w:t>OPEB</w:t>
      </w:r>
      <w:r w:rsidRPr="00F54559">
        <w:rPr>
          <w:rFonts w:eastAsia="Times New Roman" w:cstheme="minorHAnsi"/>
          <w:spacing w:val="1"/>
          <w:sz w:val="24"/>
        </w:rPr>
        <w:t xml:space="preserve"> </w:t>
      </w:r>
      <w:r w:rsidRPr="00F54559">
        <w:rPr>
          <w:rFonts w:eastAsia="Times New Roman" w:cstheme="minorHAnsi"/>
          <w:sz w:val="24"/>
        </w:rPr>
        <w:t>liability</w:t>
      </w:r>
      <w:r w:rsidRPr="00F54559">
        <w:rPr>
          <w:rFonts w:eastAsia="Times New Roman" w:cstheme="minorHAnsi"/>
          <w:spacing w:val="-1"/>
          <w:sz w:val="24"/>
        </w:rPr>
        <w:t xml:space="preserve"> as of June 30, </w:t>
      </w:r>
      <w:r w:rsidRPr="00F54559">
        <w:rPr>
          <w:rFonts w:eastAsia="Times New Roman" w:cstheme="minorHAnsi"/>
          <w:sz w:val="24"/>
        </w:rPr>
        <w:t>calcula</w:t>
      </w:r>
      <w:r w:rsidRPr="00F54559">
        <w:rPr>
          <w:rFonts w:eastAsia="Times New Roman" w:cstheme="minorHAnsi"/>
          <w:spacing w:val="1"/>
          <w:sz w:val="24"/>
        </w:rPr>
        <w:t>t</w:t>
      </w:r>
      <w:r w:rsidRPr="00F54559">
        <w:rPr>
          <w:rFonts w:eastAsia="Times New Roman" w:cstheme="minorHAnsi"/>
          <w:sz w:val="24"/>
        </w:rPr>
        <w:t>ed</w:t>
      </w:r>
      <w:r w:rsidRPr="00F54559">
        <w:rPr>
          <w:rFonts w:eastAsia="Times New Roman" w:cstheme="minorHAnsi"/>
          <w:spacing w:val="2"/>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 the</w:t>
      </w:r>
      <w:r w:rsidRPr="00F54559">
        <w:rPr>
          <w:rFonts w:eastAsia="Times New Roman" w:cstheme="minorHAnsi"/>
          <w:spacing w:val="1"/>
          <w:sz w:val="24"/>
        </w:rPr>
        <w:t xml:space="preserve"> respective current </w:t>
      </w:r>
      <w:r w:rsidRPr="00F54559">
        <w:rPr>
          <w:rFonts w:eastAsia="Times New Roman" w:cstheme="minorHAnsi"/>
          <w:sz w:val="24"/>
        </w:rPr>
        <w:t>discount</w:t>
      </w:r>
      <w:r w:rsidRPr="00F54559">
        <w:rPr>
          <w:rFonts w:eastAsia="Times New Roman" w:cstheme="minorHAnsi"/>
          <w:spacing w:val="1"/>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 as</w:t>
      </w:r>
      <w:r w:rsidRPr="00F54559">
        <w:rPr>
          <w:rFonts w:eastAsia="Times New Roman" w:cstheme="minorHAnsi"/>
          <w:spacing w:val="1"/>
          <w:sz w:val="24"/>
        </w:rPr>
        <w:t xml:space="preserve"> </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ll as</w:t>
      </w:r>
      <w:r w:rsidRPr="00F54559">
        <w:rPr>
          <w:rFonts w:eastAsia="Times New Roman" w:cstheme="minorHAnsi"/>
          <w:spacing w:val="1"/>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w:t>
      </w:r>
      <w:r w:rsidRPr="00F54559">
        <w:rPr>
          <w:rFonts w:eastAsia="Times New Roman" w:cstheme="minorHAnsi"/>
          <w:spacing w:val="41"/>
          <w:sz w:val="24"/>
        </w:rPr>
        <w:t xml:space="preserve"> </w:t>
      </w:r>
      <w:r w:rsidRPr="00F54559">
        <w:rPr>
          <w:rFonts w:eastAsia="Times New Roman" w:cstheme="minorHAnsi"/>
          <w:sz w:val="24"/>
        </w:rPr>
        <w:t>a</w:t>
      </w:r>
      <w:r w:rsidRPr="00F54559">
        <w:rPr>
          <w:rFonts w:eastAsia="Times New Roman" w:cstheme="minorHAnsi"/>
          <w:spacing w:val="39"/>
          <w:sz w:val="24"/>
        </w:rPr>
        <w:t xml:space="preserve"> </w:t>
      </w:r>
      <w:r w:rsidRPr="00F54559">
        <w:rPr>
          <w:rFonts w:eastAsia="Times New Roman" w:cstheme="minorHAnsi"/>
          <w:sz w:val="24"/>
        </w:rPr>
        <w:t>discount</w:t>
      </w:r>
      <w:r w:rsidRPr="00F54559">
        <w:rPr>
          <w:rFonts w:eastAsia="Times New Roman" w:cstheme="minorHAnsi"/>
          <w:spacing w:val="42"/>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40"/>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41"/>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39"/>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r</w:t>
      </w:r>
      <w:r w:rsidRPr="00F54559">
        <w:rPr>
          <w:rFonts w:eastAsia="Times New Roman" w:cstheme="minorHAnsi"/>
          <w:w w:val="99"/>
          <w:sz w:val="24"/>
        </w:rPr>
        <w:t xml:space="preserve"> </w:t>
      </w:r>
      <w:r w:rsidRPr="00F54559">
        <w:rPr>
          <w:rFonts w:eastAsia="Times New Roman" w:cstheme="minorHAnsi"/>
          <w:sz w:val="24"/>
        </w:rPr>
        <w:t>or</w:t>
      </w:r>
      <w:r w:rsidRPr="00F54559">
        <w:rPr>
          <w:rFonts w:eastAsia="Times New Roman" w:cstheme="minorHAnsi"/>
          <w:spacing w:val="-7"/>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6"/>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6"/>
          <w:sz w:val="24"/>
        </w:rPr>
        <w:t xml:space="preserve"> </w:t>
      </w:r>
      <w:r w:rsidRPr="00F54559">
        <w:rPr>
          <w:rFonts w:eastAsia="Times New Roman" w:cstheme="minorHAnsi"/>
          <w:sz w:val="24"/>
        </w:rPr>
        <w:t xml:space="preserve">higher </w:t>
      </w:r>
      <w:r w:rsidRPr="00F54559">
        <w:rPr>
          <w:rFonts w:eastAsia="Times New Roman" w:cstheme="minorHAnsi"/>
          <w:spacing w:val="1"/>
          <w:sz w:val="24"/>
        </w:rPr>
        <w:t>t</w:t>
      </w:r>
      <w:r w:rsidRPr="00F54559">
        <w:rPr>
          <w:rFonts w:eastAsia="Times New Roman" w:cstheme="minorHAnsi"/>
          <w:sz w:val="24"/>
        </w:rPr>
        <w:t>han</w:t>
      </w:r>
      <w:r w:rsidRPr="00F54559">
        <w:rPr>
          <w:rFonts w:eastAsia="Times New Roman" w:cstheme="minorHAnsi"/>
          <w:spacing w:val="-6"/>
          <w:sz w:val="24"/>
        </w:rPr>
        <w:t xml:space="preserve"> </w:t>
      </w:r>
      <w:r w:rsidRPr="00F54559">
        <w:rPr>
          <w:rFonts w:eastAsia="Times New Roman" w:cstheme="minorHAnsi"/>
          <w:sz w:val="24"/>
        </w:rPr>
        <w:t>the</w:t>
      </w:r>
      <w:r w:rsidRPr="00F54559">
        <w:rPr>
          <w:rFonts w:eastAsia="Times New Roman" w:cstheme="minorHAnsi"/>
          <w:spacing w:val="-7"/>
          <w:sz w:val="24"/>
        </w:rPr>
        <w:t xml:space="preserve"> </w:t>
      </w:r>
      <w:r w:rsidRPr="00F54559">
        <w:rPr>
          <w:rFonts w:eastAsia="Times New Roman" w:cstheme="minorHAnsi"/>
          <w:spacing w:val="1"/>
          <w:sz w:val="24"/>
        </w:rPr>
        <w:t>c</w:t>
      </w:r>
      <w:r w:rsidRPr="00F54559">
        <w:rPr>
          <w:rFonts w:eastAsia="Times New Roman" w:cstheme="minorHAnsi"/>
          <w:sz w:val="24"/>
        </w:rPr>
        <w:t>u</w:t>
      </w:r>
      <w:r w:rsidRPr="00F54559">
        <w:rPr>
          <w:rFonts w:eastAsia="Times New Roman" w:cstheme="minorHAnsi"/>
          <w:spacing w:val="-1"/>
          <w:sz w:val="24"/>
        </w:rPr>
        <w:t>rr</w:t>
      </w:r>
      <w:r w:rsidRPr="00F54559">
        <w:rPr>
          <w:rFonts w:eastAsia="Times New Roman" w:cstheme="minorHAnsi"/>
          <w:sz w:val="24"/>
        </w:rPr>
        <w:t>ent</w:t>
      </w:r>
      <w:r w:rsidRPr="00F54559">
        <w:rPr>
          <w:rFonts w:eastAsia="Times New Roman" w:cstheme="minorHAnsi"/>
          <w:spacing w:val="-6"/>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Pr>
          <w:rFonts w:eastAsia="Times New Roman" w:cstheme="minorHAnsi"/>
          <w:sz w:val="24"/>
        </w:rPr>
        <w:fldChar w:fldCharType="begin"/>
      </w:r>
      <w:r>
        <w:rPr>
          <w:rFonts w:eastAsia="Times New Roman" w:cstheme="minorHAnsi"/>
          <w:sz w:val="24"/>
        </w:rPr>
        <w:fldChar w:fldCharType="end"/>
      </w:r>
    </w:p>
    <w:tbl>
      <w:tblPr>
        <w:tblW w:w="9090" w:type="dxa"/>
        <w:tblLayout w:type="fixed"/>
        <w:tblLook w:val="04A0" w:firstRow="1" w:lastRow="0" w:firstColumn="1" w:lastColumn="0" w:noHBand="0" w:noVBand="1"/>
      </w:tblPr>
      <w:tblGrid>
        <w:gridCol w:w="2097"/>
        <w:gridCol w:w="63"/>
        <w:gridCol w:w="1080"/>
        <w:gridCol w:w="1170"/>
        <w:gridCol w:w="1260"/>
        <w:gridCol w:w="1080"/>
        <w:gridCol w:w="1170"/>
        <w:gridCol w:w="1170"/>
      </w:tblGrid>
      <w:tr w:rsidR="00051D7E" w:rsidRPr="00F65869" w14:paraId="44BF8CF0" w14:textId="77777777" w:rsidTr="007531FB">
        <w:trPr>
          <w:trHeight w:val="288"/>
          <w:tblHeader/>
        </w:trPr>
        <w:tc>
          <w:tcPr>
            <w:tcW w:w="2097" w:type="dxa"/>
            <w:tcBorders>
              <w:top w:val="nil"/>
              <w:left w:val="nil"/>
              <w:bottom w:val="nil"/>
              <w:right w:val="nil"/>
            </w:tcBorders>
            <w:shd w:val="clear" w:color="auto" w:fill="auto"/>
            <w:noWrap/>
            <w:vAlign w:val="bottom"/>
            <w:hideMark/>
          </w:tcPr>
          <w:p w14:paraId="7009BBE6" w14:textId="77777777" w:rsidR="00051D7E" w:rsidRPr="00F65869" w:rsidRDefault="00051D7E" w:rsidP="007531FB">
            <w:pPr>
              <w:rPr>
                <w:rFonts w:ascii="Times New Roman" w:eastAsia="Times New Roman" w:hAnsi="Times New Roman" w:cs="Times New Roman"/>
                <w:sz w:val="24"/>
                <w:szCs w:val="24"/>
              </w:rPr>
            </w:pPr>
          </w:p>
        </w:tc>
        <w:tc>
          <w:tcPr>
            <w:tcW w:w="3573" w:type="dxa"/>
            <w:gridSpan w:val="4"/>
            <w:tcBorders>
              <w:top w:val="nil"/>
              <w:left w:val="nil"/>
              <w:bottom w:val="single" w:sz="4" w:space="0" w:color="auto"/>
              <w:right w:val="nil"/>
            </w:tcBorders>
            <w:shd w:val="clear" w:color="auto" w:fill="auto"/>
            <w:noWrap/>
            <w:vAlign w:val="bottom"/>
            <w:hideMark/>
          </w:tcPr>
          <w:p w14:paraId="407A615D" w14:textId="77777777" w:rsidR="00051D7E" w:rsidRPr="00F65869" w:rsidRDefault="00051D7E" w:rsidP="007531FB">
            <w:pPr>
              <w:jc w:val="center"/>
              <w:rPr>
                <w:rFonts w:ascii="Calibri" w:eastAsia="Times New Roman" w:hAnsi="Calibri" w:cs="Calibri"/>
                <w:b/>
                <w:bCs/>
                <w:color w:val="0D0D0D"/>
              </w:rPr>
            </w:pPr>
            <w:r w:rsidRPr="00F65869">
              <w:rPr>
                <w:rFonts w:ascii="Calibri" w:eastAsia="Times New Roman" w:hAnsi="Calibri" w:cs="Calibri"/>
                <w:b/>
                <w:bCs/>
                <w:color w:val="0D0D0D"/>
              </w:rPr>
              <w:t>June 30, 202</w:t>
            </w:r>
            <w:r>
              <w:rPr>
                <w:rFonts w:ascii="Calibri" w:eastAsia="Times New Roman" w:hAnsi="Calibri" w:cs="Calibri"/>
                <w:b/>
                <w:bCs/>
                <w:color w:val="0D0D0D"/>
              </w:rPr>
              <w:t>1</w:t>
            </w:r>
          </w:p>
        </w:tc>
        <w:tc>
          <w:tcPr>
            <w:tcW w:w="3420" w:type="dxa"/>
            <w:gridSpan w:val="3"/>
            <w:tcBorders>
              <w:top w:val="nil"/>
              <w:left w:val="nil"/>
              <w:bottom w:val="single" w:sz="4" w:space="0" w:color="auto"/>
              <w:right w:val="nil"/>
            </w:tcBorders>
            <w:shd w:val="clear" w:color="auto" w:fill="D9D9D9" w:themeFill="background1" w:themeFillShade="D9"/>
            <w:noWrap/>
            <w:vAlign w:val="bottom"/>
            <w:hideMark/>
          </w:tcPr>
          <w:p w14:paraId="31F5FB89" w14:textId="77777777" w:rsidR="00051D7E" w:rsidRPr="00F65869" w:rsidRDefault="00051D7E" w:rsidP="007531FB">
            <w:pPr>
              <w:jc w:val="center"/>
              <w:rPr>
                <w:rFonts w:ascii="Calibri" w:eastAsia="Times New Roman" w:hAnsi="Calibri" w:cs="Calibri"/>
                <w:b/>
                <w:bCs/>
                <w:color w:val="0D0D0D"/>
              </w:rPr>
            </w:pPr>
            <w:r w:rsidRPr="00F65869">
              <w:rPr>
                <w:rFonts w:ascii="Calibri" w:eastAsia="Times New Roman" w:hAnsi="Calibri" w:cs="Calibri"/>
                <w:b/>
                <w:bCs/>
                <w:color w:val="0D0D0D"/>
              </w:rPr>
              <w:t>June 30, 20</w:t>
            </w:r>
            <w:r>
              <w:rPr>
                <w:rFonts w:ascii="Calibri" w:eastAsia="Times New Roman" w:hAnsi="Calibri" w:cs="Calibri"/>
                <w:b/>
                <w:bCs/>
                <w:color w:val="0D0D0D"/>
              </w:rPr>
              <w:t>20</w:t>
            </w:r>
          </w:p>
        </w:tc>
      </w:tr>
      <w:tr w:rsidR="00051D7E" w:rsidRPr="00F65869" w14:paraId="1BEBBD5B" w14:textId="77777777" w:rsidTr="007531FB">
        <w:trPr>
          <w:trHeight w:val="845"/>
          <w:tblHeader/>
        </w:trPr>
        <w:tc>
          <w:tcPr>
            <w:tcW w:w="2160" w:type="dxa"/>
            <w:gridSpan w:val="2"/>
            <w:tcBorders>
              <w:top w:val="nil"/>
              <w:left w:val="nil"/>
              <w:bottom w:val="nil"/>
              <w:right w:val="nil"/>
            </w:tcBorders>
            <w:shd w:val="clear" w:color="000000" w:fill="FFFFFF"/>
            <w:noWrap/>
            <w:vAlign w:val="bottom"/>
            <w:hideMark/>
          </w:tcPr>
          <w:p w14:paraId="038EA8AF" w14:textId="77777777" w:rsidR="00051D7E" w:rsidRPr="00F65869" w:rsidRDefault="00051D7E" w:rsidP="007531FB">
            <w:pPr>
              <w:rPr>
                <w:rFonts w:ascii="Calibri" w:eastAsia="Times New Roman" w:hAnsi="Calibri" w:cs="Calibri"/>
                <w:b/>
                <w:bCs/>
                <w:color w:val="0D0D0D"/>
              </w:rPr>
            </w:pPr>
            <w:r w:rsidRPr="00F65869">
              <w:rPr>
                <w:rFonts w:ascii="Calibri" w:eastAsia="Times New Roman" w:hAnsi="Calibri" w:cs="Calibri"/>
                <w:b/>
                <w:bCs/>
                <w:color w:val="0D0D0D"/>
              </w:rPr>
              <w:t> </w:t>
            </w:r>
          </w:p>
        </w:tc>
        <w:tc>
          <w:tcPr>
            <w:tcW w:w="1080" w:type="dxa"/>
            <w:tcBorders>
              <w:top w:val="nil"/>
              <w:left w:val="nil"/>
              <w:bottom w:val="nil"/>
              <w:right w:val="nil"/>
            </w:tcBorders>
            <w:shd w:val="clear" w:color="000000" w:fill="FFFFFF"/>
            <w:vAlign w:val="bottom"/>
            <w:hideMark/>
          </w:tcPr>
          <w:p w14:paraId="12E9FEB8" w14:textId="77777777" w:rsidR="00051D7E" w:rsidRPr="00B77D08"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 xml:space="preserve">1% Decrease </w:t>
            </w:r>
          </w:p>
        </w:tc>
        <w:tc>
          <w:tcPr>
            <w:tcW w:w="1170" w:type="dxa"/>
            <w:tcBorders>
              <w:top w:val="nil"/>
              <w:left w:val="nil"/>
              <w:bottom w:val="nil"/>
              <w:right w:val="nil"/>
            </w:tcBorders>
            <w:shd w:val="clear" w:color="000000" w:fill="FFFFFF"/>
            <w:vAlign w:val="bottom"/>
            <w:hideMark/>
          </w:tcPr>
          <w:p w14:paraId="35DD94B6" w14:textId="77777777" w:rsidR="00051D7E" w:rsidRPr="00B77D08"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 xml:space="preserve">Current Discount Rate </w:t>
            </w:r>
          </w:p>
        </w:tc>
        <w:tc>
          <w:tcPr>
            <w:tcW w:w="1260" w:type="dxa"/>
            <w:tcBorders>
              <w:top w:val="nil"/>
              <w:left w:val="nil"/>
              <w:bottom w:val="nil"/>
              <w:right w:val="nil"/>
            </w:tcBorders>
            <w:shd w:val="clear" w:color="000000" w:fill="FFFFFF"/>
            <w:vAlign w:val="bottom"/>
            <w:hideMark/>
          </w:tcPr>
          <w:p w14:paraId="109EE8FB" w14:textId="77777777" w:rsidR="00051D7E" w:rsidRPr="00B77D08"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 xml:space="preserve">1% Increase </w:t>
            </w:r>
          </w:p>
        </w:tc>
        <w:tc>
          <w:tcPr>
            <w:tcW w:w="1080" w:type="dxa"/>
            <w:tcBorders>
              <w:top w:val="nil"/>
              <w:left w:val="nil"/>
              <w:bottom w:val="nil"/>
              <w:right w:val="nil"/>
            </w:tcBorders>
            <w:shd w:val="clear" w:color="auto" w:fill="D9D9D9" w:themeFill="background1" w:themeFillShade="D9"/>
            <w:vAlign w:val="bottom"/>
            <w:hideMark/>
          </w:tcPr>
          <w:p w14:paraId="3B5C9703" w14:textId="77777777" w:rsidR="00051D7E"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1%</w:t>
            </w:r>
          </w:p>
          <w:p w14:paraId="6A1A1FE9" w14:textId="77777777" w:rsidR="00051D7E" w:rsidRPr="00B77D08"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Decrease</w:t>
            </w:r>
          </w:p>
        </w:tc>
        <w:tc>
          <w:tcPr>
            <w:tcW w:w="1170" w:type="dxa"/>
            <w:tcBorders>
              <w:top w:val="nil"/>
              <w:left w:val="nil"/>
              <w:bottom w:val="nil"/>
              <w:right w:val="nil"/>
            </w:tcBorders>
            <w:shd w:val="clear" w:color="auto" w:fill="D9D9D9" w:themeFill="background1" w:themeFillShade="D9"/>
            <w:vAlign w:val="bottom"/>
            <w:hideMark/>
          </w:tcPr>
          <w:p w14:paraId="074714F9" w14:textId="77777777" w:rsidR="00051D7E"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Current Discount</w:t>
            </w:r>
          </w:p>
          <w:p w14:paraId="4CFC5A71" w14:textId="77777777" w:rsidR="00051D7E" w:rsidRPr="00B77D08"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Rate</w:t>
            </w:r>
          </w:p>
        </w:tc>
        <w:tc>
          <w:tcPr>
            <w:tcW w:w="1170" w:type="dxa"/>
            <w:tcBorders>
              <w:top w:val="nil"/>
              <w:left w:val="nil"/>
              <w:bottom w:val="nil"/>
              <w:right w:val="nil"/>
            </w:tcBorders>
            <w:shd w:val="clear" w:color="auto" w:fill="D9D9D9" w:themeFill="background1" w:themeFillShade="D9"/>
            <w:vAlign w:val="bottom"/>
            <w:hideMark/>
          </w:tcPr>
          <w:p w14:paraId="08266D8E" w14:textId="77777777" w:rsidR="00051D7E"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1%</w:t>
            </w:r>
          </w:p>
          <w:p w14:paraId="4545A585" w14:textId="77777777" w:rsidR="00051D7E" w:rsidRPr="00B77D08" w:rsidRDefault="00051D7E" w:rsidP="007531FB">
            <w:pPr>
              <w:jc w:val="center"/>
              <w:rPr>
                <w:rFonts w:ascii="Calibri" w:eastAsia="Times New Roman" w:hAnsi="Calibri" w:cs="Calibri"/>
                <w:bCs/>
                <w:color w:val="0D0D0D"/>
              </w:rPr>
            </w:pPr>
            <w:r w:rsidRPr="00B77D08">
              <w:rPr>
                <w:rFonts w:ascii="Calibri" w:eastAsia="Times New Roman" w:hAnsi="Calibri" w:cs="Calibri"/>
                <w:bCs/>
                <w:color w:val="0D0D0D"/>
              </w:rPr>
              <w:t xml:space="preserve"> Increase</w:t>
            </w:r>
          </w:p>
        </w:tc>
      </w:tr>
      <w:tr w:rsidR="00051D7E" w:rsidRPr="00F65869" w14:paraId="6CBE3B42" w14:textId="77777777" w:rsidTr="007531FB">
        <w:trPr>
          <w:trHeight w:val="270"/>
        </w:trPr>
        <w:tc>
          <w:tcPr>
            <w:tcW w:w="2160" w:type="dxa"/>
            <w:gridSpan w:val="2"/>
            <w:tcBorders>
              <w:top w:val="nil"/>
              <w:left w:val="nil"/>
              <w:bottom w:val="nil"/>
              <w:right w:val="nil"/>
            </w:tcBorders>
            <w:shd w:val="clear" w:color="000000" w:fill="FFFFFF"/>
            <w:noWrap/>
            <w:vAlign w:val="bottom"/>
          </w:tcPr>
          <w:p w14:paraId="3DCBFDF6" w14:textId="77777777" w:rsidR="00051D7E" w:rsidRPr="00F65869" w:rsidRDefault="00051D7E" w:rsidP="007531FB">
            <w:pPr>
              <w:rPr>
                <w:rFonts w:ascii="Calibri" w:eastAsia="Times New Roman" w:hAnsi="Calibri" w:cs="Calibri"/>
                <w:color w:val="0D0D0D"/>
              </w:rPr>
            </w:pPr>
          </w:p>
        </w:tc>
        <w:tc>
          <w:tcPr>
            <w:tcW w:w="1080" w:type="dxa"/>
            <w:tcBorders>
              <w:top w:val="nil"/>
              <w:left w:val="nil"/>
              <w:bottom w:val="nil"/>
              <w:right w:val="nil"/>
            </w:tcBorders>
            <w:shd w:val="clear" w:color="000000" w:fill="FFFFFF"/>
            <w:vAlign w:val="bottom"/>
          </w:tcPr>
          <w:p w14:paraId="55DA9F28" w14:textId="77777777" w:rsidR="00051D7E" w:rsidRPr="00F34E89" w:rsidRDefault="00051D7E" w:rsidP="007531FB">
            <w:pPr>
              <w:jc w:val="center"/>
              <w:rPr>
                <w:rFonts w:ascii="Calibri" w:eastAsia="Times New Roman" w:hAnsi="Calibri" w:cs="Calibri"/>
                <w:color w:val="FF0000"/>
              </w:rPr>
            </w:pPr>
            <w:r>
              <w:rPr>
                <w:rFonts w:ascii="Calibri" w:eastAsia="Times New Roman" w:hAnsi="Calibri" w:cs="Calibri"/>
                <w:color w:val="0D0D0D"/>
              </w:rPr>
              <w:t>(6.25%)</w:t>
            </w:r>
          </w:p>
        </w:tc>
        <w:tc>
          <w:tcPr>
            <w:tcW w:w="1170" w:type="dxa"/>
            <w:tcBorders>
              <w:top w:val="nil"/>
              <w:left w:val="nil"/>
              <w:bottom w:val="nil"/>
              <w:right w:val="nil"/>
            </w:tcBorders>
            <w:shd w:val="clear" w:color="000000" w:fill="FFFFFF"/>
            <w:vAlign w:val="bottom"/>
          </w:tcPr>
          <w:p w14:paraId="3F18A4BD" w14:textId="77777777" w:rsidR="00051D7E" w:rsidRPr="00F34E89" w:rsidRDefault="00051D7E" w:rsidP="007531FB">
            <w:pPr>
              <w:jc w:val="center"/>
              <w:rPr>
                <w:rFonts w:ascii="Calibri" w:eastAsia="Times New Roman" w:hAnsi="Calibri" w:cs="Calibri"/>
                <w:color w:val="FF0000"/>
              </w:rPr>
            </w:pPr>
            <w:r>
              <w:rPr>
                <w:rFonts w:ascii="Calibri" w:eastAsia="Times New Roman" w:hAnsi="Calibri" w:cs="Calibri"/>
                <w:color w:val="0D0D0D"/>
              </w:rPr>
              <w:t>(7.25%)</w:t>
            </w:r>
          </w:p>
        </w:tc>
        <w:tc>
          <w:tcPr>
            <w:tcW w:w="1260" w:type="dxa"/>
            <w:tcBorders>
              <w:top w:val="nil"/>
              <w:left w:val="nil"/>
              <w:bottom w:val="nil"/>
              <w:right w:val="nil"/>
            </w:tcBorders>
            <w:shd w:val="clear" w:color="000000" w:fill="FFFFFF"/>
            <w:vAlign w:val="bottom"/>
          </w:tcPr>
          <w:p w14:paraId="2F74AD05" w14:textId="77777777" w:rsidR="00051D7E" w:rsidRPr="00F34E89" w:rsidRDefault="00051D7E" w:rsidP="007531FB">
            <w:pPr>
              <w:jc w:val="center"/>
              <w:rPr>
                <w:rFonts w:ascii="Calibri" w:eastAsia="Times New Roman" w:hAnsi="Calibri" w:cs="Calibri"/>
                <w:color w:val="FF0000"/>
              </w:rPr>
            </w:pPr>
            <w:r>
              <w:rPr>
                <w:rFonts w:ascii="Calibri" w:eastAsia="Times New Roman" w:hAnsi="Calibri" w:cs="Calibri"/>
                <w:color w:val="0D0D0D"/>
              </w:rPr>
              <w:t>(8.25%)</w:t>
            </w:r>
          </w:p>
        </w:tc>
        <w:tc>
          <w:tcPr>
            <w:tcW w:w="1080" w:type="dxa"/>
            <w:tcBorders>
              <w:top w:val="nil"/>
              <w:left w:val="nil"/>
              <w:bottom w:val="nil"/>
              <w:right w:val="nil"/>
            </w:tcBorders>
            <w:shd w:val="clear" w:color="auto" w:fill="D9D9D9" w:themeFill="background1" w:themeFillShade="D9"/>
            <w:vAlign w:val="bottom"/>
          </w:tcPr>
          <w:p w14:paraId="2A1E61CC" w14:textId="77777777" w:rsidR="00051D7E" w:rsidRPr="00F65869" w:rsidRDefault="00051D7E" w:rsidP="007531FB">
            <w:pPr>
              <w:jc w:val="center"/>
              <w:rPr>
                <w:rFonts w:ascii="Calibri" w:eastAsia="Times New Roman" w:hAnsi="Calibri" w:cs="Calibri"/>
                <w:color w:val="0D0D0D"/>
              </w:rPr>
            </w:pPr>
            <w:r>
              <w:rPr>
                <w:rFonts w:ascii="Calibri" w:eastAsia="Times New Roman" w:hAnsi="Calibri" w:cs="Calibri"/>
                <w:color w:val="0D0D0D"/>
              </w:rPr>
              <w:t>(6.25%)</w:t>
            </w:r>
          </w:p>
        </w:tc>
        <w:tc>
          <w:tcPr>
            <w:tcW w:w="1170" w:type="dxa"/>
            <w:tcBorders>
              <w:top w:val="nil"/>
              <w:left w:val="nil"/>
              <w:bottom w:val="nil"/>
              <w:right w:val="nil"/>
            </w:tcBorders>
            <w:shd w:val="clear" w:color="auto" w:fill="D9D9D9" w:themeFill="background1" w:themeFillShade="D9"/>
            <w:vAlign w:val="bottom"/>
          </w:tcPr>
          <w:p w14:paraId="6A9AA5CD" w14:textId="77777777" w:rsidR="00051D7E" w:rsidRPr="00F65869" w:rsidRDefault="00051D7E" w:rsidP="007531FB">
            <w:pPr>
              <w:jc w:val="center"/>
              <w:rPr>
                <w:rFonts w:ascii="Calibri" w:eastAsia="Times New Roman" w:hAnsi="Calibri" w:cs="Calibri"/>
                <w:color w:val="0D0D0D"/>
              </w:rPr>
            </w:pPr>
            <w:r>
              <w:rPr>
                <w:rFonts w:ascii="Calibri" w:eastAsia="Times New Roman" w:hAnsi="Calibri" w:cs="Calibri"/>
                <w:color w:val="0D0D0D"/>
              </w:rPr>
              <w:t>(7.25%)</w:t>
            </w:r>
          </w:p>
        </w:tc>
        <w:tc>
          <w:tcPr>
            <w:tcW w:w="1170" w:type="dxa"/>
            <w:tcBorders>
              <w:top w:val="nil"/>
              <w:left w:val="nil"/>
              <w:bottom w:val="nil"/>
              <w:right w:val="nil"/>
            </w:tcBorders>
            <w:shd w:val="clear" w:color="auto" w:fill="D9D9D9" w:themeFill="background1" w:themeFillShade="D9"/>
            <w:vAlign w:val="bottom"/>
          </w:tcPr>
          <w:p w14:paraId="49D78961" w14:textId="77777777" w:rsidR="00051D7E" w:rsidRPr="00F65869" w:rsidRDefault="00051D7E" w:rsidP="007531FB">
            <w:pPr>
              <w:jc w:val="center"/>
              <w:rPr>
                <w:rFonts w:ascii="Calibri" w:eastAsia="Times New Roman" w:hAnsi="Calibri" w:cs="Calibri"/>
                <w:color w:val="0D0D0D"/>
              </w:rPr>
            </w:pPr>
            <w:r>
              <w:rPr>
                <w:rFonts w:ascii="Calibri" w:eastAsia="Times New Roman" w:hAnsi="Calibri" w:cs="Calibri"/>
                <w:color w:val="0D0D0D"/>
              </w:rPr>
              <w:t>(8.25%)</w:t>
            </w:r>
          </w:p>
        </w:tc>
      </w:tr>
      <w:tr w:rsidR="00051D7E" w:rsidRPr="00F65869" w14:paraId="7179056C" w14:textId="77777777" w:rsidTr="007531FB">
        <w:trPr>
          <w:trHeight w:val="396"/>
        </w:trPr>
        <w:tc>
          <w:tcPr>
            <w:tcW w:w="2160" w:type="dxa"/>
            <w:gridSpan w:val="2"/>
            <w:tcBorders>
              <w:top w:val="nil"/>
              <w:left w:val="nil"/>
              <w:bottom w:val="nil"/>
              <w:right w:val="nil"/>
            </w:tcBorders>
            <w:shd w:val="clear" w:color="000000" w:fill="FFFFFF"/>
            <w:noWrap/>
            <w:vAlign w:val="bottom"/>
            <w:hideMark/>
          </w:tcPr>
          <w:p w14:paraId="58F437D4"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Total OPEB liability</w:t>
            </w:r>
          </w:p>
        </w:tc>
        <w:tc>
          <w:tcPr>
            <w:tcW w:w="1080" w:type="dxa"/>
            <w:tcBorders>
              <w:top w:val="nil"/>
              <w:left w:val="nil"/>
              <w:bottom w:val="nil"/>
              <w:right w:val="nil"/>
            </w:tcBorders>
            <w:shd w:val="clear" w:color="000000" w:fill="FFFFFF"/>
            <w:vAlign w:val="bottom"/>
            <w:hideMark/>
          </w:tcPr>
          <w:p w14:paraId="2C0EACBD" w14:textId="5B3C3724" w:rsidR="00051D7E" w:rsidRPr="00F65869" w:rsidRDefault="00051D7E" w:rsidP="00DC0936">
            <w:pPr>
              <w:jc w:val="right"/>
              <w:rPr>
                <w:rFonts w:ascii="Calibri" w:eastAsia="Times New Roman" w:hAnsi="Calibri" w:cs="Calibri"/>
                <w:color w:val="0D0D0D"/>
              </w:rPr>
            </w:pPr>
            <w:r>
              <w:rPr>
                <w:rFonts w:ascii="Calibri" w:eastAsia="Times New Roman" w:hAnsi="Calibri" w:cs="Calibri"/>
                <w:color w:val="0D0D0D"/>
              </w:rPr>
              <w:t>$182,043</w:t>
            </w:r>
          </w:p>
        </w:tc>
        <w:tc>
          <w:tcPr>
            <w:tcW w:w="1170" w:type="dxa"/>
            <w:tcBorders>
              <w:top w:val="nil"/>
              <w:left w:val="nil"/>
              <w:bottom w:val="nil"/>
              <w:right w:val="nil"/>
            </w:tcBorders>
            <w:shd w:val="clear" w:color="000000" w:fill="FFFFFF"/>
            <w:vAlign w:val="bottom"/>
            <w:hideMark/>
          </w:tcPr>
          <w:p w14:paraId="4A0597A4" w14:textId="465700EE" w:rsidR="00051D7E" w:rsidRPr="00F65869" w:rsidRDefault="00051D7E" w:rsidP="00DC0936">
            <w:pPr>
              <w:jc w:val="right"/>
              <w:rPr>
                <w:rFonts w:ascii="Calibri" w:eastAsia="Times New Roman" w:hAnsi="Calibri" w:cs="Calibri"/>
                <w:color w:val="0D0D0D"/>
              </w:rPr>
            </w:pPr>
            <w:r>
              <w:rPr>
                <w:rFonts w:ascii="Calibri" w:eastAsia="Times New Roman" w:hAnsi="Calibri" w:cs="Calibri"/>
                <w:color w:val="0D0D0D"/>
              </w:rPr>
              <w:t>$</w:t>
            </w:r>
            <w:r w:rsidR="006F516D">
              <w:rPr>
                <w:rFonts w:ascii="Calibri" w:eastAsia="Times New Roman" w:hAnsi="Calibri" w:cs="Calibri"/>
                <w:color w:val="0D0D0D"/>
              </w:rPr>
              <w:t>162,212</w:t>
            </w:r>
          </w:p>
        </w:tc>
        <w:tc>
          <w:tcPr>
            <w:tcW w:w="1260" w:type="dxa"/>
            <w:tcBorders>
              <w:top w:val="nil"/>
              <w:left w:val="nil"/>
              <w:bottom w:val="nil"/>
              <w:right w:val="nil"/>
            </w:tcBorders>
            <w:shd w:val="clear" w:color="000000" w:fill="FFFFFF"/>
            <w:vAlign w:val="bottom"/>
            <w:hideMark/>
          </w:tcPr>
          <w:p w14:paraId="53974545" w14:textId="77777777" w:rsidR="00051D7E" w:rsidRPr="00F65869" w:rsidRDefault="00051D7E" w:rsidP="00DC0936">
            <w:pPr>
              <w:jc w:val="right"/>
              <w:rPr>
                <w:rFonts w:ascii="Calibri" w:eastAsia="Times New Roman" w:hAnsi="Calibri" w:cs="Calibri"/>
                <w:color w:val="0D0D0D"/>
              </w:rPr>
            </w:pPr>
            <w:r w:rsidRPr="00F65869">
              <w:rPr>
                <w:rFonts w:ascii="Calibri" w:eastAsia="Times New Roman" w:hAnsi="Calibri" w:cs="Calibri"/>
                <w:color w:val="0D0D0D"/>
              </w:rPr>
              <w:t>$</w:t>
            </w:r>
            <w:r>
              <w:rPr>
                <w:rFonts w:ascii="Calibri" w:eastAsia="Times New Roman" w:hAnsi="Calibri" w:cs="Calibri"/>
                <w:color w:val="0D0D0D"/>
              </w:rPr>
              <w:t>145,667</w:t>
            </w:r>
          </w:p>
        </w:tc>
        <w:tc>
          <w:tcPr>
            <w:tcW w:w="1080" w:type="dxa"/>
            <w:tcBorders>
              <w:top w:val="nil"/>
              <w:left w:val="nil"/>
              <w:bottom w:val="nil"/>
              <w:right w:val="nil"/>
            </w:tcBorders>
            <w:shd w:val="clear" w:color="auto" w:fill="D9D9D9" w:themeFill="background1" w:themeFillShade="D9"/>
            <w:vAlign w:val="bottom"/>
            <w:hideMark/>
          </w:tcPr>
          <w:p w14:paraId="6D4947F9" w14:textId="7CDDA80C" w:rsidR="00051D7E" w:rsidRPr="00F65869" w:rsidRDefault="00051D7E">
            <w:pPr>
              <w:jc w:val="right"/>
              <w:rPr>
                <w:rFonts w:ascii="Calibri" w:eastAsia="Times New Roman" w:hAnsi="Calibri" w:cs="Calibri"/>
                <w:color w:val="0D0D0D"/>
              </w:rPr>
            </w:pPr>
            <w:r>
              <w:rPr>
                <w:rFonts w:ascii="Calibri" w:eastAsia="Times New Roman" w:hAnsi="Calibri" w:cs="Calibri"/>
                <w:color w:val="0D0D0D"/>
              </w:rPr>
              <w:t>$</w:t>
            </w:r>
            <w:r w:rsidRPr="00F65869">
              <w:rPr>
                <w:rFonts w:ascii="Calibri" w:eastAsia="Times New Roman" w:hAnsi="Calibri" w:cs="Calibri"/>
                <w:color w:val="0D0D0D"/>
              </w:rPr>
              <w:t>240,075</w:t>
            </w:r>
          </w:p>
        </w:tc>
        <w:tc>
          <w:tcPr>
            <w:tcW w:w="1170" w:type="dxa"/>
            <w:tcBorders>
              <w:top w:val="nil"/>
              <w:left w:val="nil"/>
              <w:bottom w:val="nil"/>
              <w:right w:val="nil"/>
            </w:tcBorders>
            <w:shd w:val="clear" w:color="auto" w:fill="D9D9D9" w:themeFill="background1" w:themeFillShade="D9"/>
            <w:vAlign w:val="bottom"/>
            <w:hideMark/>
          </w:tcPr>
          <w:p w14:paraId="2F5B087B" w14:textId="77777777" w:rsidR="00051D7E" w:rsidRPr="00F65869" w:rsidRDefault="00051D7E">
            <w:pPr>
              <w:jc w:val="right"/>
              <w:rPr>
                <w:rFonts w:ascii="Calibri" w:eastAsia="Times New Roman" w:hAnsi="Calibri" w:cs="Calibri"/>
                <w:color w:val="0D0D0D"/>
              </w:rPr>
            </w:pPr>
            <w:r>
              <w:rPr>
                <w:rFonts w:ascii="Calibri" w:eastAsia="Times New Roman" w:hAnsi="Calibri" w:cs="Calibri"/>
                <w:color w:val="0D0D0D"/>
              </w:rPr>
              <w:t>$213,431</w:t>
            </w:r>
          </w:p>
        </w:tc>
        <w:tc>
          <w:tcPr>
            <w:tcW w:w="1170" w:type="dxa"/>
            <w:tcBorders>
              <w:top w:val="nil"/>
              <w:left w:val="nil"/>
              <w:bottom w:val="nil"/>
              <w:right w:val="nil"/>
            </w:tcBorders>
            <w:shd w:val="clear" w:color="auto" w:fill="D9D9D9" w:themeFill="background1" w:themeFillShade="D9"/>
            <w:vAlign w:val="bottom"/>
            <w:hideMark/>
          </w:tcPr>
          <w:p w14:paraId="5261153F" w14:textId="77777777" w:rsidR="00051D7E" w:rsidRPr="00F65869" w:rsidRDefault="00051D7E" w:rsidP="00DC0936">
            <w:pPr>
              <w:jc w:val="right"/>
              <w:rPr>
                <w:rFonts w:ascii="Calibri" w:eastAsia="Times New Roman" w:hAnsi="Calibri" w:cs="Calibri"/>
                <w:color w:val="0D0D0D"/>
              </w:rPr>
            </w:pPr>
            <w:r w:rsidRPr="00F65869">
              <w:rPr>
                <w:rFonts w:ascii="Calibri" w:eastAsia="Times New Roman" w:hAnsi="Calibri" w:cs="Calibri"/>
                <w:color w:val="0D0D0D"/>
              </w:rPr>
              <w:t>$191,170</w:t>
            </w:r>
          </w:p>
        </w:tc>
      </w:tr>
      <w:tr w:rsidR="00051D7E" w:rsidRPr="00F65869" w14:paraId="5CC5534D" w14:textId="77777777" w:rsidTr="007531FB">
        <w:trPr>
          <w:trHeight w:val="300"/>
        </w:trPr>
        <w:tc>
          <w:tcPr>
            <w:tcW w:w="2160" w:type="dxa"/>
            <w:gridSpan w:val="2"/>
            <w:tcBorders>
              <w:top w:val="nil"/>
              <w:left w:val="nil"/>
              <w:bottom w:val="nil"/>
              <w:right w:val="nil"/>
            </w:tcBorders>
            <w:shd w:val="clear" w:color="000000" w:fill="FFFFFF"/>
            <w:noWrap/>
            <w:vAlign w:val="bottom"/>
            <w:hideMark/>
          </w:tcPr>
          <w:p w14:paraId="4AD203E2" w14:textId="77777777"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Fiduciary net position</w:t>
            </w:r>
          </w:p>
        </w:tc>
        <w:tc>
          <w:tcPr>
            <w:tcW w:w="1080" w:type="dxa"/>
            <w:tcBorders>
              <w:top w:val="nil"/>
              <w:left w:val="nil"/>
              <w:bottom w:val="nil"/>
              <w:right w:val="nil"/>
            </w:tcBorders>
            <w:shd w:val="clear" w:color="000000" w:fill="FFFFFF"/>
            <w:vAlign w:val="bottom"/>
            <w:hideMark/>
          </w:tcPr>
          <w:p w14:paraId="75EBD47B" w14:textId="0163877E" w:rsidR="00051D7E" w:rsidRPr="00F65869" w:rsidRDefault="006F516D" w:rsidP="00DC0936">
            <w:pPr>
              <w:jc w:val="right"/>
              <w:rPr>
                <w:rFonts w:ascii="Calibri" w:eastAsia="Times New Roman" w:hAnsi="Calibri" w:cs="Calibri"/>
                <w:color w:val="0D0D0D"/>
              </w:rPr>
            </w:pPr>
            <w:r w:rsidRPr="00BF66AC">
              <w:rPr>
                <w:rFonts w:ascii="Calibri" w:eastAsia="Times New Roman" w:hAnsi="Calibri" w:cs="Calibri"/>
              </w:rPr>
              <w:t>180,270</w:t>
            </w:r>
          </w:p>
        </w:tc>
        <w:tc>
          <w:tcPr>
            <w:tcW w:w="1170" w:type="dxa"/>
            <w:tcBorders>
              <w:top w:val="nil"/>
              <w:left w:val="nil"/>
              <w:bottom w:val="nil"/>
              <w:right w:val="nil"/>
            </w:tcBorders>
            <w:shd w:val="clear" w:color="000000" w:fill="FFFFFF"/>
            <w:vAlign w:val="bottom"/>
            <w:hideMark/>
          </w:tcPr>
          <w:p w14:paraId="73437BA6" w14:textId="10645847" w:rsidR="00051D7E" w:rsidRPr="00F65869" w:rsidRDefault="006F516D" w:rsidP="00DC0936">
            <w:pPr>
              <w:jc w:val="right"/>
              <w:rPr>
                <w:rFonts w:ascii="Calibri" w:eastAsia="Times New Roman" w:hAnsi="Calibri" w:cs="Calibri"/>
                <w:color w:val="0D0D0D"/>
              </w:rPr>
            </w:pPr>
            <w:r w:rsidRPr="00BF66AC">
              <w:rPr>
                <w:rFonts w:ascii="Calibri" w:eastAsia="Times New Roman" w:hAnsi="Calibri" w:cs="Calibri"/>
              </w:rPr>
              <w:t>180,270</w:t>
            </w:r>
          </w:p>
        </w:tc>
        <w:tc>
          <w:tcPr>
            <w:tcW w:w="1260" w:type="dxa"/>
            <w:tcBorders>
              <w:top w:val="nil"/>
              <w:left w:val="nil"/>
              <w:bottom w:val="nil"/>
              <w:right w:val="nil"/>
            </w:tcBorders>
            <w:shd w:val="clear" w:color="000000" w:fill="FFFFFF"/>
            <w:vAlign w:val="bottom"/>
            <w:hideMark/>
          </w:tcPr>
          <w:p w14:paraId="7EEB9101" w14:textId="18462F6A" w:rsidR="00051D7E" w:rsidRPr="00F65869" w:rsidRDefault="006F516D" w:rsidP="00DC0936">
            <w:pPr>
              <w:jc w:val="right"/>
              <w:rPr>
                <w:rFonts w:ascii="Calibri" w:eastAsia="Times New Roman" w:hAnsi="Calibri" w:cs="Calibri"/>
                <w:color w:val="0D0D0D"/>
              </w:rPr>
            </w:pPr>
            <w:r w:rsidRPr="00BF66AC">
              <w:rPr>
                <w:rFonts w:ascii="Calibri" w:eastAsia="Times New Roman" w:hAnsi="Calibri" w:cs="Calibri"/>
              </w:rPr>
              <w:t>180,270</w:t>
            </w:r>
          </w:p>
        </w:tc>
        <w:tc>
          <w:tcPr>
            <w:tcW w:w="1080" w:type="dxa"/>
            <w:tcBorders>
              <w:top w:val="nil"/>
              <w:left w:val="nil"/>
              <w:bottom w:val="nil"/>
              <w:right w:val="nil"/>
            </w:tcBorders>
            <w:shd w:val="clear" w:color="auto" w:fill="D9D9D9" w:themeFill="background1" w:themeFillShade="D9"/>
            <w:vAlign w:val="bottom"/>
            <w:hideMark/>
          </w:tcPr>
          <w:p w14:paraId="2E26BD63" w14:textId="77777777" w:rsidR="00051D7E" w:rsidRPr="00F65869" w:rsidRDefault="00051D7E">
            <w:pPr>
              <w:jc w:val="right"/>
              <w:rPr>
                <w:rFonts w:ascii="Calibri" w:eastAsia="Times New Roman" w:hAnsi="Calibri" w:cs="Calibri"/>
                <w:color w:val="0D0D0D"/>
              </w:rPr>
            </w:pPr>
            <w:r>
              <w:rPr>
                <w:rFonts w:ascii="Calibri" w:eastAsia="Times New Roman" w:hAnsi="Calibri" w:cs="Calibri"/>
                <w:color w:val="0D0D0D"/>
              </w:rPr>
              <w:t>137,400</w:t>
            </w:r>
          </w:p>
        </w:tc>
        <w:tc>
          <w:tcPr>
            <w:tcW w:w="1170" w:type="dxa"/>
            <w:tcBorders>
              <w:top w:val="nil"/>
              <w:left w:val="nil"/>
              <w:bottom w:val="nil"/>
              <w:right w:val="nil"/>
            </w:tcBorders>
            <w:shd w:val="clear" w:color="auto" w:fill="D9D9D9" w:themeFill="background1" w:themeFillShade="D9"/>
            <w:vAlign w:val="bottom"/>
            <w:hideMark/>
          </w:tcPr>
          <w:p w14:paraId="1F3C59B5" w14:textId="77777777" w:rsidR="00051D7E" w:rsidRPr="00F65869" w:rsidRDefault="00051D7E">
            <w:pPr>
              <w:jc w:val="right"/>
              <w:rPr>
                <w:rFonts w:ascii="Calibri" w:eastAsia="Times New Roman" w:hAnsi="Calibri" w:cs="Calibri"/>
                <w:color w:val="0D0D0D"/>
              </w:rPr>
            </w:pPr>
            <w:r w:rsidRPr="00F65869">
              <w:rPr>
                <w:rFonts w:ascii="Calibri" w:eastAsia="Times New Roman" w:hAnsi="Calibri" w:cs="Calibri"/>
                <w:color w:val="0D0D0D"/>
              </w:rPr>
              <w:t>137,400</w:t>
            </w:r>
          </w:p>
        </w:tc>
        <w:tc>
          <w:tcPr>
            <w:tcW w:w="1170" w:type="dxa"/>
            <w:tcBorders>
              <w:top w:val="nil"/>
              <w:left w:val="nil"/>
              <w:bottom w:val="nil"/>
              <w:right w:val="nil"/>
            </w:tcBorders>
            <w:shd w:val="clear" w:color="auto" w:fill="D9D9D9" w:themeFill="background1" w:themeFillShade="D9"/>
            <w:vAlign w:val="bottom"/>
            <w:hideMark/>
          </w:tcPr>
          <w:p w14:paraId="694A26F4" w14:textId="0EB37A81" w:rsidR="00051D7E" w:rsidRPr="00F65869" w:rsidRDefault="006F516D" w:rsidP="00DC0936">
            <w:pPr>
              <w:jc w:val="right"/>
              <w:rPr>
                <w:rFonts w:ascii="Calibri" w:eastAsia="Times New Roman" w:hAnsi="Calibri" w:cs="Calibri"/>
                <w:color w:val="0D0D0D"/>
              </w:rPr>
            </w:pPr>
            <w:r>
              <w:rPr>
                <w:rFonts w:ascii="Calibri" w:eastAsia="Times New Roman" w:hAnsi="Calibri" w:cs="Calibri"/>
                <w:color w:val="0D0D0D"/>
              </w:rPr>
              <w:t>1</w:t>
            </w:r>
            <w:r w:rsidR="00051D7E">
              <w:rPr>
                <w:rFonts w:ascii="Calibri" w:eastAsia="Times New Roman" w:hAnsi="Calibri" w:cs="Calibri"/>
                <w:color w:val="0D0D0D"/>
              </w:rPr>
              <w:t>37,400</w:t>
            </w:r>
          </w:p>
        </w:tc>
      </w:tr>
      <w:tr w:rsidR="00051D7E" w:rsidRPr="00F65869" w14:paraId="476A4D59" w14:textId="77777777" w:rsidTr="007531FB">
        <w:trPr>
          <w:trHeight w:val="312"/>
        </w:trPr>
        <w:tc>
          <w:tcPr>
            <w:tcW w:w="2160" w:type="dxa"/>
            <w:gridSpan w:val="2"/>
            <w:tcBorders>
              <w:top w:val="single" w:sz="12" w:space="0" w:color="44546A"/>
              <w:left w:val="nil"/>
              <w:bottom w:val="single" w:sz="8" w:space="0" w:color="44546A"/>
              <w:right w:val="nil"/>
            </w:tcBorders>
            <w:shd w:val="clear" w:color="000000" w:fill="FFFFFF"/>
            <w:noWrap/>
            <w:vAlign w:val="bottom"/>
            <w:hideMark/>
          </w:tcPr>
          <w:p w14:paraId="1919AA0F" w14:textId="3C4B21B0" w:rsidR="00051D7E" w:rsidRPr="00F65869" w:rsidRDefault="00051D7E" w:rsidP="007531FB">
            <w:pPr>
              <w:rPr>
                <w:rFonts w:ascii="Calibri" w:eastAsia="Times New Roman" w:hAnsi="Calibri" w:cs="Calibri"/>
                <w:color w:val="0D0D0D"/>
              </w:rPr>
            </w:pPr>
            <w:r w:rsidRPr="00F65869">
              <w:rPr>
                <w:rFonts w:ascii="Calibri" w:eastAsia="Times New Roman" w:hAnsi="Calibri" w:cs="Calibri"/>
                <w:color w:val="0D0D0D"/>
              </w:rPr>
              <w:t>Net OPEB liability</w:t>
            </w:r>
            <w:r w:rsidR="006F516D">
              <w:rPr>
                <w:rFonts w:ascii="Calibri" w:eastAsia="Times New Roman" w:hAnsi="Calibri" w:cs="Calibri"/>
                <w:color w:val="0D0D0D"/>
              </w:rPr>
              <w:t xml:space="preserve"> (asset)</w:t>
            </w:r>
          </w:p>
        </w:tc>
        <w:tc>
          <w:tcPr>
            <w:tcW w:w="1080" w:type="dxa"/>
            <w:tcBorders>
              <w:top w:val="single" w:sz="12" w:space="0" w:color="00688D"/>
              <w:left w:val="nil"/>
              <w:bottom w:val="single" w:sz="8" w:space="0" w:color="00688D"/>
              <w:right w:val="nil"/>
            </w:tcBorders>
            <w:shd w:val="clear" w:color="000000" w:fill="FFFFFF"/>
            <w:noWrap/>
            <w:vAlign w:val="bottom"/>
            <w:hideMark/>
          </w:tcPr>
          <w:p w14:paraId="089DC94F" w14:textId="77777777" w:rsidR="00051D7E" w:rsidRPr="00F65869" w:rsidRDefault="00051D7E" w:rsidP="00DC0936">
            <w:pPr>
              <w:jc w:val="right"/>
              <w:rPr>
                <w:rFonts w:ascii="Calibri" w:eastAsia="Times New Roman" w:hAnsi="Calibri" w:cs="Calibri"/>
                <w:color w:val="0D0D0D"/>
              </w:rPr>
            </w:pPr>
            <w:r>
              <w:rPr>
                <w:rFonts w:ascii="Calibri" w:eastAsia="Times New Roman" w:hAnsi="Calibri" w:cs="Calibri"/>
                <w:color w:val="0D0D0D"/>
              </w:rPr>
              <w:t>$    1,773</w:t>
            </w:r>
          </w:p>
        </w:tc>
        <w:tc>
          <w:tcPr>
            <w:tcW w:w="1170" w:type="dxa"/>
            <w:tcBorders>
              <w:top w:val="single" w:sz="12" w:space="0" w:color="00688D"/>
              <w:left w:val="nil"/>
              <w:bottom w:val="single" w:sz="8" w:space="0" w:color="00688D"/>
              <w:right w:val="nil"/>
            </w:tcBorders>
            <w:shd w:val="clear" w:color="000000" w:fill="FFFFFF"/>
            <w:noWrap/>
            <w:vAlign w:val="bottom"/>
            <w:hideMark/>
          </w:tcPr>
          <w:p w14:paraId="28409698" w14:textId="77777777" w:rsidR="00051D7E" w:rsidRPr="00F65869" w:rsidRDefault="00051D7E" w:rsidP="00DC0936">
            <w:pPr>
              <w:jc w:val="right"/>
              <w:rPr>
                <w:rFonts w:ascii="Calibri" w:eastAsia="Times New Roman" w:hAnsi="Calibri" w:cs="Calibri"/>
                <w:color w:val="0D0D0D"/>
              </w:rPr>
            </w:pPr>
            <w:r>
              <w:rPr>
                <w:rFonts w:ascii="Calibri" w:eastAsia="Times New Roman" w:hAnsi="Calibri" w:cs="Calibri"/>
                <w:color w:val="0D0D0D"/>
              </w:rPr>
              <w:t>$(18,058)</w:t>
            </w:r>
          </w:p>
        </w:tc>
        <w:tc>
          <w:tcPr>
            <w:tcW w:w="1260" w:type="dxa"/>
            <w:tcBorders>
              <w:top w:val="single" w:sz="12" w:space="0" w:color="00688D"/>
              <w:left w:val="nil"/>
              <w:bottom w:val="single" w:sz="8" w:space="0" w:color="00688D"/>
              <w:right w:val="nil"/>
            </w:tcBorders>
            <w:shd w:val="clear" w:color="000000" w:fill="FFFFFF"/>
            <w:noWrap/>
            <w:vAlign w:val="bottom"/>
            <w:hideMark/>
          </w:tcPr>
          <w:p w14:paraId="50DE1637" w14:textId="77777777" w:rsidR="00051D7E" w:rsidRPr="00F65869" w:rsidRDefault="00051D7E" w:rsidP="00DC0936">
            <w:pPr>
              <w:jc w:val="right"/>
              <w:rPr>
                <w:rFonts w:ascii="Calibri" w:eastAsia="Times New Roman" w:hAnsi="Calibri" w:cs="Calibri"/>
                <w:color w:val="0D0D0D"/>
              </w:rPr>
            </w:pPr>
            <w:r>
              <w:rPr>
                <w:rFonts w:ascii="Calibri" w:eastAsia="Times New Roman" w:hAnsi="Calibri" w:cs="Calibri"/>
                <w:color w:val="0D0D0D"/>
              </w:rPr>
              <w:t>$(34,603)</w:t>
            </w:r>
          </w:p>
        </w:tc>
        <w:tc>
          <w:tcPr>
            <w:tcW w:w="1080" w:type="dxa"/>
            <w:tcBorders>
              <w:top w:val="single" w:sz="12" w:space="0" w:color="00688D"/>
              <w:left w:val="nil"/>
              <w:bottom w:val="single" w:sz="8" w:space="0" w:color="00688D"/>
              <w:right w:val="nil"/>
            </w:tcBorders>
            <w:shd w:val="clear" w:color="auto" w:fill="D9D9D9" w:themeFill="background1" w:themeFillShade="D9"/>
            <w:noWrap/>
            <w:vAlign w:val="bottom"/>
            <w:hideMark/>
          </w:tcPr>
          <w:p w14:paraId="73072361" w14:textId="77777777" w:rsidR="00051D7E" w:rsidRPr="00F65869" w:rsidRDefault="00051D7E" w:rsidP="00DC0936">
            <w:pPr>
              <w:jc w:val="right"/>
              <w:rPr>
                <w:rFonts w:ascii="Calibri" w:eastAsia="Times New Roman" w:hAnsi="Calibri" w:cs="Calibri"/>
                <w:color w:val="0D0D0D"/>
              </w:rPr>
            </w:pPr>
            <w:r>
              <w:rPr>
                <w:rFonts w:ascii="Calibri" w:eastAsia="Times New Roman" w:hAnsi="Calibri" w:cs="Calibri"/>
                <w:color w:val="0D0D0D"/>
              </w:rPr>
              <w:t>$102,675</w:t>
            </w:r>
          </w:p>
        </w:tc>
        <w:tc>
          <w:tcPr>
            <w:tcW w:w="1170" w:type="dxa"/>
            <w:tcBorders>
              <w:top w:val="single" w:sz="12" w:space="0" w:color="00688D"/>
              <w:left w:val="nil"/>
              <w:bottom w:val="single" w:sz="8" w:space="0" w:color="00688D"/>
              <w:right w:val="nil"/>
            </w:tcBorders>
            <w:shd w:val="clear" w:color="auto" w:fill="D9D9D9" w:themeFill="background1" w:themeFillShade="D9"/>
            <w:noWrap/>
            <w:vAlign w:val="bottom"/>
            <w:hideMark/>
          </w:tcPr>
          <w:p w14:paraId="73E5338D" w14:textId="77777777" w:rsidR="00051D7E" w:rsidRPr="00F65869" w:rsidRDefault="00051D7E">
            <w:pPr>
              <w:jc w:val="right"/>
              <w:rPr>
                <w:rFonts w:ascii="Calibri" w:eastAsia="Times New Roman" w:hAnsi="Calibri" w:cs="Calibri"/>
                <w:color w:val="0D0D0D"/>
              </w:rPr>
            </w:pPr>
            <w:r w:rsidRPr="00F65869">
              <w:rPr>
                <w:rFonts w:ascii="Calibri" w:eastAsia="Times New Roman" w:hAnsi="Calibri" w:cs="Calibri"/>
                <w:color w:val="0D0D0D"/>
              </w:rPr>
              <w:t>$  76,031</w:t>
            </w:r>
          </w:p>
        </w:tc>
        <w:tc>
          <w:tcPr>
            <w:tcW w:w="1170" w:type="dxa"/>
            <w:tcBorders>
              <w:top w:val="single" w:sz="12" w:space="0" w:color="00688D"/>
              <w:left w:val="nil"/>
              <w:bottom w:val="single" w:sz="8" w:space="0" w:color="00688D"/>
              <w:right w:val="nil"/>
            </w:tcBorders>
            <w:shd w:val="clear" w:color="auto" w:fill="D9D9D9" w:themeFill="background1" w:themeFillShade="D9"/>
            <w:noWrap/>
            <w:vAlign w:val="bottom"/>
            <w:hideMark/>
          </w:tcPr>
          <w:p w14:paraId="3AF7970B" w14:textId="77777777" w:rsidR="00051D7E" w:rsidRPr="00F65869" w:rsidRDefault="00051D7E" w:rsidP="00DC0936">
            <w:pPr>
              <w:jc w:val="right"/>
              <w:rPr>
                <w:rFonts w:ascii="Calibri" w:eastAsia="Times New Roman" w:hAnsi="Calibri" w:cs="Calibri"/>
                <w:color w:val="0D0D0D"/>
              </w:rPr>
            </w:pPr>
            <w:r>
              <w:rPr>
                <w:rFonts w:ascii="Calibri" w:eastAsia="Times New Roman" w:hAnsi="Calibri" w:cs="Calibri"/>
                <w:color w:val="0D0D0D"/>
              </w:rPr>
              <w:t>$  53,770</w:t>
            </w:r>
          </w:p>
        </w:tc>
      </w:tr>
    </w:tbl>
    <w:p w14:paraId="54262CB1" w14:textId="77777777" w:rsidR="00051D7E" w:rsidRPr="00F54559" w:rsidRDefault="00051D7E" w:rsidP="00051D7E">
      <w:pPr>
        <w:tabs>
          <w:tab w:val="left" w:pos="1080"/>
        </w:tabs>
        <w:spacing w:before="240" w:after="240"/>
        <w:rPr>
          <w:rFonts w:cstheme="minorHAnsi"/>
          <w:color w:val="222222"/>
          <w:sz w:val="24"/>
          <w:shd w:val="clear" w:color="auto" w:fill="FFFFFF"/>
        </w:rPr>
      </w:pPr>
      <w:r w:rsidRPr="00F54559">
        <w:rPr>
          <w:rFonts w:eastAsia="Franklin Gothic Book" w:cstheme="minorHAnsi"/>
          <w:b/>
          <w:i/>
          <w:spacing w:val="-2"/>
          <w:sz w:val="24"/>
        </w:rPr>
        <w:t>S</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2"/>
          <w:sz w:val="24"/>
        </w:rPr>
        <w:t>t</w:t>
      </w:r>
      <w:r w:rsidRPr="00F54559">
        <w:rPr>
          <w:rFonts w:eastAsia="Franklin Gothic Book" w:cstheme="minorHAnsi"/>
          <w:b/>
          <w:i/>
          <w:sz w:val="24"/>
        </w:rPr>
        <w:t>ivi</w:t>
      </w:r>
      <w:r w:rsidRPr="00F54559">
        <w:rPr>
          <w:rFonts w:eastAsia="Franklin Gothic Book" w:cstheme="minorHAnsi"/>
          <w:b/>
          <w:i/>
          <w:spacing w:val="-1"/>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z w:val="24"/>
        </w:rPr>
        <w:t>of</w:t>
      </w:r>
      <w:r w:rsidRPr="00F54559">
        <w:rPr>
          <w:rFonts w:eastAsia="Franklin Gothic Book" w:cstheme="minorHAnsi"/>
          <w:b/>
          <w:i/>
          <w:spacing w:val="-6"/>
          <w:sz w:val="24"/>
        </w:rPr>
        <w:t xml:space="preserve"> </w:t>
      </w:r>
      <w:r w:rsidRPr="00F54559">
        <w:rPr>
          <w:rFonts w:eastAsia="Franklin Gothic Book" w:cstheme="minorHAnsi"/>
          <w:b/>
          <w:i/>
          <w:spacing w:val="-1"/>
          <w:sz w:val="24"/>
        </w:rPr>
        <w:t>t</w:t>
      </w:r>
      <w:r w:rsidRPr="00F54559">
        <w:rPr>
          <w:rFonts w:eastAsia="Franklin Gothic Book" w:cstheme="minorHAnsi"/>
          <w:b/>
          <w:i/>
          <w:sz w:val="24"/>
        </w:rPr>
        <w:t>he</w:t>
      </w:r>
      <w:r w:rsidRPr="00F54559">
        <w:rPr>
          <w:rFonts w:eastAsia="Franklin Gothic Book" w:cstheme="minorHAnsi"/>
          <w:b/>
          <w:i/>
          <w:spacing w:val="-6"/>
          <w:sz w:val="24"/>
        </w:rPr>
        <w:t xml:space="preserve"> </w:t>
      </w:r>
      <w:r w:rsidRPr="00F54559">
        <w:rPr>
          <w:rFonts w:eastAsia="Franklin Gothic Book" w:cstheme="minorHAnsi"/>
          <w:b/>
          <w:i/>
          <w:spacing w:val="-2"/>
          <w:sz w:val="24"/>
        </w:rPr>
        <w:t>n</w:t>
      </w:r>
      <w:r w:rsidRPr="00F54559">
        <w:rPr>
          <w:rFonts w:eastAsia="Franklin Gothic Book" w:cstheme="minorHAnsi"/>
          <w:b/>
          <w:i/>
          <w:sz w:val="24"/>
        </w:rPr>
        <w:t>et</w:t>
      </w:r>
      <w:r w:rsidRPr="00F54559">
        <w:rPr>
          <w:rFonts w:eastAsia="Franklin Gothic Book" w:cstheme="minorHAnsi"/>
          <w:b/>
          <w:i/>
          <w:spacing w:val="-7"/>
          <w:sz w:val="24"/>
        </w:rPr>
        <w:t xml:space="preserve"> </w:t>
      </w:r>
      <w:r w:rsidRPr="00F54559">
        <w:rPr>
          <w:rFonts w:eastAsia="Franklin Gothic Book" w:cstheme="minorHAnsi"/>
          <w:b/>
          <w:i/>
          <w:spacing w:val="-2"/>
          <w:sz w:val="24"/>
        </w:rPr>
        <w:t>OPEB</w:t>
      </w:r>
      <w:r w:rsidRPr="00F54559">
        <w:rPr>
          <w:rFonts w:eastAsia="Franklin Gothic Book" w:cstheme="minorHAnsi"/>
          <w:b/>
          <w:i/>
          <w:spacing w:val="-5"/>
          <w:sz w:val="24"/>
        </w:rPr>
        <w:t xml:space="preserve"> </w:t>
      </w:r>
      <w:r w:rsidRPr="00F54559">
        <w:rPr>
          <w:rFonts w:eastAsia="Franklin Gothic Book" w:cstheme="minorHAnsi"/>
          <w:b/>
          <w:i/>
          <w:sz w:val="24"/>
        </w:rPr>
        <w:t>li</w:t>
      </w:r>
      <w:r w:rsidRPr="00F54559">
        <w:rPr>
          <w:rFonts w:eastAsia="Franklin Gothic Book" w:cstheme="minorHAnsi"/>
          <w:b/>
          <w:i/>
          <w:spacing w:val="-2"/>
          <w:sz w:val="24"/>
        </w:rPr>
        <w:t>a</w:t>
      </w:r>
      <w:r w:rsidRPr="00F54559">
        <w:rPr>
          <w:rFonts w:eastAsia="Franklin Gothic Book" w:cstheme="minorHAnsi"/>
          <w:b/>
          <w:i/>
          <w:sz w:val="24"/>
        </w:rPr>
        <w:t>bili</w:t>
      </w:r>
      <w:r w:rsidRPr="00F54559">
        <w:rPr>
          <w:rFonts w:eastAsia="Franklin Gothic Book" w:cstheme="minorHAnsi"/>
          <w:b/>
          <w:i/>
          <w:spacing w:val="-2"/>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o</w:t>
      </w:r>
      <w:r w:rsidRPr="00F54559">
        <w:rPr>
          <w:rFonts w:eastAsia="Franklin Gothic Book" w:cstheme="minorHAnsi"/>
          <w:b/>
          <w:i/>
          <w:spacing w:val="-6"/>
          <w:sz w:val="24"/>
        </w:rPr>
        <w:t xml:space="preserve"> </w:t>
      </w:r>
      <w:r w:rsidRPr="00F54559">
        <w:rPr>
          <w:rFonts w:eastAsia="Franklin Gothic Book" w:cstheme="minorHAnsi"/>
          <w:b/>
          <w:i/>
          <w:spacing w:val="-1"/>
          <w:sz w:val="24"/>
        </w:rPr>
        <w:t>c</w:t>
      </w:r>
      <w:r w:rsidRPr="00F54559">
        <w:rPr>
          <w:rFonts w:eastAsia="Franklin Gothic Book" w:cstheme="minorHAnsi"/>
          <w:b/>
          <w:i/>
          <w:sz w:val="24"/>
        </w:rPr>
        <w:t>h</w:t>
      </w:r>
      <w:r w:rsidRPr="00F54559">
        <w:rPr>
          <w:rFonts w:eastAsia="Franklin Gothic Book" w:cstheme="minorHAnsi"/>
          <w:b/>
          <w:i/>
          <w:spacing w:val="-2"/>
          <w:sz w:val="24"/>
        </w:rPr>
        <w:t>an</w:t>
      </w:r>
      <w:r w:rsidRPr="00F54559">
        <w:rPr>
          <w:rFonts w:eastAsia="Franklin Gothic Book" w:cstheme="minorHAnsi"/>
          <w:b/>
          <w:i/>
          <w:sz w:val="24"/>
        </w:rPr>
        <w:t>ges</w:t>
      </w:r>
      <w:r w:rsidRPr="00F54559">
        <w:rPr>
          <w:rFonts w:eastAsia="Franklin Gothic Book" w:cstheme="minorHAnsi"/>
          <w:b/>
          <w:i/>
          <w:spacing w:val="-6"/>
          <w:sz w:val="24"/>
        </w:rPr>
        <w:t xml:space="preserve"> </w:t>
      </w:r>
      <w:r w:rsidRPr="00F54559">
        <w:rPr>
          <w:rFonts w:eastAsia="Franklin Gothic Book" w:cstheme="minorHAnsi"/>
          <w:b/>
          <w:i/>
          <w:sz w:val="24"/>
        </w:rPr>
        <w:t>in</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he</w:t>
      </w:r>
      <w:r w:rsidRPr="00F54559">
        <w:rPr>
          <w:rFonts w:eastAsia="Franklin Gothic Book" w:cstheme="minorHAnsi"/>
          <w:b/>
          <w:i/>
          <w:spacing w:val="-6"/>
          <w:sz w:val="24"/>
        </w:rPr>
        <w:t xml:space="preserve"> healthcare cost trend rates</w:t>
      </w:r>
      <w:r w:rsidRPr="00F54559">
        <w:rPr>
          <w:rFonts w:eastAsia="Franklin Gothic Book" w:cstheme="minorHAnsi"/>
          <w:b/>
          <w:i/>
          <w:sz w:val="24"/>
        </w:rPr>
        <w:t>:</w:t>
      </w:r>
      <w:r w:rsidRPr="00F54559">
        <w:rPr>
          <w:rFonts w:eastAsia="Franklin Gothic Book" w:cstheme="minorHAnsi"/>
          <w:i/>
          <w:sz w:val="24"/>
        </w:rPr>
        <w:t xml:space="preserve">  </w:t>
      </w:r>
      <w:r w:rsidRPr="00F54559">
        <w:rPr>
          <w:rFonts w:eastAsia="Times New Roman" w:cstheme="minorHAnsi"/>
          <w:spacing w:val="-1"/>
          <w:sz w:val="24"/>
        </w:rPr>
        <w:t>T</w:t>
      </w:r>
      <w:r w:rsidRPr="00F54559">
        <w:rPr>
          <w:rFonts w:eastAsia="Times New Roman" w:cstheme="minorHAnsi"/>
          <w:sz w:val="24"/>
        </w:rPr>
        <w:t>he foll</w:t>
      </w:r>
      <w:r w:rsidRPr="00F54559">
        <w:rPr>
          <w:rFonts w:eastAsia="Times New Roman" w:cstheme="minorHAnsi"/>
          <w:spacing w:val="-1"/>
          <w:sz w:val="24"/>
        </w:rPr>
        <w:t>o</w:t>
      </w:r>
      <w:r w:rsidRPr="00F54559">
        <w:rPr>
          <w:rFonts w:eastAsia="Times New Roman" w:cstheme="minorHAnsi"/>
          <w:sz w:val="24"/>
        </w:rPr>
        <w:t>wing</w:t>
      </w:r>
      <w:r w:rsidRPr="00F54559">
        <w:rPr>
          <w:rFonts w:eastAsia="Times New Roman" w:cstheme="minorHAnsi"/>
          <w:spacing w:val="1"/>
          <w:sz w:val="24"/>
        </w:rPr>
        <w:t xml:space="preserve"> </w:t>
      </w:r>
      <w:r w:rsidRPr="00F54559">
        <w:rPr>
          <w:rFonts w:eastAsia="Times New Roman" w:cstheme="minorHAnsi"/>
          <w:spacing w:val="-1"/>
          <w:sz w:val="24"/>
        </w:rPr>
        <w:t>pr</w:t>
      </w:r>
      <w:r w:rsidRPr="00F54559">
        <w:rPr>
          <w:rFonts w:eastAsia="Times New Roman" w:cstheme="minorHAnsi"/>
          <w:sz w:val="24"/>
        </w:rPr>
        <w:t>esen</w:t>
      </w:r>
      <w:r w:rsidRPr="00F54559">
        <w:rPr>
          <w:rFonts w:eastAsia="Times New Roman" w:cstheme="minorHAnsi"/>
          <w:spacing w:val="1"/>
          <w:sz w:val="24"/>
        </w:rPr>
        <w:t>t</w:t>
      </w:r>
      <w:r w:rsidRPr="00F54559">
        <w:rPr>
          <w:rFonts w:eastAsia="Times New Roman" w:cstheme="minorHAnsi"/>
          <w:sz w:val="24"/>
        </w:rPr>
        <w:t>s</w:t>
      </w:r>
      <w:r w:rsidRPr="00F54559">
        <w:rPr>
          <w:rFonts w:eastAsia="Times New Roman" w:cstheme="minorHAnsi"/>
          <w:spacing w:val="1"/>
          <w:sz w:val="24"/>
        </w:rPr>
        <w:t xml:space="preserve"> </w:t>
      </w:r>
      <w:r w:rsidRPr="00F54559">
        <w:rPr>
          <w:rFonts w:eastAsia="Times New Roman" w:cstheme="minorHAnsi"/>
          <w:sz w:val="24"/>
        </w:rPr>
        <w:t>the</w:t>
      </w:r>
      <w:r w:rsidRPr="00F54559">
        <w:rPr>
          <w:rFonts w:eastAsia="Times New Roman" w:cstheme="minorHAnsi"/>
          <w:spacing w:val="1"/>
          <w:sz w:val="24"/>
        </w:rPr>
        <w:t xml:space="preserve"> </w:t>
      </w:r>
      <w:r w:rsidRPr="00F54559">
        <w:rPr>
          <w:rFonts w:eastAsia="Times New Roman" w:cstheme="minorHAnsi"/>
          <w:sz w:val="24"/>
        </w:rPr>
        <w:t xml:space="preserve">net </w:t>
      </w:r>
      <w:r w:rsidRPr="00F54559">
        <w:rPr>
          <w:rFonts w:eastAsia="Times New Roman" w:cstheme="minorHAnsi"/>
          <w:spacing w:val="-1"/>
          <w:sz w:val="24"/>
        </w:rPr>
        <w:t>OPEB</w:t>
      </w:r>
      <w:r w:rsidRPr="00F54559">
        <w:rPr>
          <w:rFonts w:eastAsia="Times New Roman" w:cstheme="minorHAnsi"/>
          <w:spacing w:val="1"/>
          <w:sz w:val="24"/>
        </w:rPr>
        <w:t xml:space="preserve"> </w:t>
      </w:r>
      <w:r w:rsidRPr="00F54559">
        <w:rPr>
          <w:rFonts w:eastAsia="Times New Roman" w:cstheme="minorHAnsi"/>
          <w:sz w:val="24"/>
        </w:rPr>
        <w:t>liability</w:t>
      </w:r>
      <w:r w:rsidRPr="00F54559">
        <w:rPr>
          <w:rFonts w:eastAsia="Times New Roman" w:cstheme="minorHAnsi"/>
          <w:spacing w:val="-1"/>
          <w:sz w:val="24"/>
        </w:rPr>
        <w:t xml:space="preserve"> as of June 30, </w:t>
      </w:r>
      <w:r w:rsidRPr="00F54559">
        <w:rPr>
          <w:rFonts w:eastAsia="Times New Roman" w:cstheme="minorHAnsi"/>
          <w:sz w:val="24"/>
        </w:rPr>
        <w:t>calcula</w:t>
      </w:r>
      <w:r w:rsidRPr="00F54559">
        <w:rPr>
          <w:rFonts w:eastAsia="Times New Roman" w:cstheme="minorHAnsi"/>
          <w:spacing w:val="1"/>
          <w:sz w:val="24"/>
        </w:rPr>
        <w:t>t</w:t>
      </w:r>
      <w:r w:rsidRPr="00F54559">
        <w:rPr>
          <w:rFonts w:eastAsia="Times New Roman" w:cstheme="minorHAnsi"/>
          <w:sz w:val="24"/>
        </w:rPr>
        <w:t>ed</w:t>
      </w:r>
      <w:r w:rsidRPr="00F54559">
        <w:rPr>
          <w:rFonts w:eastAsia="Times New Roman" w:cstheme="minorHAnsi"/>
          <w:spacing w:val="2"/>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 the</w:t>
      </w:r>
      <w:r w:rsidRPr="00F54559">
        <w:rPr>
          <w:rFonts w:eastAsia="Times New Roman" w:cstheme="minorHAnsi"/>
          <w:spacing w:val="1"/>
          <w:sz w:val="24"/>
        </w:rPr>
        <w:t xml:space="preserve"> respective current </w:t>
      </w:r>
      <w:r w:rsidRPr="00F54559">
        <w:rPr>
          <w:rFonts w:eastAsia="Times New Roman" w:cstheme="minorHAnsi"/>
          <w:sz w:val="24"/>
        </w:rPr>
        <w:t>healthcare cost trend rates</w:t>
      </w:r>
      <w:r w:rsidRPr="00F54559">
        <w:rPr>
          <w:rFonts w:eastAsia="Times New Roman" w:cstheme="minorHAnsi"/>
          <w:spacing w:val="3"/>
          <w:sz w:val="24"/>
        </w:rPr>
        <w:t xml:space="preserve"> </w:t>
      </w:r>
      <w:r w:rsidRPr="00F54559">
        <w:rPr>
          <w:rFonts w:eastAsia="Times New Roman" w:cstheme="minorHAnsi"/>
          <w:sz w:val="24"/>
        </w:rPr>
        <w:t>as</w:t>
      </w:r>
      <w:r w:rsidRPr="00F54559">
        <w:rPr>
          <w:rFonts w:eastAsia="Times New Roman" w:cstheme="minorHAnsi"/>
          <w:spacing w:val="1"/>
          <w:sz w:val="24"/>
        </w:rPr>
        <w:t xml:space="preserve"> </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ll as</w:t>
      </w:r>
      <w:r w:rsidRPr="00F54559">
        <w:rPr>
          <w:rFonts w:eastAsia="Times New Roman" w:cstheme="minorHAnsi"/>
          <w:spacing w:val="1"/>
          <w:sz w:val="24"/>
        </w:rPr>
        <w:t xml:space="preserve"> </w:t>
      </w:r>
      <w:r w:rsidRPr="00F54559">
        <w:rPr>
          <w:rFonts w:eastAsia="Times New Roman" w:cstheme="minorHAnsi"/>
          <w:spacing w:val="-1"/>
          <w:sz w:val="24"/>
        </w:rPr>
        <w:t>using healthcare cost trend rates that are 1-percentage point lower or 1-percentage point higher than the current healthcare cost trend rates:</w:t>
      </w:r>
      <w:r w:rsidRPr="00EA121E">
        <w:rPr>
          <w:rFonts w:cstheme="minorHAnsi"/>
          <w:color w:val="222222"/>
          <w:shd w:val="clear" w:color="auto" w:fill="FFFFFF"/>
        </w:rPr>
        <w:fldChar w:fldCharType="begin"/>
      </w:r>
      <w:r w:rsidRPr="00EA121E">
        <w:rPr>
          <w:rFonts w:cstheme="minorHAnsi"/>
          <w:color w:val="222222"/>
          <w:shd w:val="clear" w:color="auto" w:fill="FFFFFF"/>
        </w:rPr>
        <w:fldChar w:fldCharType="end"/>
      </w:r>
    </w:p>
    <w:tbl>
      <w:tblPr>
        <w:tblW w:w="9180" w:type="dxa"/>
        <w:tblLayout w:type="fixed"/>
        <w:tblCellMar>
          <w:left w:w="72" w:type="dxa"/>
          <w:right w:w="72" w:type="dxa"/>
        </w:tblCellMar>
        <w:tblLook w:val="04A0" w:firstRow="1" w:lastRow="0" w:firstColumn="1" w:lastColumn="0" w:noHBand="0" w:noVBand="1"/>
      </w:tblPr>
      <w:tblGrid>
        <w:gridCol w:w="2160"/>
        <w:gridCol w:w="1170"/>
        <w:gridCol w:w="1170"/>
        <w:gridCol w:w="1170"/>
        <w:gridCol w:w="1170"/>
        <w:gridCol w:w="1182"/>
        <w:gridCol w:w="1158"/>
      </w:tblGrid>
      <w:tr w:rsidR="00051D7E" w:rsidRPr="00CE7B7D" w14:paraId="411429F6" w14:textId="77777777" w:rsidTr="009014A7">
        <w:trPr>
          <w:trHeight w:val="288"/>
          <w:tblHeader/>
        </w:trPr>
        <w:tc>
          <w:tcPr>
            <w:tcW w:w="2160" w:type="dxa"/>
            <w:tcBorders>
              <w:top w:val="nil"/>
              <w:left w:val="nil"/>
              <w:bottom w:val="nil"/>
              <w:right w:val="nil"/>
            </w:tcBorders>
            <w:shd w:val="clear" w:color="auto" w:fill="auto"/>
            <w:noWrap/>
            <w:vAlign w:val="bottom"/>
            <w:hideMark/>
          </w:tcPr>
          <w:p w14:paraId="578D6894" w14:textId="77777777" w:rsidR="00051D7E" w:rsidRPr="00CE7B7D" w:rsidRDefault="00051D7E" w:rsidP="007531FB">
            <w:pPr>
              <w:rPr>
                <w:rFonts w:ascii="Times New Roman" w:eastAsia="Times New Roman" w:hAnsi="Times New Roman" w:cs="Times New Roman"/>
                <w:sz w:val="24"/>
                <w:szCs w:val="24"/>
              </w:rPr>
            </w:pPr>
          </w:p>
        </w:tc>
        <w:tc>
          <w:tcPr>
            <w:tcW w:w="3510" w:type="dxa"/>
            <w:gridSpan w:val="3"/>
            <w:tcBorders>
              <w:top w:val="nil"/>
              <w:left w:val="nil"/>
              <w:bottom w:val="single" w:sz="4" w:space="0" w:color="auto"/>
              <w:right w:val="nil"/>
            </w:tcBorders>
            <w:shd w:val="clear" w:color="auto" w:fill="auto"/>
            <w:noWrap/>
            <w:vAlign w:val="bottom"/>
            <w:hideMark/>
          </w:tcPr>
          <w:p w14:paraId="66F1CD48" w14:textId="77777777" w:rsidR="00051D7E" w:rsidRPr="00CE7B7D" w:rsidRDefault="00051D7E" w:rsidP="007531FB">
            <w:pPr>
              <w:jc w:val="center"/>
              <w:rPr>
                <w:rFonts w:ascii="Calibri" w:eastAsia="Times New Roman" w:hAnsi="Calibri" w:cs="Calibri"/>
                <w:b/>
                <w:bCs/>
              </w:rPr>
            </w:pPr>
            <w:r w:rsidRPr="00CE7B7D">
              <w:rPr>
                <w:rFonts w:ascii="Calibri" w:eastAsia="Times New Roman" w:hAnsi="Calibri" w:cs="Calibri"/>
                <w:b/>
                <w:bCs/>
              </w:rPr>
              <w:t>June 30, 202</w:t>
            </w:r>
            <w:r>
              <w:rPr>
                <w:rFonts w:ascii="Calibri" w:eastAsia="Times New Roman" w:hAnsi="Calibri" w:cs="Calibri"/>
                <w:b/>
                <w:bCs/>
              </w:rPr>
              <w:t>1</w:t>
            </w:r>
          </w:p>
        </w:tc>
        <w:tc>
          <w:tcPr>
            <w:tcW w:w="3510" w:type="dxa"/>
            <w:gridSpan w:val="3"/>
            <w:tcBorders>
              <w:top w:val="nil"/>
              <w:left w:val="nil"/>
              <w:bottom w:val="single" w:sz="4" w:space="0" w:color="auto"/>
              <w:right w:val="nil"/>
            </w:tcBorders>
            <w:shd w:val="clear" w:color="auto" w:fill="D9D9D9" w:themeFill="background1" w:themeFillShade="D9"/>
            <w:noWrap/>
            <w:vAlign w:val="bottom"/>
            <w:hideMark/>
          </w:tcPr>
          <w:p w14:paraId="655D22FD" w14:textId="12B1AE68" w:rsidR="00051D7E" w:rsidRPr="00CE7B7D" w:rsidRDefault="00051D7E" w:rsidP="007531FB">
            <w:pPr>
              <w:jc w:val="center"/>
              <w:rPr>
                <w:rFonts w:ascii="Calibri" w:eastAsia="Times New Roman" w:hAnsi="Calibri" w:cs="Calibri"/>
                <w:b/>
                <w:bCs/>
              </w:rPr>
            </w:pPr>
            <w:r w:rsidRPr="00CE7B7D">
              <w:rPr>
                <w:rFonts w:ascii="Calibri" w:eastAsia="Times New Roman" w:hAnsi="Calibri" w:cs="Calibri"/>
                <w:b/>
                <w:bCs/>
              </w:rPr>
              <w:t>June 30, 20</w:t>
            </w:r>
            <w:r>
              <w:rPr>
                <w:rFonts w:ascii="Calibri" w:eastAsia="Times New Roman" w:hAnsi="Calibri" w:cs="Calibri"/>
                <w:b/>
                <w:bCs/>
              </w:rPr>
              <w:t>20</w:t>
            </w:r>
          </w:p>
        </w:tc>
      </w:tr>
      <w:tr w:rsidR="00051D7E" w:rsidRPr="00CE7B7D" w14:paraId="265D1958" w14:textId="77777777" w:rsidTr="009014A7">
        <w:trPr>
          <w:trHeight w:val="1728"/>
          <w:tblHeader/>
        </w:trPr>
        <w:tc>
          <w:tcPr>
            <w:tcW w:w="2160" w:type="dxa"/>
            <w:tcBorders>
              <w:top w:val="nil"/>
              <w:left w:val="nil"/>
              <w:bottom w:val="nil"/>
              <w:right w:val="nil"/>
            </w:tcBorders>
            <w:shd w:val="clear" w:color="000000" w:fill="FFFFFF"/>
            <w:noWrap/>
            <w:vAlign w:val="bottom"/>
            <w:hideMark/>
          </w:tcPr>
          <w:p w14:paraId="3D9AAB58" w14:textId="77777777" w:rsidR="00051D7E" w:rsidRPr="00CE7B7D" w:rsidRDefault="00051D7E" w:rsidP="007531FB">
            <w:pPr>
              <w:rPr>
                <w:rFonts w:ascii="Calibri" w:eastAsia="Times New Roman" w:hAnsi="Calibri" w:cs="Calibri"/>
                <w:b/>
                <w:bCs/>
                <w:color w:val="FF0000"/>
              </w:rPr>
            </w:pPr>
            <w:r w:rsidRPr="00CE7B7D">
              <w:rPr>
                <w:rFonts w:ascii="Calibri" w:eastAsia="Times New Roman" w:hAnsi="Calibri" w:cs="Calibri"/>
                <w:b/>
                <w:bCs/>
                <w:color w:val="FF0000"/>
              </w:rPr>
              <w:t> </w:t>
            </w:r>
          </w:p>
        </w:tc>
        <w:tc>
          <w:tcPr>
            <w:tcW w:w="1170" w:type="dxa"/>
            <w:tcBorders>
              <w:top w:val="nil"/>
              <w:left w:val="nil"/>
              <w:bottom w:val="nil"/>
              <w:right w:val="nil"/>
            </w:tcBorders>
            <w:shd w:val="clear" w:color="000000" w:fill="FFFFFF"/>
            <w:vAlign w:val="bottom"/>
            <w:hideMark/>
          </w:tcPr>
          <w:p w14:paraId="71AC14CD" w14:textId="77777777" w:rsidR="00051D7E" w:rsidRDefault="00051D7E" w:rsidP="007531FB">
            <w:pPr>
              <w:jc w:val="center"/>
              <w:rPr>
                <w:rFonts w:ascii="Calibri" w:hAnsi="Calibri" w:cs="Calibri"/>
                <w:bCs/>
              </w:rPr>
            </w:pPr>
            <w:r w:rsidRPr="00BF66AC">
              <w:rPr>
                <w:rFonts w:ascii="Calibri" w:hAnsi="Calibri" w:cs="Calibri"/>
                <w:bCs/>
              </w:rPr>
              <w:t>1%</w:t>
            </w:r>
          </w:p>
          <w:p w14:paraId="71A6E166" w14:textId="77777777" w:rsidR="00051D7E" w:rsidRPr="001A2779" w:rsidRDefault="00051D7E" w:rsidP="007531FB">
            <w:pPr>
              <w:jc w:val="center"/>
              <w:rPr>
                <w:rFonts w:ascii="Calibri" w:eastAsia="Times New Roman" w:hAnsi="Calibri" w:cs="Calibri"/>
                <w:bCs/>
              </w:rPr>
            </w:pPr>
            <w:r w:rsidRPr="00BF66AC">
              <w:rPr>
                <w:rFonts w:ascii="Calibri" w:hAnsi="Calibri" w:cs="Calibri"/>
                <w:bCs/>
              </w:rPr>
              <w:t xml:space="preserve">Decrease </w:t>
            </w:r>
            <w:r w:rsidRPr="00BF66AC">
              <w:rPr>
                <w:rFonts w:ascii="Calibri" w:hAnsi="Calibri" w:cs="Calibri"/>
                <w:bCs/>
              </w:rPr>
              <w:br/>
              <w:t>5% Year 1 Decreasing to 3%</w:t>
            </w:r>
          </w:p>
        </w:tc>
        <w:tc>
          <w:tcPr>
            <w:tcW w:w="1170" w:type="dxa"/>
            <w:tcBorders>
              <w:top w:val="nil"/>
              <w:left w:val="nil"/>
              <w:bottom w:val="nil"/>
              <w:right w:val="nil"/>
            </w:tcBorders>
            <w:shd w:val="clear" w:color="000000" w:fill="FFFFFF"/>
            <w:vAlign w:val="bottom"/>
            <w:hideMark/>
          </w:tcPr>
          <w:p w14:paraId="2A21F9AC" w14:textId="77777777" w:rsidR="00051D7E" w:rsidRPr="001A2779" w:rsidRDefault="00051D7E" w:rsidP="007531FB">
            <w:pPr>
              <w:jc w:val="center"/>
              <w:rPr>
                <w:rFonts w:ascii="Calibri" w:eastAsia="Times New Roman" w:hAnsi="Calibri" w:cs="Calibri"/>
                <w:bCs/>
              </w:rPr>
            </w:pPr>
            <w:r w:rsidRPr="00BF66AC">
              <w:rPr>
                <w:rFonts w:ascii="Calibri" w:hAnsi="Calibri" w:cs="Calibri"/>
                <w:bCs/>
              </w:rPr>
              <w:t>Healthcare Cost TrendRates6%</w:t>
            </w:r>
            <w:r>
              <w:rPr>
                <w:rFonts w:ascii="Calibri" w:hAnsi="Calibri" w:cs="Calibri"/>
                <w:bCs/>
              </w:rPr>
              <w:t xml:space="preserve"> </w:t>
            </w:r>
            <w:r w:rsidRPr="00BF66AC">
              <w:rPr>
                <w:rFonts w:ascii="Calibri" w:hAnsi="Calibri" w:cs="Calibri"/>
                <w:bCs/>
              </w:rPr>
              <w:t xml:space="preserve"> Year 1 Decreasing to 4%</w:t>
            </w:r>
          </w:p>
        </w:tc>
        <w:tc>
          <w:tcPr>
            <w:tcW w:w="1170" w:type="dxa"/>
            <w:tcBorders>
              <w:top w:val="nil"/>
              <w:left w:val="nil"/>
              <w:bottom w:val="nil"/>
              <w:right w:val="nil"/>
            </w:tcBorders>
            <w:shd w:val="clear" w:color="000000" w:fill="FFFFFF"/>
            <w:vAlign w:val="bottom"/>
            <w:hideMark/>
          </w:tcPr>
          <w:p w14:paraId="7473F972" w14:textId="77777777" w:rsidR="00051D7E" w:rsidRDefault="00051D7E" w:rsidP="007531FB">
            <w:pPr>
              <w:jc w:val="center"/>
              <w:rPr>
                <w:rFonts w:ascii="Calibri" w:hAnsi="Calibri" w:cs="Calibri"/>
                <w:bCs/>
              </w:rPr>
            </w:pPr>
            <w:r w:rsidRPr="00BF66AC">
              <w:rPr>
                <w:rFonts w:ascii="Calibri" w:hAnsi="Calibri" w:cs="Calibri"/>
                <w:bCs/>
              </w:rPr>
              <w:t>1%</w:t>
            </w:r>
          </w:p>
          <w:p w14:paraId="203592F0" w14:textId="77777777" w:rsidR="00051D7E" w:rsidRPr="00BF66AC" w:rsidRDefault="00051D7E" w:rsidP="007531FB">
            <w:pPr>
              <w:jc w:val="center"/>
              <w:rPr>
                <w:rFonts w:ascii="Calibri" w:eastAsia="Times New Roman" w:hAnsi="Calibri" w:cs="Calibri"/>
                <w:bCs/>
              </w:rPr>
            </w:pPr>
            <w:r w:rsidRPr="00BF66AC">
              <w:rPr>
                <w:rFonts w:ascii="Calibri" w:hAnsi="Calibri" w:cs="Calibri"/>
                <w:bCs/>
              </w:rPr>
              <w:t xml:space="preserve">Increase </w:t>
            </w:r>
            <w:r w:rsidRPr="00BF66AC">
              <w:rPr>
                <w:rFonts w:ascii="Calibri" w:hAnsi="Calibri" w:cs="Calibri"/>
                <w:bCs/>
              </w:rPr>
              <w:br/>
              <w:t>7% Year 1 Decreasing to 5%</w:t>
            </w:r>
          </w:p>
        </w:tc>
        <w:tc>
          <w:tcPr>
            <w:tcW w:w="1170" w:type="dxa"/>
            <w:tcBorders>
              <w:top w:val="nil"/>
              <w:left w:val="nil"/>
              <w:bottom w:val="nil"/>
              <w:right w:val="nil"/>
            </w:tcBorders>
            <w:shd w:val="clear" w:color="auto" w:fill="D9D9D9" w:themeFill="background1" w:themeFillShade="D9"/>
            <w:vAlign w:val="bottom"/>
            <w:hideMark/>
          </w:tcPr>
          <w:p w14:paraId="4252B2DD" w14:textId="77777777" w:rsidR="00051D7E" w:rsidRDefault="00051D7E" w:rsidP="007531FB">
            <w:pPr>
              <w:jc w:val="center"/>
              <w:rPr>
                <w:rFonts w:ascii="Calibri" w:eastAsia="Times New Roman" w:hAnsi="Calibri" w:cs="Calibri"/>
                <w:bCs/>
              </w:rPr>
            </w:pPr>
            <w:r w:rsidRPr="00B77D08">
              <w:rPr>
                <w:rFonts w:ascii="Calibri" w:eastAsia="Times New Roman" w:hAnsi="Calibri" w:cs="Calibri"/>
                <w:bCs/>
              </w:rPr>
              <w:t>1%</w:t>
            </w:r>
          </w:p>
          <w:p w14:paraId="79A4B288" w14:textId="77777777" w:rsidR="00051D7E" w:rsidRPr="00B77D08" w:rsidRDefault="00051D7E" w:rsidP="007531FB">
            <w:pPr>
              <w:jc w:val="center"/>
              <w:rPr>
                <w:rFonts w:ascii="Calibri" w:eastAsia="Times New Roman" w:hAnsi="Calibri" w:cs="Calibri"/>
                <w:bCs/>
              </w:rPr>
            </w:pPr>
            <w:r w:rsidRPr="00B77D08">
              <w:rPr>
                <w:rFonts w:ascii="Calibri" w:eastAsia="Times New Roman" w:hAnsi="Calibri" w:cs="Calibri"/>
                <w:bCs/>
              </w:rPr>
              <w:t>Decrease 7% Year 1 Decreasing to 2.9%</w:t>
            </w:r>
          </w:p>
        </w:tc>
        <w:tc>
          <w:tcPr>
            <w:tcW w:w="1182" w:type="dxa"/>
            <w:tcBorders>
              <w:top w:val="nil"/>
              <w:left w:val="nil"/>
              <w:bottom w:val="nil"/>
              <w:right w:val="nil"/>
            </w:tcBorders>
            <w:shd w:val="clear" w:color="auto" w:fill="D9D9D9" w:themeFill="background1" w:themeFillShade="D9"/>
            <w:vAlign w:val="bottom"/>
            <w:hideMark/>
          </w:tcPr>
          <w:p w14:paraId="3E61FAFA" w14:textId="77777777" w:rsidR="00051D7E" w:rsidRDefault="00051D7E" w:rsidP="007531FB">
            <w:pPr>
              <w:jc w:val="center"/>
              <w:rPr>
                <w:rFonts w:ascii="Calibri" w:eastAsia="Times New Roman" w:hAnsi="Calibri" w:cs="Calibri"/>
                <w:bCs/>
              </w:rPr>
            </w:pPr>
            <w:r w:rsidRPr="00B77D08">
              <w:rPr>
                <w:rFonts w:ascii="Calibri" w:eastAsia="Times New Roman" w:hAnsi="Calibri" w:cs="Calibri"/>
                <w:bCs/>
              </w:rPr>
              <w:t xml:space="preserve">Healthcare Cost Trend Rates </w:t>
            </w:r>
          </w:p>
          <w:p w14:paraId="4FE60E21" w14:textId="77777777" w:rsidR="00051D7E" w:rsidRPr="00B77D08" w:rsidRDefault="00051D7E" w:rsidP="007531FB">
            <w:pPr>
              <w:jc w:val="center"/>
              <w:rPr>
                <w:rFonts w:ascii="Calibri" w:eastAsia="Times New Roman" w:hAnsi="Calibri" w:cs="Calibri"/>
                <w:bCs/>
              </w:rPr>
            </w:pPr>
            <w:r w:rsidRPr="00B77D08">
              <w:rPr>
                <w:rFonts w:ascii="Calibri" w:eastAsia="Times New Roman" w:hAnsi="Calibri" w:cs="Calibri"/>
                <w:bCs/>
              </w:rPr>
              <w:t>8% Year 1 Decreasing to 3.9%</w:t>
            </w:r>
          </w:p>
        </w:tc>
        <w:tc>
          <w:tcPr>
            <w:tcW w:w="1158" w:type="dxa"/>
            <w:tcBorders>
              <w:top w:val="nil"/>
              <w:left w:val="nil"/>
              <w:bottom w:val="nil"/>
              <w:right w:val="nil"/>
            </w:tcBorders>
            <w:shd w:val="clear" w:color="auto" w:fill="D9D9D9" w:themeFill="background1" w:themeFillShade="D9"/>
            <w:vAlign w:val="bottom"/>
            <w:hideMark/>
          </w:tcPr>
          <w:p w14:paraId="47B8E280" w14:textId="77777777" w:rsidR="00051D7E" w:rsidRDefault="00051D7E" w:rsidP="007531FB">
            <w:pPr>
              <w:jc w:val="center"/>
              <w:rPr>
                <w:rFonts w:ascii="Calibri" w:eastAsia="Times New Roman" w:hAnsi="Calibri" w:cs="Calibri"/>
                <w:bCs/>
              </w:rPr>
            </w:pPr>
            <w:r w:rsidRPr="00B77D08">
              <w:rPr>
                <w:rFonts w:ascii="Calibri" w:eastAsia="Times New Roman" w:hAnsi="Calibri" w:cs="Calibri"/>
                <w:bCs/>
              </w:rPr>
              <w:t>1%</w:t>
            </w:r>
          </w:p>
          <w:p w14:paraId="1AD63287" w14:textId="77777777" w:rsidR="00051D7E" w:rsidRPr="00B77D08" w:rsidRDefault="00051D7E" w:rsidP="007531FB">
            <w:pPr>
              <w:jc w:val="center"/>
              <w:rPr>
                <w:rFonts w:ascii="Calibri" w:eastAsia="Times New Roman" w:hAnsi="Calibri" w:cs="Calibri"/>
                <w:bCs/>
              </w:rPr>
            </w:pPr>
            <w:r w:rsidRPr="00B77D08">
              <w:rPr>
                <w:rFonts w:ascii="Calibri" w:eastAsia="Times New Roman" w:hAnsi="Calibri" w:cs="Calibri"/>
                <w:bCs/>
              </w:rPr>
              <w:t>Increase 9% Year 1 Decreasing to 4.9%</w:t>
            </w:r>
          </w:p>
        </w:tc>
      </w:tr>
      <w:tr w:rsidR="00051D7E" w:rsidRPr="00CE7B7D" w14:paraId="36C8B1BD" w14:textId="77777777" w:rsidTr="009014A7">
        <w:trPr>
          <w:trHeight w:val="396"/>
        </w:trPr>
        <w:tc>
          <w:tcPr>
            <w:tcW w:w="2160" w:type="dxa"/>
            <w:tcBorders>
              <w:top w:val="nil"/>
              <w:left w:val="nil"/>
              <w:bottom w:val="nil"/>
              <w:right w:val="nil"/>
            </w:tcBorders>
            <w:shd w:val="clear" w:color="000000" w:fill="FFFFFF"/>
            <w:noWrap/>
            <w:vAlign w:val="bottom"/>
            <w:hideMark/>
          </w:tcPr>
          <w:p w14:paraId="5CA21690" w14:textId="77777777" w:rsidR="00051D7E" w:rsidRPr="00CE7B7D" w:rsidRDefault="00051D7E" w:rsidP="007531FB">
            <w:pPr>
              <w:rPr>
                <w:rFonts w:ascii="Calibri" w:eastAsia="Times New Roman" w:hAnsi="Calibri" w:cs="Calibri"/>
              </w:rPr>
            </w:pPr>
            <w:r w:rsidRPr="00CE7B7D">
              <w:rPr>
                <w:rFonts w:ascii="Calibri" w:eastAsia="Times New Roman" w:hAnsi="Calibri" w:cs="Calibri"/>
              </w:rPr>
              <w:t>Total OPEB liability</w:t>
            </w:r>
          </w:p>
        </w:tc>
        <w:tc>
          <w:tcPr>
            <w:tcW w:w="1170" w:type="dxa"/>
            <w:tcBorders>
              <w:top w:val="nil"/>
              <w:left w:val="nil"/>
              <w:bottom w:val="nil"/>
              <w:right w:val="nil"/>
            </w:tcBorders>
            <w:shd w:val="clear" w:color="000000" w:fill="FFFFFF"/>
            <w:vAlign w:val="bottom"/>
            <w:hideMark/>
          </w:tcPr>
          <w:p w14:paraId="51488B19" w14:textId="77777777" w:rsidR="00051D7E" w:rsidRPr="00BF66AC" w:rsidRDefault="00051D7E" w:rsidP="009014A7">
            <w:pPr>
              <w:jc w:val="right"/>
              <w:rPr>
                <w:rFonts w:ascii="Calibri" w:eastAsia="Times New Roman" w:hAnsi="Calibri" w:cs="Calibri"/>
              </w:rPr>
            </w:pPr>
            <w:r w:rsidRPr="00BF66AC">
              <w:rPr>
                <w:rFonts w:ascii="Calibri" w:eastAsia="Times New Roman" w:hAnsi="Calibri" w:cs="Calibri"/>
              </w:rPr>
              <w:t>$143,919</w:t>
            </w:r>
          </w:p>
        </w:tc>
        <w:tc>
          <w:tcPr>
            <w:tcW w:w="1170" w:type="dxa"/>
            <w:tcBorders>
              <w:top w:val="nil"/>
              <w:left w:val="nil"/>
              <w:bottom w:val="nil"/>
              <w:right w:val="nil"/>
            </w:tcBorders>
            <w:shd w:val="clear" w:color="000000" w:fill="FFFFFF"/>
            <w:vAlign w:val="bottom"/>
            <w:hideMark/>
          </w:tcPr>
          <w:p w14:paraId="670D106D" w14:textId="77777777" w:rsidR="00051D7E" w:rsidRPr="00BF66AC" w:rsidRDefault="00051D7E" w:rsidP="009014A7">
            <w:pPr>
              <w:jc w:val="right"/>
              <w:rPr>
                <w:rFonts w:ascii="Calibri" w:eastAsia="Times New Roman" w:hAnsi="Calibri" w:cs="Calibri"/>
              </w:rPr>
            </w:pPr>
            <w:r w:rsidRPr="00BF66AC">
              <w:rPr>
                <w:rFonts w:ascii="Calibri" w:eastAsia="Times New Roman" w:hAnsi="Calibri" w:cs="Calibri"/>
              </w:rPr>
              <w:t>$162,212</w:t>
            </w:r>
          </w:p>
        </w:tc>
        <w:tc>
          <w:tcPr>
            <w:tcW w:w="1170" w:type="dxa"/>
            <w:tcBorders>
              <w:top w:val="nil"/>
              <w:left w:val="nil"/>
              <w:bottom w:val="nil"/>
              <w:right w:val="nil"/>
            </w:tcBorders>
            <w:shd w:val="clear" w:color="000000" w:fill="FFFFFF"/>
            <w:vAlign w:val="bottom"/>
            <w:hideMark/>
          </w:tcPr>
          <w:p w14:paraId="7B3C1756" w14:textId="77777777" w:rsidR="00051D7E" w:rsidRPr="00BF66AC" w:rsidRDefault="00051D7E" w:rsidP="009014A7">
            <w:pPr>
              <w:jc w:val="right"/>
              <w:rPr>
                <w:rFonts w:ascii="Calibri" w:eastAsia="Times New Roman" w:hAnsi="Calibri" w:cs="Calibri"/>
              </w:rPr>
            </w:pPr>
            <w:r w:rsidRPr="00BF66AC">
              <w:rPr>
                <w:rFonts w:ascii="Calibri" w:eastAsia="Times New Roman" w:hAnsi="Calibri" w:cs="Calibri"/>
              </w:rPr>
              <w:t>$184,474</w:t>
            </w:r>
          </w:p>
        </w:tc>
        <w:tc>
          <w:tcPr>
            <w:tcW w:w="1170" w:type="dxa"/>
            <w:tcBorders>
              <w:top w:val="nil"/>
              <w:left w:val="nil"/>
              <w:bottom w:val="nil"/>
              <w:right w:val="nil"/>
            </w:tcBorders>
            <w:shd w:val="clear" w:color="auto" w:fill="D9D9D9" w:themeFill="background1" w:themeFillShade="D9"/>
            <w:vAlign w:val="bottom"/>
            <w:hideMark/>
          </w:tcPr>
          <w:p w14:paraId="4B58341B" w14:textId="77777777" w:rsidR="00051D7E" w:rsidRPr="00CE7B7D" w:rsidRDefault="00051D7E" w:rsidP="009014A7">
            <w:pPr>
              <w:jc w:val="right"/>
              <w:rPr>
                <w:rFonts w:ascii="Calibri" w:eastAsia="Times New Roman" w:hAnsi="Calibri" w:cs="Calibri"/>
              </w:rPr>
            </w:pPr>
            <w:r w:rsidRPr="00CE7B7D">
              <w:rPr>
                <w:rFonts w:ascii="Calibri" w:eastAsia="Times New Roman" w:hAnsi="Calibri" w:cs="Calibri"/>
              </w:rPr>
              <w:t>$187,627</w:t>
            </w:r>
          </w:p>
        </w:tc>
        <w:tc>
          <w:tcPr>
            <w:tcW w:w="1182" w:type="dxa"/>
            <w:tcBorders>
              <w:top w:val="nil"/>
              <w:left w:val="nil"/>
              <w:bottom w:val="nil"/>
              <w:right w:val="nil"/>
            </w:tcBorders>
            <w:shd w:val="clear" w:color="auto" w:fill="D9D9D9" w:themeFill="background1" w:themeFillShade="D9"/>
            <w:vAlign w:val="bottom"/>
            <w:hideMark/>
          </w:tcPr>
          <w:p w14:paraId="11D3BF03" w14:textId="77777777" w:rsidR="00051D7E" w:rsidRPr="00CE7B7D" w:rsidRDefault="00051D7E" w:rsidP="009014A7">
            <w:pPr>
              <w:jc w:val="right"/>
              <w:rPr>
                <w:rFonts w:ascii="Calibri" w:eastAsia="Times New Roman" w:hAnsi="Calibri" w:cs="Calibri"/>
              </w:rPr>
            </w:pPr>
            <w:r w:rsidRPr="00CE7B7D">
              <w:rPr>
                <w:rFonts w:ascii="Calibri" w:eastAsia="Times New Roman" w:hAnsi="Calibri" w:cs="Calibri"/>
              </w:rPr>
              <w:t>$213,431</w:t>
            </w:r>
          </w:p>
        </w:tc>
        <w:tc>
          <w:tcPr>
            <w:tcW w:w="1158" w:type="dxa"/>
            <w:tcBorders>
              <w:top w:val="nil"/>
              <w:left w:val="nil"/>
              <w:bottom w:val="nil"/>
              <w:right w:val="nil"/>
            </w:tcBorders>
            <w:shd w:val="clear" w:color="auto" w:fill="D9D9D9" w:themeFill="background1" w:themeFillShade="D9"/>
            <w:vAlign w:val="bottom"/>
            <w:hideMark/>
          </w:tcPr>
          <w:p w14:paraId="03538958" w14:textId="77777777" w:rsidR="00051D7E" w:rsidRPr="00CE7B7D" w:rsidRDefault="00051D7E" w:rsidP="009014A7">
            <w:pPr>
              <w:jc w:val="right"/>
              <w:rPr>
                <w:rFonts w:ascii="Calibri" w:eastAsia="Times New Roman" w:hAnsi="Calibri" w:cs="Calibri"/>
              </w:rPr>
            </w:pPr>
            <w:r w:rsidRPr="00CE7B7D">
              <w:rPr>
                <w:rFonts w:ascii="Calibri" w:eastAsia="Times New Roman" w:hAnsi="Calibri" w:cs="Calibri"/>
              </w:rPr>
              <w:t>$244,558</w:t>
            </w:r>
          </w:p>
        </w:tc>
      </w:tr>
      <w:tr w:rsidR="00051D7E" w:rsidRPr="00CE7B7D" w14:paraId="7D310F3C" w14:textId="77777777" w:rsidTr="009014A7">
        <w:trPr>
          <w:trHeight w:val="300"/>
        </w:trPr>
        <w:tc>
          <w:tcPr>
            <w:tcW w:w="2160" w:type="dxa"/>
            <w:tcBorders>
              <w:top w:val="nil"/>
              <w:left w:val="nil"/>
              <w:bottom w:val="nil"/>
              <w:right w:val="nil"/>
            </w:tcBorders>
            <w:shd w:val="clear" w:color="000000" w:fill="FFFFFF"/>
            <w:noWrap/>
            <w:vAlign w:val="bottom"/>
            <w:hideMark/>
          </w:tcPr>
          <w:p w14:paraId="4C575F0D" w14:textId="77777777" w:rsidR="00051D7E" w:rsidRPr="00CE7B7D" w:rsidRDefault="00051D7E" w:rsidP="007531FB">
            <w:pPr>
              <w:rPr>
                <w:rFonts w:ascii="Calibri" w:eastAsia="Times New Roman" w:hAnsi="Calibri" w:cs="Calibri"/>
              </w:rPr>
            </w:pPr>
            <w:r w:rsidRPr="00CE7B7D">
              <w:rPr>
                <w:rFonts w:ascii="Calibri" w:eastAsia="Times New Roman" w:hAnsi="Calibri" w:cs="Calibri"/>
              </w:rPr>
              <w:t>Fiduciary net position</w:t>
            </w:r>
          </w:p>
        </w:tc>
        <w:tc>
          <w:tcPr>
            <w:tcW w:w="1170" w:type="dxa"/>
            <w:tcBorders>
              <w:top w:val="nil"/>
              <w:left w:val="nil"/>
              <w:bottom w:val="nil"/>
              <w:right w:val="nil"/>
            </w:tcBorders>
            <w:shd w:val="clear" w:color="000000" w:fill="FFFFFF"/>
            <w:vAlign w:val="bottom"/>
            <w:hideMark/>
          </w:tcPr>
          <w:p w14:paraId="4EE659D4" w14:textId="77777777" w:rsidR="00051D7E" w:rsidRPr="00BF66AC" w:rsidRDefault="00051D7E" w:rsidP="009014A7">
            <w:pPr>
              <w:jc w:val="right"/>
              <w:rPr>
                <w:rFonts w:ascii="Calibri" w:eastAsia="Times New Roman" w:hAnsi="Calibri" w:cs="Calibri"/>
              </w:rPr>
            </w:pPr>
            <w:r w:rsidRPr="00BF66AC">
              <w:rPr>
                <w:rFonts w:ascii="Calibri" w:eastAsia="Times New Roman" w:hAnsi="Calibri" w:cs="Calibri"/>
              </w:rPr>
              <w:t>180,270</w:t>
            </w:r>
          </w:p>
        </w:tc>
        <w:tc>
          <w:tcPr>
            <w:tcW w:w="1170" w:type="dxa"/>
            <w:tcBorders>
              <w:top w:val="nil"/>
              <w:left w:val="nil"/>
              <w:bottom w:val="nil"/>
              <w:right w:val="nil"/>
            </w:tcBorders>
            <w:shd w:val="clear" w:color="000000" w:fill="FFFFFF"/>
            <w:vAlign w:val="bottom"/>
            <w:hideMark/>
          </w:tcPr>
          <w:p w14:paraId="7610E744" w14:textId="77777777" w:rsidR="00051D7E" w:rsidRPr="00BF66AC" w:rsidRDefault="00051D7E" w:rsidP="009014A7">
            <w:pPr>
              <w:jc w:val="right"/>
              <w:rPr>
                <w:rFonts w:ascii="Calibri" w:eastAsia="Times New Roman" w:hAnsi="Calibri" w:cs="Calibri"/>
              </w:rPr>
            </w:pPr>
            <w:r>
              <w:rPr>
                <w:rFonts w:ascii="Calibri" w:eastAsia="Times New Roman" w:hAnsi="Calibri" w:cs="Calibri"/>
              </w:rPr>
              <w:t xml:space="preserve">  </w:t>
            </w:r>
            <w:r w:rsidRPr="00BF66AC">
              <w:rPr>
                <w:rFonts w:ascii="Calibri" w:eastAsia="Times New Roman" w:hAnsi="Calibri" w:cs="Calibri"/>
              </w:rPr>
              <w:t>180,270</w:t>
            </w:r>
          </w:p>
        </w:tc>
        <w:tc>
          <w:tcPr>
            <w:tcW w:w="1170" w:type="dxa"/>
            <w:tcBorders>
              <w:top w:val="nil"/>
              <w:left w:val="nil"/>
              <w:bottom w:val="nil"/>
              <w:right w:val="nil"/>
            </w:tcBorders>
            <w:shd w:val="clear" w:color="000000" w:fill="FFFFFF"/>
            <w:vAlign w:val="bottom"/>
            <w:hideMark/>
          </w:tcPr>
          <w:p w14:paraId="0184FFF6" w14:textId="77777777" w:rsidR="00051D7E" w:rsidRPr="00BF66AC" w:rsidRDefault="00051D7E" w:rsidP="009014A7">
            <w:pPr>
              <w:jc w:val="right"/>
              <w:rPr>
                <w:rFonts w:ascii="Calibri" w:eastAsia="Times New Roman" w:hAnsi="Calibri" w:cs="Calibri"/>
              </w:rPr>
            </w:pPr>
            <w:r>
              <w:rPr>
                <w:rFonts w:ascii="Calibri" w:eastAsia="Times New Roman" w:hAnsi="Calibri" w:cs="Calibri"/>
              </w:rPr>
              <w:t xml:space="preserve">  </w:t>
            </w:r>
            <w:r w:rsidRPr="00BF66AC">
              <w:rPr>
                <w:rFonts w:ascii="Calibri" w:eastAsia="Times New Roman" w:hAnsi="Calibri" w:cs="Calibri"/>
              </w:rPr>
              <w:t>180,270</w:t>
            </w:r>
          </w:p>
        </w:tc>
        <w:tc>
          <w:tcPr>
            <w:tcW w:w="1170" w:type="dxa"/>
            <w:tcBorders>
              <w:top w:val="nil"/>
              <w:left w:val="nil"/>
              <w:bottom w:val="nil"/>
              <w:right w:val="nil"/>
            </w:tcBorders>
            <w:shd w:val="clear" w:color="auto" w:fill="D9D9D9" w:themeFill="background1" w:themeFillShade="D9"/>
            <w:vAlign w:val="bottom"/>
            <w:hideMark/>
          </w:tcPr>
          <w:p w14:paraId="665C3557" w14:textId="77777777" w:rsidR="00051D7E" w:rsidRPr="00CE7B7D" w:rsidRDefault="00051D7E" w:rsidP="009014A7">
            <w:pPr>
              <w:jc w:val="right"/>
              <w:rPr>
                <w:rFonts w:ascii="Calibri" w:eastAsia="Times New Roman" w:hAnsi="Calibri" w:cs="Calibri"/>
                <w:color w:val="000000"/>
              </w:rPr>
            </w:pPr>
            <w:r w:rsidRPr="00CE7B7D">
              <w:rPr>
                <w:rFonts w:ascii="Calibri" w:eastAsia="Times New Roman" w:hAnsi="Calibri" w:cs="Calibri"/>
              </w:rPr>
              <w:t>137,400</w:t>
            </w:r>
          </w:p>
        </w:tc>
        <w:tc>
          <w:tcPr>
            <w:tcW w:w="1182" w:type="dxa"/>
            <w:tcBorders>
              <w:top w:val="nil"/>
              <w:left w:val="nil"/>
              <w:bottom w:val="nil"/>
              <w:right w:val="nil"/>
            </w:tcBorders>
            <w:shd w:val="clear" w:color="auto" w:fill="D9D9D9" w:themeFill="background1" w:themeFillShade="D9"/>
            <w:vAlign w:val="bottom"/>
            <w:hideMark/>
          </w:tcPr>
          <w:p w14:paraId="7A77348D" w14:textId="77777777" w:rsidR="00051D7E" w:rsidRPr="00CE7B7D" w:rsidRDefault="00051D7E" w:rsidP="009014A7">
            <w:pPr>
              <w:jc w:val="right"/>
              <w:rPr>
                <w:rFonts w:ascii="Calibri" w:eastAsia="Times New Roman" w:hAnsi="Calibri" w:cs="Calibri"/>
                <w:color w:val="000000"/>
              </w:rPr>
            </w:pPr>
            <w:r>
              <w:rPr>
                <w:rFonts w:ascii="Calibri" w:eastAsia="Times New Roman" w:hAnsi="Calibri" w:cs="Calibri"/>
              </w:rPr>
              <w:t xml:space="preserve">  </w:t>
            </w:r>
            <w:r w:rsidRPr="00CE7B7D">
              <w:rPr>
                <w:rFonts w:ascii="Calibri" w:eastAsia="Times New Roman" w:hAnsi="Calibri" w:cs="Calibri"/>
              </w:rPr>
              <w:t>137,400</w:t>
            </w:r>
          </w:p>
        </w:tc>
        <w:tc>
          <w:tcPr>
            <w:tcW w:w="1158" w:type="dxa"/>
            <w:tcBorders>
              <w:top w:val="nil"/>
              <w:left w:val="nil"/>
              <w:bottom w:val="nil"/>
              <w:right w:val="nil"/>
            </w:tcBorders>
            <w:shd w:val="clear" w:color="auto" w:fill="D9D9D9" w:themeFill="background1" w:themeFillShade="D9"/>
            <w:vAlign w:val="bottom"/>
            <w:hideMark/>
          </w:tcPr>
          <w:p w14:paraId="4A280ABF" w14:textId="77777777" w:rsidR="00051D7E" w:rsidRPr="00CE7B7D" w:rsidRDefault="00051D7E" w:rsidP="009014A7">
            <w:pPr>
              <w:jc w:val="right"/>
              <w:rPr>
                <w:rFonts w:ascii="Calibri" w:eastAsia="Times New Roman" w:hAnsi="Calibri" w:cs="Calibri"/>
                <w:color w:val="000000"/>
              </w:rPr>
            </w:pPr>
            <w:r>
              <w:rPr>
                <w:rFonts w:ascii="Calibri" w:eastAsia="Times New Roman" w:hAnsi="Calibri" w:cs="Calibri"/>
              </w:rPr>
              <w:t xml:space="preserve">  </w:t>
            </w:r>
            <w:r w:rsidRPr="00CE7B7D">
              <w:rPr>
                <w:rFonts w:ascii="Calibri" w:eastAsia="Times New Roman" w:hAnsi="Calibri" w:cs="Calibri"/>
              </w:rPr>
              <w:t>137,400</w:t>
            </w:r>
          </w:p>
        </w:tc>
      </w:tr>
      <w:tr w:rsidR="00051D7E" w:rsidRPr="00CE7B7D" w14:paraId="5229B48E" w14:textId="77777777" w:rsidTr="009014A7">
        <w:trPr>
          <w:trHeight w:val="312"/>
        </w:trPr>
        <w:tc>
          <w:tcPr>
            <w:tcW w:w="2160" w:type="dxa"/>
            <w:tcBorders>
              <w:top w:val="single" w:sz="12" w:space="0" w:color="44546A"/>
              <w:left w:val="nil"/>
              <w:bottom w:val="single" w:sz="8" w:space="0" w:color="44546A"/>
              <w:right w:val="nil"/>
            </w:tcBorders>
            <w:shd w:val="clear" w:color="000000" w:fill="FFFFFF"/>
            <w:noWrap/>
            <w:vAlign w:val="bottom"/>
            <w:hideMark/>
          </w:tcPr>
          <w:p w14:paraId="5E22666F" w14:textId="52D5ADCC" w:rsidR="00051D7E" w:rsidRPr="00CE7B7D" w:rsidRDefault="00051D7E" w:rsidP="007531FB">
            <w:pPr>
              <w:rPr>
                <w:rFonts w:ascii="Calibri" w:eastAsia="Times New Roman" w:hAnsi="Calibri" w:cs="Calibri"/>
              </w:rPr>
            </w:pPr>
            <w:r w:rsidRPr="00CE7B7D">
              <w:rPr>
                <w:rFonts w:ascii="Calibri" w:eastAsia="Times New Roman" w:hAnsi="Calibri" w:cs="Calibri"/>
              </w:rPr>
              <w:t>Net OPEB liability</w:t>
            </w:r>
            <w:r w:rsidR="006F516D">
              <w:rPr>
                <w:rFonts w:ascii="Calibri" w:eastAsia="Times New Roman" w:hAnsi="Calibri" w:cs="Calibri"/>
              </w:rPr>
              <w:t xml:space="preserve"> (asset)</w:t>
            </w:r>
          </w:p>
        </w:tc>
        <w:tc>
          <w:tcPr>
            <w:tcW w:w="1170" w:type="dxa"/>
            <w:tcBorders>
              <w:top w:val="single" w:sz="12" w:space="0" w:color="00688D"/>
              <w:left w:val="nil"/>
              <w:bottom w:val="single" w:sz="8" w:space="0" w:color="00688D"/>
              <w:right w:val="nil"/>
            </w:tcBorders>
            <w:shd w:val="clear" w:color="000000" w:fill="FFFFFF"/>
            <w:noWrap/>
            <w:vAlign w:val="bottom"/>
            <w:hideMark/>
          </w:tcPr>
          <w:p w14:paraId="68C0910E" w14:textId="77777777" w:rsidR="00051D7E" w:rsidRPr="00BF66AC" w:rsidRDefault="00051D7E" w:rsidP="009014A7">
            <w:pPr>
              <w:jc w:val="right"/>
              <w:rPr>
                <w:rFonts w:ascii="Calibri" w:eastAsia="Times New Roman" w:hAnsi="Calibri" w:cs="Calibri"/>
              </w:rPr>
            </w:pPr>
            <w:r w:rsidRPr="00BF66AC">
              <w:rPr>
                <w:rFonts w:ascii="Calibri" w:eastAsia="Times New Roman" w:hAnsi="Calibri" w:cs="Calibri"/>
              </w:rPr>
              <w:t>$(36,351)</w:t>
            </w:r>
          </w:p>
        </w:tc>
        <w:tc>
          <w:tcPr>
            <w:tcW w:w="1170" w:type="dxa"/>
            <w:tcBorders>
              <w:top w:val="single" w:sz="12" w:space="0" w:color="00688D"/>
              <w:left w:val="nil"/>
              <w:bottom w:val="single" w:sz="8" w:space="0" w:color="00688D"/>
              <w:right w:val="nil"/>
            </w:tcBorders>
            <w:shd w:val="clear" w:color="000000" w:fill="FFFFFF"/>
            <w:noWrap/>
            <w:vAlign w:val="bottom"/>
            <w:hideMark/>
          </w:tcPr>
          <w:p w14:paraId="3E89B308" w14:textId="77777777" w:rsidR="00051D7E" w:rsidRPr="00BF66AC" w:rsidRDefault="00051D7E" w:rsidP="009014A7">
            <w:pPr>
              <w:jc w:val="right"/>
              <w:rPr>
                <w:rFonts w:ascii="Calibri" w:eastAsia="Times New Roman" w:hAnsi="Calibri" w:cs="Calibri"/>
              </w:rPr>
            </w:pPr>
            <w:r w:rsidRPr="00BF66AC">
              <w:rPr>
                <w:rFonts w:ascii="Calibri" w:eastAsia="Times New Roman" w:hAnsi="Calibri" w:cs="Calibri"/>
              </w:rPr>
              <w:t>$(18,058)</w:t>
            </w:r>
          </w:p>
        </w:tc>
        <w:tc>
          <w:tcPr>
            <w:tcW w:w="1170" w:type="dxa"/>
            <w:tcBorders>
              <w:top w:val="single" w:sz="12" w:space="0" w:color="00688D"/>
              <w:left w:val="nil"/>
              <w:bottom w:val="single" w:sz="8" w:space="0" w:color="00688D"/>
              <w:right w:val="nil"/>
            </w:tcBorders>
            <w:shd w:val="clear" w:color="000000" w:fill="FFFFFF"/>
            <w:noWrap/>
            <w:vAlign w:val="bottom"/>
            <w:hideMark/>
          </w:tcPr>
          <w:p w14:paraId="43A617CB" w14:textId="64B92679" w:rsidR="00051D7E" w:rsidRPr="00BF66AC" w:rsidRDefault="00051D7E" w:rsidP="009014A7">
            <w:pPr>
              <w:jc w:val="right"/>
              <w:rPr>
                <w:rFonts w:ascii="Calibri" w:eastAsia="Times New Roman" w:hAnsi="Calibri" w:cs="Calibri"/>
              </w:rPr>
            </w:pPr>
            <w:r w:rsidRPr="00BF66AC">
              <w:rPr>
                <w:rFonts w:ascii="Calibri" w:eastAsia="Times New Roman" w:hAnsi="Calibri" w:cs="Calibri"/>
              </w:rPr>
              <w:t>$</w:t>
            </w:r>
            <w:r w:rsidR="009014A7">
              <w:rPr>
                <w:rFonts w:ascii="Calibri" w:eastAsia="Times New Roman" w:hAnsi="Calibri" w:cs="Calibri"/>
              </w:rPr>
              <w:t xml:space="preserve"> </w:t>
            </w:r>
            <w:r w:rsidRPr="00BF66AC">
              <w:rPr>
                <w:rFonts w:ascii="Calibri" w:eastAsia="Times New Roman" w:hAnsi="Calibri" w:cs="Calibri"/>
              </w:rPr>
              <w:t xml:space="preserve">   4,204</w:t>
            </w:r>
          </w:p>
        </w:tc>
        <w:tc>
          <w:tcPr>
            <w:tcW w:w="1170" w:type="dxa"/>
            <w:tcBorders>
              <w:top w:val="single" w:sz="12" w:space="0" w:color="00688D"/>
              <w:left w:val="nil"/>
              <w:bottom w:val="single" w:sz="8" w:space="0" w:color="00688D"/>
              <w:right w:val="nil"/>
            </w:tcBorders>
            <w:shd w:val="clear" w:color="auto" w:fill="D9D9D9" w:themeFill="background1" w:themeFillShade="D9"/>
            <w:noWrap/>
            <w:vAlign w:val="bottom"/>
            <w:hideMark/>
          </w:tcPr>
          <w:p w14:paraId="55EB9113" w14:textId="77777777" w:rsidR="00051D7E" w:rsidRPr="00CE7B7D" w:rsidRDefault="00051D7E" w:rsidP="009014A7">
            <w:pPr>
              <w:jc w:val="right"/>
              <w:rPr>
                <w:rFonts w:ascii="Calibri" w:eastAsia="Times New Roman" w:hAnsi="Calibri" w:cs="Calibri"/>
              </w:rPr>
            </w:pPr>
            <w:r w:rsidRPr="00CE7B7D">
              <w:rPr>
                <w:rFonts w:ascii="Calibri" w:eastAsia="Times New Roman" w:hAnsi="Calibri" w:cs="Calibri"/>
              </w:rPr>
              <w:t>$ 50,227</w:t>
            </w:r>
          </w:p>
        </w:tc>
        <w:tc>
          <w:tcPr>
            <w:tcW w:w="1182" w:type="dxa"/>
            <w:tcBorders>
              <w:top w:val="single" w:sz="12" w:space="0" w:color="00688D"/>
              <w:left w:val="nil"/>
              <w:bottom w:val="single" w:sz="8" w:space="0" w:color="00688D"/>
              <w:right w:val="nil"/>
            </w:tcBorders>
            <w:shd w:val="clear" w:color="auto" w:fill="D9D9D9" w:themeFill="background1" w:themeFillShade="D9"/>
            <w:noWrap/>
            <w:vAlign w:val="bottom"/>
            <w:hideMark/>
          </w:tcPr>
          <w:p w14:paraId="492966EF" w14:textId="77777777" w:rsidR="00051D7E" w:rsidRPr="00CE7B7D" w:rsidRDefault="00051D7E" w:rsidP="009014A7">
            <w:pPr>
              <w:jc w:val="right"/>
              <w:rPr>
                <w:rFonts w:ascii="Calibri" w:eastAsia="Times New Roman" w:hAnsi="Calibri" w:cs="Calibri"/>
              </w:rPr>
            </w:pPr>
            <w:r w:rsidRPr="00CE7B7D">
              <w:rPr>
                <w:rFonts w:ascii="Calibri" w:eastAsia="Times New Roman" w:hAnsi="Calibri" w:cs="Calibri"/>
              </w:rPr>
              <w:t xml:space="preserve">$ </w:t>
            </w:r>
            <w:r>
              <w:rPr>
                <w:rFonts w:ascii="Calibri" w:eastAsia="Times New Roman" w:hAnsi="Calibri" w:cs="Calibri"/>
              </w:rPr>
              <w:t xml:space="preserve"> </w:t>
            </w:r>
            <w:r w:rsidRPr="00CE7B7D">
              <w:rPr>
                <w:rFonts w:ascii="Calibri" w:eastAsia="Times New Roman" w:hAnsi="Calibri" w:cs="Calibri"/>
              </w:rPr>
              <w:t>76,031</w:t>
            </w:r>
          </w:p>
        </w:tc>
        <w:tc>
          <w:tcPr>
            <w:tcW w:w="1158" w:type="dxa"/>
            <w:tcBorders>
              <w:top w:val="single" w:sz="12" w:space="0" w:color="00688D"/>
              <w:left w:val="nil"/>
              <w:bottom w:val="single" w:sz="8" w:space="0" w:color="00688D"/>
              <w:right w:val="nil"/>
            </w:tcBorders>
            <w:shd w:val="clear" w:color="auto" w:fill="D9D9D9" w:themeFill="background1" w:themeFillShade="D9"/>
            <w:noWrap/>
            <w:vAlign w:val="bottom"/>
            <w:hideMark/>
          </w:tcPr>
          <w:p w14:paraId="545EC147" w14:textId="77777777" w:rsidR="00051D7E" w:rsidRPr="00CE7B7D" w:rsidRDefault="00051D7E" w:rsidP="009014A7">
            <w:pPr>
              <w:jc w:val="right"/>
              <w:rPr>
                <w:rFonts w:ascii="Calibri" w:eastAsia="Times New Roman" w:hAnsi="Calibri" w:cs="Calibri"/>
              </w:rPr>
            </w:pPr>
            <w:r w:rsidRPr="00CE7B7D">
              <w:rPr>
                <w:rFonts w:ascii="Calibri" w:eastAsia="Times New Roman" w:hAnsi="Calibri" w:cs="Calibri"/>
              </w:rPr>
              <w:t>$107,158</w:t>
            </w:r>
          </w:p>
        </w:tc>
      </w:tr>
    </w:tbl>
    <w:p w14:paraId="25009DC7" w14:textId="77777777" w:rsidR="00051D7E" w:rsidRPr="00F54559" w:rsidRDefault="00051D7E" w:rsidP="00051D7E">
      <w:pPr>
        <w:spacing w:before="120" w:after="120" w:line="259" w:lineRule="auto"/>
        <w:rPr>
          <w:rFonts w:cstheme="minorHAnsi"/>
          <w:color w:val="222222"/>
          <w:sz w:val="24"/>
          <w:shd w:val="clear" w:color="auto" w:fill="FFFFFF"/>
        </w:rPr>
      </w:pPr>
      <w:r w:rsidRPr="00F54559">
        <w:rPr>
          <w:rFonts w:cstheme="minorHAnsi"/>
          <w:color w:val="222222"/>
          <w:sz w:val="24"/>
          <w:shd w:val="clear" w:color="auto" w:fill="FFFFFF"/>
        </w:rPr>
        <w:br w:type="page"/>
      </w:r>
    </w:p>
    <w:p w14:paraId="23B1AE3E" w14:textId="77777777" w:rsidR="00051D7E" w:rsidRPr="00F54559" w:rsidRDefault="00051D7E" w:rsidP="00051D7E">
      <w:pPr>
        <w:tabs>
          <w:tab w:val="left" w:pos="900"/>
        </w:tabs>
        <w:spacing w:after="160"/>
        <w:ind w:right="-7"/>
        <w:rPr>
          <w:rFonts w:cstheme="minorHAnsi"/>
          <w:color w:val="222222"/>
          <w:sz w:val="24"/>
          <w:shd w:val="clear" w:color="auto" w:fill="FFFFFF"/>
        </w:rPr>
      </w:pPr>
      <w:r w:rsidRPr="00F54559">
        <w:rPr>
          <w:rFonts w:eastAsiaTheme="majorEastAsia" w:cstheme="minorHAnsi"/>
          <w:b/>
          <w:i/>
          <w:iCs/>
          <w:smallCaps/>
          <w:noProof/>
          <w:color w:val="000000" w:themeColor="text1"/>
          <w:sz w:val="26"/>
          <w:szCs w:val="26"/>
          <w:u w:color="5B9BD5"/>
        </w:rPr>
        <w:lastRenderedPageBreak/>
        <w:t>14. POSTEMPLOYMENT HEALTH PLAN - CONTINUED</w:t>
      </w:r>
    </w:p>
    <w:p w14:paraId="727636EB" w14:textId="77777777" w:rsidR="00051D7E" w:rsidRPr="00F54559" w:rsidRDefault="00051D7E" w:rsidP="00051D7E">
      <w:pPr>
        <w:tabs>
          <w:tab w:val="left" w:pos="900"/>
        </w:tabs>
        <w:spacing w:after="240"/>
        <w:ind w:right="-7"/>
        <w:rPr>
          <w:rFonts w:cstheme="minorHAnsi"/>
        </w:rPr>
      </w:pPr>
      <w:r w:rsidRPr="00F54559">
        <w:rPr>
          <w:rFonts w:cstheme="minorHAnsi"/>
          <w:color w:val="222222"/>
          <w:sz w:val="24"/>
          <w:shd w:val="clear" w:color="auto" w:fill="FFFFFF"/>
        </w:rPr>
        <w:t>Changes in the net OPEB liability:</w:t>
      </w:r>
      <w:r>
        <w:rPr>
          <w:rFonts w:cstheme="minorHAnsi"/>
        </w:rPr>
        <w:fldChar w:fldCharType="begin"/>
      </w:r>
      <w:r>
        <w:rPr>
          <w:rFonts w:cstheme="minorHAnsi"/>
        </w:rPr>
        <w:fldChar w:fldCharType="end"/>
      </w:r>
    </w:p>
    <w:tbl>
      <w:tblPr>
        <w:tblW w:w="9360" w:type="dxa"/>
        <w:jc w:val="center"/>
        <w:tblLook w:val="04A0" w:firstRow="1" w:lastRow="0" w:firstColumn="1" w:lastColumn="0" w:noHBand="0" w:noVBand="1"/>
      </w:tblPr>
      <w:tblGrid>
        <w:gridCol w:w="6771"/>
        <w:gridCol w:w="1345"/>
        <w:gridCol w:w="1244"/>
      </w:tblGrid>
      <w:tr w:rsidR="00051D7E" w:rsidRPr="00413B6F" w14:paraId="1287FBFB" w14:textId="77777777" w:rsidTr="009014A7">
        <w:trPr>
          <w:trHeight w:val="324"/>
          <w:tblHeader/>
          <w:jc w:val="center"/>
        </w:trPr>
        <w:tc>
          <w:tcPr>
            <w:tcW w:w="6750" w:type="dxa"/>
            <w:tcBorders>
              <w:top w:val="nil"/>
              <w:left w:val="nil"/>
              <w:bottom w:val="single" w:sz="12" w:space="0" w:color="44546A"/>
              <w:right w:val="nil"/>
            </w:tcBorders>
            <w:shd w:val="clear" w:color="000000" w:fill="FFFFFF"/>
            <w:vAlign w:val="bottom"/>
            <w:hideMark/>
          </w:tcPr>
          <w:p w14:paraId="3C25D0A1" w14:textId="77777777" w:rsidR="00051D7E" w:rsidRPr="00413B6F" w:rsidRDefault="00051D7E" w:rsidP="007531FB">
            <w:pPr>
              <w:rPr>
                <w:rFonts w:ascii="Calibri" w:eastAsia="Times New Roman" w:hAnsi="Calibri" w:cs="Calibri"/>
                <w:b/>
                <w:bCs/>
                <w:color w:val="0D0D0D"/>
              </w:rPr>
            </w:pPr>
            <w:r w:rsidRPr="00413B6F">
              <w:rPr>
                <w:rFonts w:ascii="Calibri" w:eastAsia="Times New Roman" w:hAnsi="Calibri" w:cs="Calibri"/>
                <w:b/>
                <w:bCs/>
                <w:color w:val="0D0D0D"/>
              </w:rPr>
              <w:t>Fiscal Year Ended June 30</w:t>
            </w:r>
          </w:p>
        </w:tc>
        <w:tc>
          <w:tcPr>
            <w:tcW w:w="1341" w:type="dxa"/>
            <w:tcBorders>
              <w:top w:val="nil"/>
              <w:left w:val="nil"/>
              <w:bottom w:val="single" w:sz="12" w:space="0" w:color="44546A"/>
              <w:right w:val="nil"/>
            </w:tcBorders>
            <w:shd w:val="clear" w:color="000000" w:fill="FFFFFF"/>
            <w:noWrap/>
            <w:vAlign w:val="bottom"/>
            <w:hideMark/>
          </w:tcPr>
          <w:p w14:paraId="11C182B0" w14:textId="13CDDB68" w:rsidR="00051D7E" w:rsidRPr="00413B6F" w:rsidRDefault="00051D7E" w:rsidP="007531FB">
            <w:pPr>
              <w:jc w:val="center"/>
              <w:rPr>
                <w:rFonts w:ascii="Calibri" w:eastAsia="Times New Roman" w:hAnsi="Calibri" w:cs="Calibri"/>
                <w:b/>
                <w:bCs/>
                <w:color w:val="0D0D0D"/>
              </w:rPr>
            </w:pPr>
            <w:r w:rsidRPr="00413B6F">
              <w:rPr>
                <w:rFonts w:ascii="Calibri" w:eastAsia="Times New Roman" w:hAnsi="Calibri" w:cs="Calibri"/>
                <w:b/>
                <w:bCs/>
                <w:color w:val="0D0D0D"/>
              </w:rPr>
              <w:t>202</w:t>
            </w:r>
            <w:r>
              <w:rPr>
                <w:rFonts w:ascii="Calibri" w:eastAsia="Times New Roman" w:hAnsi="Calibri" w:cs="Calibri"/>
                <w:b/>
                <w:bCs/>
                <w:color w:val="0D0D0D"/>
              </w:rPr>
              <w:t>1</w:t>
            </w:r>
          </w:p>
        </w:tc>
        <w:tc>
          <w:tcPr>
            <w:tcW w:w="1240" w:type="dxa"/>
            <w:tcBorders>
              <w:top w:val="nil"/>
              <w:left w:val="nil"/>
              <w:bottom w:val="single" w:sz="12" w:space="0" w:color="44546A"/>
              <w:right w:val="nil"/>
            </w:tcBorders>
            <w:shd w:val="clear" w:color="auto" w:fill="D9D9D9" w:themeFill="background1" w:themeFillShade="D9"/>
            <w:noWrap/>
            <w:vAlign w:val="bottom"/>
            <w:hideMark/>
          </w:tcPr>
          <w:p w14:paraId="47BF5761" w14:textId="77777777" w:rsidR="00051D7E" w:rsidRPr="00413B6F" w:rsidRDefault="00051D7E" w:rsidP="007531FB">
            <w:pPr>
              <w:jc w:val="center"/>
              <w:rPr>
                <w:rFonts w:ascii="Calibri" w:eastAsia="Times New Roman" w:hAnsi="Calibri" w:cs="Calibri"/>
                <w:b/>
                <w:bCs/>
                <w:color w:val="0D0D0D"/>
              </w:rPr>
            </w:pPr>
            <w:r w:rsidRPr="00413B6F">
              <w:rPr>
                <w:rFonts w:ascii="Calibri" w:eastAsia="Times New Roman" w:hAnsi="Calibri" w:cs="Calibri"/>
                <w:b/>
                <w:bCs/>
                <w:color w:val="0D0D0D"/>
              </w:rPr>
              <w:t>20</w:t>
            </w:r>
            <w:r>
              <w:rPr>
                <w:rFonts w:ascii="Calibri" w:eastAsia="Times New Roman" w:hAnsi="Calibri" w:cs="Calibri"/>
                <w:b/>
                <w:bCs/>
                <w:color w:val="0D0D0D"/>
              </w:rPr>
              <w:t>20</w:t>
            </w:r>
          </w:p>
        </w:tc>
      </w:tr>
      <w:tr w:rsidR="00051D7E" w:rsidRPr="00413B6F" w14:paraId="6B7D3AB1" w14:textId="77777777" w:rsidTr="009014A7">
        <w:trPr>
          <w:trHeight w:val="69"/>
          <w:jc w:val="center"/>
        </w:trPr>
        <w:tc>
          <w:tcPr>
            <w:tcW w:w="6750" w:type="dxa"/>
            <w:tcBorders>
              <w:top w:val="nil"/>
              <w:left w:val="nil"/>
              <w:bottom w:val="nil"/>
              <w:right w:val="nil"/>
            </w:tcBorders>
            <w:shd w:val="clear" w:color="000000" w:fill="FFFFFF"/>
            <w:vAlign w:val="bottom"/>
            <w:hideMark/>
          </w:tcPr>
          <w:p w14:paraId="05DA9A90" w14:textId="77777777" w:rsidR="00051D7E" w:rsidRPr="00413B6F" w:rsidRDefault="00051D7E" w:rsidP="007531FB">
            <w:pPr>
              <w:rPr>
                <w:rFonts w:ascii="Calibri" w:eastAsia="Times New Roman" w:hAnsi="Calibri" w:cs="Calibri"/>
                <w:color w:val="0D0D0D"/>
              </w:rPr>
            </w:pPr>
            <w:r w:rsidRPr="00413B6F">
              <w:rPr>
                <w:rFonts w:ascii="Calibri" w:eastAsia="Times New Roman" w:hAnsi="Calibri" w:cs="Calibri"/>
                <w:color w:val="0D0D0D"/>
              </w:rPr>
              <w:t xml:space="preserve">Total OPEB liability – beginning </w:t>
            </w:r>
          </w:p>
        </w:tc>
        <w:tc>
          <w:tcPr>
            <w:tcW w:w="1341" w:type="dxa"/>
            <w:tcBorders>
              <w:top w:val="nil"/>
              <w:left w:val="nil"/>
              <w:bottom w:val="nil"/>
              <w:right w:val="nil"/>
            </w:tcBorders>
            <w:shd w:val="clear" w:color="000000" w:fill="FFFFFF"/>
            <w:noWrap/>
            <w:vAlign w:val="bottom"/>
            <w:hideMark/>
          </w:tcPr>
          <w:p w14:paraId="2E6839A4" w14:textId="77777777" w:rsidR="00051D7E" w:rsidRPr="00653F35" w:rsidRDefault="00051D7E" w:rsidP="007531FB">
            <w:pPr>
              <w:tabs>
                <w:tab w:val="left" w:pos="587"/>
              </w:tabs>
              <w:jc w:val="right"/>
              <w:rPr>
                <w:rFonts w:ascii="Calibri" w:eastAsia="Times New Roman" w:hAnsi="Calibri" w:cs="Calibri"/>
              </w:rPr>
            </w:pPr>
            <w:r w:rsidRPr="00653F35">
              <w:rPr>
                <w:rFonts w:ascii="Calibri" w:eastAsia="Times New Roman" w:hAnsi="Calibri" w:cs="Calibri"/>
              </w:rPr>
              <w:t>$  213,431</w:t>
            </w:r>
          </w:p>
        </w:tc>
        <w:tc>
          <w:tcPr>
            <w:tcW w:w="1240" w:type="dxa"/>
            <w:tcBorders>
              <w:top w:val="nil"/>
              <w:left w:val="nil"/>
              <w:bottom w:val="nil"/>
              <w:right w:val="nil"/>
            </w:tcBorders>
            <w:shd w:val="clear" w:color="auto" w:fill="D9D9D9" w:themeFill="background1" w:themeFillShade="D9"/>
            <w:noWrap/>
            <w:vAlign w:val="bottom"/>
            <w:hideMark/>
          </w:tcPr>
          <w:p w14:paraId="6F780C50" w14:textId="77777777" w:rsidR="00051D7E" w:rsidRPr="00413B6F" w:rsidRDefault="00051D7E" w:rsidP="007531FB">
            <w:pPr>
              <w:jc w:val="right"/>
              <w:rPr>
                <w:rFonts w:ascii="Calibri" w:eastAsia="Times New Roman" w:hAnsi="Calibri" w:cs="Calibri"/>
                <w:color w:val="0D0D0D"/>
              </w:rPr>
            </w:pPr>
            <w:r w:rsidRPr="00413B6F">
              <w:rPr>
                <w:rFonts w:ascii="Calibri" w:eastAsia="Times New Roman" w:hAnsi="Calibri" w:cs="Calibri"/>
                <w:color w:val="0D0D0D"/>
              </w:rPr>
              <w:t>$ 194,586</w:t>
            </w:r>
          </w:p>
        </w:tc>
      </w:tr>
      <w:tr w:rsidR="00051D7E" w:rsidRPr="00413B6F" w14:paraId="5C5006E8" w14:textId="77777777" w:rsidTr="009014A7">
        <w:trPr>
          <w:trHeight w:val="68"/>
          <w:jc w:val="center"/>
        </w:trPr>
        <w:tc>
          <w:tcPr>
            <w:tcW w:w="6750" w:type="dxa"/>
            <w:tcBorders>
              <w:top w:val="nil"/>
              <w:left w:val="nil"/>
              <w:bottom w:val="nil"/>
              <w:right w:val="nil"/>
            </w:tcBorders>
            <w:shd w:val="clear" w:color="000000" w:fill="FFFFFF"/>
            <w:vAlign w:val="bottom"/>
            <w:hideMark/>
          </w:tcPr>
          <w:p w14:paraId="3E418C37" w14:textId="77777777" w:rsidR="00051D7E" w:rsidRPr="00413B6F" w:rsidRDefault="00051D7E" w:rsidP="007531FB">
            <w:pPr>
              <w:spacing w:before="120"/>
              <w:rPr>
                <w:rFonts w:ascii="Calibri" w:eastAsia="Times New Roman" w:hAnsi="Calibri" w:cs="Calibri"/>
                <w:color w:val="0D0D0D"/>
              </w:rPr>
            </w:pPr>
            <w:r w:rsidRPr="00413B6F">
              <w:rPr>
                <w:rFonts w:ascii="Calibri" w:eastAsia="Times New Roman" w:hAnsi="Calibri" w:cs="Calibri"/>
                <w:color w:val="0D0D0D"/>
              </w:rPr>
              <w:t>Changes for the year:</w:t>
            </w:r>
          </w:p>
        </w:tc>
        <w:tc>
          <w:tcPr>
            <w:tcW w:w="1341" w:type="dxa"/>
            <w:tcBorders>
              <w:top w:val="nil"/>
              <w:left w:val="nil"/>
              <w:bottom w:val="nil"/>
              <w:right w:val="nil"/>
            </w:tcBorders>
            <w:shd w:val="clear" w:color="000000" w:fill="FFFFFF"/>
            <w:noWrap/>
            <w:vAlign w:val="bottom"/>
            <w:hideMark/>
          </w:tcPr>
          <w:p w14:paraId="73ACF3D1" w14:textId="77777777" w:rsidR="00051D7E" w:rsidRPr="00653F35" w:rsidRDefault="00051D7E" w:rsidP="007531FB">
            <w:pPr>
              <w:spacing w:before="120"/>
              <w:jc w:val="right"/>
              <w:rPr>
                <w:rFonts w:ascii="Calibri" w:eastAsia="Times New Roman" w:hAnsi="Calibri" w:cs="Calibri"/>
              </w:rPr>
            </w:pPr>
            <w:r w:rsidRPr="00653F35">
              <w:rPr>
                <w:rFonts w:ascii="Calibri" w:eastAsia="Times New Roman" w:hAnsi="Calibri" w:cs="Calibri"/>
              </w:rPr>
              <w:t> </w:t>
            </w:r>
          </w:p>
        </w:tc>
        <w:tc>
          <w:tcPr>
            <w:tcW w:w="1240" w:type="dxa"/>
            <w:tcBorders>
              <w:top w:val="nil"/>
              <w:left w:val="nil"/>
              <w:bottom w:val="nil"/>
              <w:right w:val="nil"/>
            </w:tcBorders>
            <w:shd w:val="clear" w:color="auto" w:fill="D9D9D9" w:themeFill="background1" w:themeFillShade="D9"/>
            <w:noWrap/>
            <w:vAlign w:val="bottom"/>
            <w:hideMark/>
          </w:tcPr>
          <w:p w14:paraId="4D1290F6" w14:textId="77777777" w:rsidR="00051D7E" w:rsidRPr="00413B6F" w:rsidRDefault="00051D7E" w:rsidP="007531FB">
            <w:pPr>
              <w:spacing w:before="120"/>
              <w:jc w:val="right"/>
              <w:rPr>
                <w:rFonts w:ascii="Calibri" w:eastAsia="Times New Roman" w:hAnsi="Calibri" w:cs="Calibri"/>
                <w:color w:val="0D0D0D"/>
              </w:rPr>
            </w:pPr>
            <w:r w:rsidRPr="00413B6F">
              <w:rPr>
                <w:rFonts w:ascii="Calibri" w:eastAsia="Times New Roman" w:hAnsi="Calibri" w:cs="Calibri"/>
                <w:color w:val="0D0D0D"/>
              </w:rPr>
              <w:t> </w:t>
            </w:r>
          </w:p>
        </w:tc>
      </w:tr>
      <w:tr w:rsidR="00051D7E" w:rsidRPr="00413B6F" w14:paraId="0F2D267F" w14:textId="77777777" w:rsidTr="009014A7">
        <w:trPr>
          <w:trHeight w:val="68"/>
          <w:jc w:val="center"/>
        </w:trPr>
        <w:tc>
          <w:tcPr>
            <w:tcW w:w="6750" w:type="dxa"/>
            <w:tcBorders>
              <w:top w:val="nil"/>
              <w:left w:val="nil"/>
              <w:bottom w:val="nil"/>
              <w:right w:val="nil"/>
            </w:tcBorders>
            <w:shd w:val="clear" w:color="000000" w:fill="FFFFFF"/>
            <w:vAlign w:val="bottom"/>
            <w:hideMark/>
          </w:tcPr>
          <w:p w14:paraId="0525CE72" w14:textId="77777777" w:rsidR="00051D7E" w:rsidRPr="00413B6F" w:rsidRDefault="00051D7E" w:rsidP="007531FB">
            <w:pPr>
              <w:ind w:left="252"/>
              <w:rPr>
                <w:rFonts w:ascii="Calibri" w:eastAsia="Times New Roman" w:hAnsi="Calibri" w:cs="Calibri"/>
                <w:color w:val="0D0D0D"/>
              </w:rPr>
            </w:pPr>
            <w:r w:rsidRPr="00413B6F">
              <w:rPr>
                <w:rFonts w:ascii="Calibri" w:eastAsia="Times New Roman" w:hAnsi="Calibri" w:cs="Calibri"/>
                <w:color w:val="0D0D0D"/>
              </w:rPr>
              <w:t>Service cost</w:t>
            </w:r>
          </w:p>
        </w:tc>
        <w:tc>
          <w:tcPr>
            <w:tcW w:w="1341" w:type="dxa"/>
            <w:tcBorders>
              <w:top w:val="nil"/>
              <w:left w:val="nil"/>
              <w:bottom w:val="nil"/>
              <w:right w:val="nil"/>
            </w:tcBorders>
            <w:shd w:val="clear" w:color="000000" w:fill="FFFFFF"/>
            <w:noWrap/>
            <w:vAlign w:val="bottom"/>
            <w:hideMark/>
          </w:tcPr>
          <w:p w14:paraId="166DAEED" w14:textId="77F896EE" w:rsidR="00051D7E" w:rsidRPr="00653F35" w:rsidRDefault="00051D7E" w:rsidP="007531FB">
            <w:pPr>
              <w:jc w:val="right"/>
              <w:rPr>
                <w:rFonts w:ascii="Calibri" w:eastAsia="Times New Roman" w:hAnsi="Calibri" w:cs="Calibri"/>
              </w:rPr>
            </w:pPr>
            <w:r w:rsidRPr="00653F35">
              <w:rPr>
                <w:rFonts w:ascii="Calibri" w:hAnsi="Calibri" w:cs="Calibri"/>
              </w:rPr>
              <w:t xml:space="preserve">6,964 </w:t>
            </w:r>
          </w:p>
        </w:tc>
        <w:tc>
          <w:tcPr>
            <w:tcW w:w="1240" w:type="dxa"/>
            <w:tcBorders>
              <w:top w:val="nil"/>
              <w:left w:val="nil"/>
              <w:bottom w:val="nil"/>
              <w:right w:val="nil"/>
            </w:tcBorders>
            <w:shd w:val="clear" w:color="auto" w:fill="D9D9D9" w:themeFill="background1" w:themeFillShade="D9"/>
            <w:noWrap/>
            <w:vAlign w:val="bottom"/>
            <w:hideMark/>
          </w:tcPr>
          <w:p w14:paraId="08DC86D4" w14:textId="77777777" w:rsidR="00051D7E" w:rsidRPr="00413B6F" w:rsidRDefault="00051D7E" w:rsidP="007531FB">
            <w:pPr>
              <w:jc w:val="right"/>
              <w:rPr>
                <w:rFonts w:ascii="Calibri" w:eastAsia="Times New Roman" w:hAnsi="Calibri" w:cs="Calibri"/>
                <w:color w:val="0D0D0D"/>
              </w:rPr>
            </w:pPr>
            <w:r w:rsidRPr="00413B6F">
              <w:rPr>
                <w:rFonts w:ascii="Calibri" w:eastAsia="Times New Roman" w:hAnsi="Calibri" w:cs="Calibri"/>
                <w:color w:val="0D0D0D"/>
              </w:rPr>
              <w:t>6,434</w:t>
            </w:r>
          </w:p>
        </w:tc>
      </w:tr>
      <w:tr w:rsidR="00051D7E" w:rsidRPr="00413B6F" w14:paraId="0D6D6D92" w14:textId="77777777" w:rsidTr="009014A7">
        <w:trPr>
          <w:trHeight w:val="72"/>
          <w:jc w:val="center"/>
        </w:trPr>
        <w:tc>
          <w:tcPr>
            <w:tcW w:w="6750" w:type="dxa"/>
            <w:tcBorders>
              <w:top w:val="nil"/>
              <w:left w:val="nil"/>
              <w:bottom w:val="nil"/>
              <w:right w:val="nil"/>
            </w:tcBorders>
            <w:shd w:val="clear" w:color="000000" w:fill="FFFFFF"/>
            <w:vAlign w:val="bottom"/>
            <w:hideMark/>
          </w:tcPr>
          <w:p w14:paraId="522A8172" w14:textId="77777777" w:rsidR="00051D7E" w:rsidRPr="00413B6F" w:rsidRDefault="00051D7E" w:rsidP="007531FB">
            <w:pPr>
              <w:ind w:left="252"/>
              <w:rPr>
                <w:rFonts w:ascii="Calibri" w:eastAsia="Times New Roman" w:hAnsi="Calibri" w:cs="Calibri"/>
                <w:color w:val="0D0D0D"/>
              </w:rPr>
            </w:pPr>
            <w:r w:rsidRPr="00413B6F">
              <w:rPr>
                <w:rFonts w:ascii="Calibri" w:eastAsia="Times New Roman" w:hAnsi="Calibri" w:cs="Calibri"/>
                <w:color w:val="0D0D0D"/>
              </w:rPr>
              <w:t>Interest</w:t>
            </w:r>
          </w:p>
        </w:tc>
        <w:tc>
          <w:tcPr>
            <w:tcW w:w="1341" w:type="dxa"/>
            <w:tcBorders>
              <w:top w:val="nil"/>
              <w:left w:val="nil"/>
              <w:bottom w:val="nil"/>
              <w:right w:val="nil"/>
            </w:tcBorders>
            <w:shd w:val="clear" w:color="000000" w:fill="FFFFFF"/>
            <w:noWrap/>
            <w:vAlign w:val="bottom"/>
            <w:hideMark/>
          </w:tcPr>
          <w:p w14:paraId="43B4CBCE" w14:textId="16C31A48" w:rsidR="00051D7E" w:rsidRPr="00653F35" w:rsidRDefault="00051D7E" w:rsidP="007531FB">
            <w:pPr>
              <w:jc w:val="right"/>
              <w:rPr>
                <w:rFonts w:ascii="Calibri" w:eastAsia="Times New Roman" w:hAnsi="Calibri" w:cs="Calibri"/>
              </w:rPr>
            </w:pPr>
            <w:r w:rsidRPr="00653F35">
              <w:rPr>
                <w:rFonts w:ascii="Calibri" w:hAnsi="Calibri" w:cs="Calibri"/>
              </w:rPr>
              <w:t xml:space="preserve">15,725 </w:t>
            </w:r>
          </w:p>
        </w:tc>
        <w:tc>
          <w:tcPr>
            <w:tcW w:w="1240" w:type="dxa"/>
            <w:tcBorders>
              <w:top w:val="nil"/>
              <w:left w:val="nil"/>
              <w:bottom w:val="nil"/>
              <w:right w:val="nil"/>
            </w:tcBorders>
            <w:shd w:val="clear" w:color="auto" w:fill="D9D9D9" w:themeFill="background1" w:themeFillShade="D9"/>
            <w:noWrap/>
            <w:vAlign w:val="bottom"/>
            <w:hideMark/>
          </w:tcPr>
          <w:p w14:paraId="09FB6C11" w14:textId="77777777" w:rsidR="00051D7E" w:rsidRPr="00413B6F" w:rsidRDefault="00051D7E" w:rsidP="007531FB">
            <w:pPr>
              <w:jc w:val="right"/>
              <w:rPr>
                <w:rFonts w:ascii="Calibri" w:eastAsia="Times New Roman" w:hAnsi="Calibri" w:cs="Calibri"/>
                <w:color w:val="0D0D0D"/>
              </w:rPr>
            </w:pPr>
            <w:r w:rsidRPr="00413B6F">
              <w:rPr>
                <w:rFonts w:ascii="Calibri" w:eastAsia="Times New Roman" w:hAnsi="Calibri" w:cs="Calibri"/>
                <w:color w:val="0D0D0D"/>
              </w:rPr>
              <w:t>14,769</w:t>
            </w:r>
          </w:p>
        </w:tc>
      </w:tr>
      <w:tr w:rsidR="00051D7E" w:rsidRPr="00413B6F" w14:paraId="35B849AB" w14:textId="77777777" w:rsidTr="009014A7">
        <w:trPr>
          <w:trHeight w:val="81"/>
          <w:jc w:val="center"/>
        </w:trPr>
        <w:tc>
          <w:tcPr>
            <w:tcW w:w="6750" w:type="dxa"/>
            <w:tcBorders>
              <w:top w:val="nil"/>
              <w:left w:val="nil"/>
              <w:bottom w:val="nil"/>
              <w:right w:val="nil"/>
            </w:tcBorders>
            <w:shd w:val="clear" w:color="000000" w:fill="FFFFFF"/>
            <w:vAlign w:val="bottom"/>
            <w:hideMark/>
          </w:tcPr>
          <w:p w14:paraId="3A111FA7" w14:textId="77777777" w:rsidR="00051D7E" w:rsidRPr="00413B6F" w:rsidRDefault="00051D7E" w:rsidP="007531FB">
            <w:pPr>
              <w:ind w:left="252"/>
              <w:rPr>
                <w:rFonts w:ascii="Calibri" w:eastAsia="Times New Roman" w:hAnsi="Calibri" w:cs="Calibri"/>
                <w:color w:val="0D0D0D"/>
              </w:rPr>
            </w:pPr>
            <w:r w:rsidRPr="00413B6F">
              <w:rPr>
                <w:rFonts w:ascii="Calibri" w:eastAsia="Times New Roman" w:hAnsi="Calibri" w:cs="Calibri"/>
                <w:color w:val="0D0D0D"/>
              </w:rPr>
              <w:t>Changes of benefit terms</w:t>
            </w:r>
          </w:p>
        </w:tc>
        <w:tc>
          <w:tcPr>
            <w:tcW w:w="1341" w:type="dxa"/>
            <w:tcBorders>
              <w:top w:val="nil"/>
              <w:left w:val="nil"/>
              <w:bottom w:val="nil"/>
              <w:right w:val="nil"/>
            </w:tcBorders>
            <w:shd w:val="clear" w:color="000000" w:fill="FFFFFF"/>
            <w:noWrap/>
            <w:vAlign w:val="bottom"/>
            <w:hideMark/>
          </w:tcPr>
          <w:p w14:paraId="3DF82A8D" w14:textId="30EA19E2" w:rsidR="00051D7E" w:rsidRPr="00653F35" w:rsidRDefault="00051D7E" w:rsidP="007531FB">
            <w:pPr>
              <w:jc w:val="right"/>
              <w:rPr>
                <w:rFonts w:ascii="Calibri" w:eastAsia="Times New Roman" w:hAnsi="Calibri" w:cs="Calibri"/>
              </w:rPr>
            </w:pPr>
            <w:r w:rsidRPr="00653F35">
              <w:rPr>
                <w:rFonts w:ascii="Calibri" w:hAnsi="Calibri" w:cs="Calibri"/>
              </w:rPr>
              <w:t>(49,469)</w:t>
            </w:r>
          </w:p>
        </w:tc>
        <w:tc>
          <w:tcPr>
            <w:tcW w:w="1240" w:type="dxa"/>
            <w:tcBorders>
              <w:top w:val="nil"/>
              <w:left w:val="nil"/>
              <w:bottom w:val="nil"/>
              <w:right w:val="nil"/>
            </w:tcBorders>
            <w:shd w:val="clear" w:color="auto" w:fill="D9D9D9" w:themeFill="background1" w:themeFillShade="D9"/>
            <w:noWrap/>
            <w:vAlign w:val="bottom"/>
            <w:hideMark/>
          </w:tcPr>
          <w:p w14:paraId="748537BD" w14:textId="77777777" w:rsidR="00051D7E" w:rsidRPr="00413B6F" w:rsidRDefault="00051D7E" w:rsidP="007531FB">
            <w:pPr>
              <w:jc w:val="right"/>
              <w:rPr>
                <w:rFonts w:ascii="Calibri" w:eastAsia="Times New Roman" w:hAnsi="Calibri" w:cs="Calibri"/>
                <w:color w:val="0D0D0D"/>
              </w:rPr>
            </w:pPr>
            <w:r w:rsidRPr="00413B6F">
              <w:rPr>
                <w:rFonts w:ascii="Calibri" w:eastAsia="Times New Roman" w:hAnsi="Calibri" w:cs="Calibri"/>
                <w:color w:val="0D0D0D"/>
              </w:rPr>
              <w:t>(102)</w:t>
            </w:r>
          </w:p>
        </w:tc>
      </w:tr>
      <w:tr w:rsidR="00051D7E" w:rsidRPr="00413B6F" w14:paraId="1562BE68" w14:textId="77777777" w:rsidTr="009014A7">
        <w:trPr>
          <w:trHeight w:val="81"/>
          <w:jc w:val="center"/>
        </w:trPr>
        <w:tc>
          <w:tcPr>
            <w:tcW w:w="6750" w:type="dxa"/>
            <w:tcBorders>
              <w:top w:val="nil"/>
              <w:left w:val="nil"/>
              <w:bottom w:val="nil"/>
              <w:right w:val="nil"/>
            </w:tcBorders>
            <w:shd w:val="clear" w:color="000000" w:fill="FFFFFF"/>
            <w:noWrap/>
            <w:vAlign w:val="bottom"/>
            <w:hideMark/>
          </w:tcPr>
          <w:p w14:paraId="79EEF045" w14:textId="77777777" w:rsidR="00051D7E" w:rsidRPr="00413B6F" w:rsidRDefault="00051D7E" w:rsidP="007531FB">
            <w:pPr>
              <w:ind w:left="252"/>
              <w:rPr>
                <w:rFonts w:ascii="Calibri" w:eastAsia="Times New Roman" w:hAnsi="Calibri" w:cs="Calibri"/>
                <w:color w:val="0D0D0D"/>
              </w:rPr>
            </w:pPr>
            <w:r w:rsidRPr="00413B6F">
              <w:rPr>
                <w:rFonts w:ascii="Calibri" w:eastAsia="Times New Roman" w:hAnsi="Calibri" w:cs="Calibri"/>
                <w:color w:val="0D0D0D"/>
              </w:rPr>
              <w:t xml:space="preserve">Differences between expected and actual experience </w:t>
            </w:r>
          </w:p>
        </w:tc>
        <w:tc>
          <w:tcPr>
            <w:tcW w:w="1341" w:type="dxa"/>
            <w:tcBorders>
              <w:top w:val="nil"/>
              <w:left w:val="nil"/>
              <w:bottom w:val="nil"/>
              <w:right w:val="nil"/>
            </w:tcBorders>
            <w:shd w:val="clear" w:color="000000" w:fill="FFFFFF"/>
            <w:noWrap/>
            <w:vAlign w:val="bottom"/>
            <w:hideMark/>
          </w:tcPr>
          <w:p w14:paraId="5E848E63" w14:textId="1FEFB0D8" w:rsidR="00051D7E" w:rsidRPr="00653F35" w:rsidRDefault="00051D7E" w:rsidP="007531FB">
            <w:pPr>
              <w:jc w:val="right"/>
              <w:rPr>
                <w:rFonts w:ascii="Calibri" w:eastAsia="Times New Roman" w:hAnsi="Calibri" w:cs="Calibri"/>
              </w:rPr>
            </w:pPr>
            <w:r w:rsidRPr="00653F35">
              <w:rPr>
                <w:rFonts w:ascii="Calibri" w:hAnsi="Calibri" w:cs="Calibri"/>
              </w:rPr>
              <w:t>(8,908)</w:t>
            </w:r>
          </w:p>
        </w:tc>
        <w:tc>
          <w:tcPr>
            <w:tcW w:w="1240" w:type="dxa"/>
            <w:tcBorders>
              <w:top w:val="nil"/>
              <w:left w:val="nil"/>
              <w:bottom w:val="nil"/>
              <w:right w:val="nil"/>
            </w:tcBorders>
            <w:shd w:val="clear" w:color="auto" w:fill="D9D9D9" w:themeFill="background1" w:themeFillShade="D9"/>
            <w:noWrap/>
            <w:vAlign w:val="bottom"/>
            <w:hideMark/>
          </w:tcPr>
          <w:p w14:paraId="1E57479B" w14:textId="77777777" w:rsidR="00051D7E" w:rsidRPr="00413B6F" w:rsidRDefault="00051D7E" w:rsidP="007531FB">
            <w:pPr>
              <w:jc w:val="right"/>
              <w:rPr>
                <w:rFonts w:ascii="Calibri" w:eastAsia="Times New Roman" w:hAnsi="Calibri" w:cs="Calibri"/>
                <w:color w:val="0D0D0D"/>
              </w:rPr>
            </w:pPr>
            <w:r w:rsidRPr="00413B6F">
              <w:rPr>
                <w:rFonts w:ascii="Calibri" w:eastAsia="Times New Roman" w:hAnsi="Calibri" w:cs="Calibri"/>
                <w:color w:val="0D0D0D"/>
              </w:rPr>
              <w:t>-</w:t>
            </w:r>
          </w:p>
        </w:tc>
      </w:tr>
      <w:tr w:rsidR="00051D7E" w:rsidRPr="00413B6F" w14:paraId="15052279" w14:textId="77777777" w:rsidTr="009014A7">
        <w:trPr>
          <w:trHeight w:val="81"/>
          <w:jc w:val="center"/>
        </w:trPr>
        <w:tc>
          <w:tcPr>
            <w:tcW w:w="6750" w:type="dxa"/>
            <w:tcBorders>
              <w:top w:val="nil"/>
              <w:left w:val="nil"/>
              <w:bottom w:val="nil"/>
              <w:right w:val="nil"/>
            </w:tcBorders>
            <w:shd w:val="clear" w:color="000000" w:fill="FFFFFF"/>
            <w:noWrap/>
            <w:vAlign w:val="bottom"/>
            <w:hideMark/>
          </w:tcPr>
          <w:p w14:paraId="082F5EFF" w14:textId="77777777" w:rsidR="00051D7E" w:rsidRPr="00413B6F" w:rsidRDefault="00051D7E" w:rsidP="007531FB">
            <w:pPr>
              <w:ind w:left="252"/>
              <w:rPr>
                <w:rFonts w:ascii="Calibri" w:eastAsia="Times New Roman" w:hAnsi="Calibri" w:cs="Calibri"/>
                <w:color w:val="0D0D0D"/>
              </w:rPr>
            </w:pPr>
            <w:r w:rsidRPr="00413B6F">
              <w:rPr>
                <w:rFonts w:ascii="Calibri" w:eastAsia="Times New Roman" w:hAnsi="Calibri" w:cs="Calibri"/>
                <w:color w:val="0D0D0D"/>
              </w:rPr>
              <w:t>Changes of assumptions</w:t>
            </w:r>
          </w:p>
        </w:tc>
        <w:tc>
          <w:tcPr>
            <w:tcW w:w="1341" w:type="dxa"/>
            <w:tcBorders>
              <w:top w:val="nil"/>
              <w:left w:val="nil"/>
              <w:bottom w:val="nil"/>
              <w:right w:val="nil"/>
            </w:tcBorders>
            <w:shd w:val="clear" w:color="000000" w:fill="FFFFFF"/>
            <w:noWrap/>
            <w:vAlign w:val="bottom"/>
            <w:hideMark/>
          </w:tcPr>
          <w:p w14:paraId="1C5C0D7E" w14:textId="0714461A" w:rsidR="00051D7E" w:rsidRPr="00653F35" w:rsidRDefault="00051D7E" w:rsidP="007531FB">
            <w:pPr>
              <w:jc w:val="right"/>
              <w:rPr>
                <w:rFonts w:ascii="Calibri" w:eastAsia="Times New Roman" w:hAnsi="Calibri" w:cs="Calibri"/>
              </w:rPr>
            </w:pPr>
            <w:r w:rsidRPr="00653F35">
              <w:rPr>
                <w:rFonts w:ascii="Calibri" w:hAnsi="Calibri" w:cs="Calibri"/>
              </w:rPr>
              <w:t>(8,539)</w:t>
            </w:r>
          </w:p>
        </w:tc>
        <w:tc>
          <w:tcPr>
            <w:tcW w:w="1240" w:type="dxa"/>
            <w:tcBorders>
              <w:top w:val="nil"/>
              <w:left w:val="nil"/>
              <w:bottom w:val="nil"/>
              <w:right w:val="nil"/>
            </w:tcBorders>
            <w:shd w:val="clear" w:color="auto" w:fill="D9D9D9" w:themeFill="background1" w:themeFillShade="D9"/>
            <w:noWrap/>
            <w:vAlign w:val="bottom"/>
            <w:hideMark/>
          </w:tcPr>
          <w:p w14:paraId="127E5EBD" w14:textId="77777777" w:rsidR="00051D7E" w:rsidRPr="00413B6F" w:rsidRDefault="00051D7E" w:rsidP="007531FB">
            <w:pPr>
              <w:jc w:val="right"/>
              <w:rPr>
                <w:rFonts w:ascii="Calibri" w:eastAsia="Times New Roman" w:hAnsi="Calibri" w:cs="Calibri"/>
                <w:color w:val="0D0D0D"/>
              </w:rPr>
            </w:pPr>
            <w:r w:rsidRPr="00413B6F">
              <w:rPr>
                <w:rFonts w:ascii="Calibri" w:eastAsia="Times New Roman" w:hAnsi="Calibri" w:cs="Calibri"/>
                <w:color w:val="0D0D0D"/>
              </w:rPr>
              <w:t>5,938</w:t>
            </w:r>
          </w:p>
        </w:tc>
      </w:tr>
      <w:tr w:rsidR="00051D7E" w:rsidRPr="00413B6F" w14:paraId="6522F12C" w14:textId="77777777" w:rsidTr="009014A7">
        <w:trPr>
          <w:trHeight w:val="81"/>
          <w:jc w:val="center"/>
        </w:trPr>
        <w:tc>
          <w:tcPr>
            <w:tcW w:w="6750" w:type="dxa"/>
            <w:tcBorders>
              <w:top w:val="nil"/>
              <w:left w:val="nil"/>
              <w:bottom w:val="nil"/>
              <w:right w:val="nil"/>
            </w:tcBorders>
            <w:shd w:val="clear" w:color="000000" w:fill="FFFFFF"/>
            <w:vAlign w:val="bottom"/>
            <w:hideMark/>
          </w:tcPr>
          <w:p w14:paraId="01083D13" w14:textId="77777777" w:rsidR="00051D7E" w:rsidRPr="00413B6F" w:rsidRDefault="00051D7E" w:rsidP="007531FB">
            <w:pPr>
              <w:ind w:left="252"/>
              <w:rPr>
                <w:rFonts w:ascii="Calibri" w:eastAsia="Times New Roman" w:hAnsi="Calibri" w:cs="Calibri"/>
                <w:color w:val="0D0D0D"/>
              </w:rPr>
            </w:pPr>
            <w:r w:rsidRPr="00413B6F">
              <w:rPr>
                <w:rFonts w:ascii="Calibri" w:eastAsia="Times New Roman" w:hAnsi="Calibri" w:cs="Calibri"/>
                <w:color w:val="0D0D0D"/>
              </w:rPr>
              <w:t>Benefit payments</w:t>
            </w:r>
          </w:p>
        </w:tc>
        <w:tc>
          <w:tcPr>
            <w:tcW w:w="1341" w:type="dxa"/>
            <w:tcBorders>
              <w:top w:val="nil"/>
              <w:left w:val="nil"/>
              <w:bottom w:val="nil"/>
              <w:right w:val="nil"/>
            </w:tcBorders>
            <w:shd w:val="clear" w:color="000000" w:fill="FFFFFF"/>
            <w:noWrap/>
            <w:vAlign w:val="bottom"/>
            <w:hideMark/>
          </w:tcPr>
          <w:p w14:paraId="341BAF76" w14:textId="27941B15" w:rsidR="00051D7E" w:rsidRPr="00653F35" w:rsidRDefault="00051D7E" w:rsidP="007531FB">
            <w:pPr>
              <w:jc w:val="right"/>
              <w:rPr>
                <w:rFonts w:ascii="Calibri" w:eastAsia="Times New Roman" w:hAnsi="Calibri" w:cs="Calibri"/>
              </w:rPr>
            </w:pPr>
            <w:r w:rsidRPr="00653F35">
              <w:rPr>
                <w:rFonts w:ascii="Calibri" w:hAnsi="Calibri" w:cs="Calibri"/>
              </w:rPr>
              <w:t>(6,992)</w:t>
            </w:r>
          </w:p>
        </w:tc>
        <w:tc>
          <w:tcPr>
            <w:tcW w:w="1240" w:type="dxa"/>
            <w:tcBorders>
              <w:top w:val="nil"/>
              <w:left w:val="nil"/>
              <w:bottom w:val="nil"/>
              <w:right w:val="nil"/>
            </w:tcBorders>
            <w:shd w:val="clear" w:color="auto" w:fill="D9D9D9" w:themeFill="background1" w:themeFillShade="D9"/>
            <w:noWrap/>
            <w:vAlign w:val="bottom"/>
            <w:hideMark/>
          </w:tcPr>
          <w:p w14:paraId="25270621" w14:textId="77777777" w:rsidR="00051D7E" w:rsidRPr="00413B6F" w:rsidRDefault="00051D7E" w:rsidP="007531FB">
            <w:pPr>
              <w:jc w:val="right"/>
              <w:rPr>
                <w:rFonts w:ascii="Calibri" w:eastAsia="Times New Roman" w:hAnsi="Calibri" w:cs="Calibri"/>
                <w:color w:val="0D0D0D"/>
              </w:rPr>
            </w:pPr>
            <w:r w:rsidRPr="00413B6F">
              <w:rPr>
                <w:rFonts w:ascii="Calibri" w:eastAsia="Times New Roman" w:hAnsi="Calibri" w:cs="Calibri"/>
                <w:color w:val="0D0D0D"/>
              </w:rPr>
              <w:t>(8,194)</w:t>
            </w:r>
          </w:p>
        </w:tc>
      </w:tr>
      <w:tr w:rsidR="00051D7E" w:rsidRPr="00413B6F" w14:paraId="02789A9B" w14:textId="77777777" w:rsidTr="009014A7">
        <w:trPr>
          <w:trHeight w:val="71"/>
          <w:jc w:val="center"/>
        </w:trPr>
        <w:tc>
          <w:tcPr>
            <w:tcW w:w="6750" w:type="dxa"/>
            <w:tcBorders>
              <w:top w:val="single" w:sz="4" w:space="0" w:color="44546A"/>
              <w:left w:val="nil"/>
              <w:bottom w:val="single" w:sz="4" w:space="0" w:color="44546A"/>
              <w:right w:val="nil"/>
            </w:tcBorders>
            <w:shd w:val="clear" w:color="000000" w:fill="FFFFFF"/>
            <w:vAlign w:val="bottom"/>
            <w:hideMark/>
          </w:tcPr>
          <w:p w14:paraId="088B0AA1" w14:textId="7292A34D" w:rsidR="00051D7E" w:rsidRPr="00413B6F" w:rsidRDefault="00051D7E" w:rsidP="007531FB">
            <w:pPr>
              <w:rPr>
                <w:rFonts w:ascii="Calibri" w:eastAsia="Times New Roman" w:hAnsi="Calibri" w:cs="Calibri"/>
                <w:color w:val="0D0D0D"/>
              </w:rPr>
            </w:pPr>
            <w:r w:rsidRPr="00413B6F">
              <w:rPr>
                <w:rFonts w:ascii="Calibri" w:eastAsia="Times New Roman" w:hAnsi="Calibri" w:cs="Calibri"/>
                <w:color w:val="0D0D0D"/>
              </w:rPr>
              <w:t>Total OPEB liability</w:t>
            </w:r>
            <w:r w:rsidR="00FE1197">
              <w:rPr>
                <w:rFonts w:ascii="Calibri" w:eastAsia="Times New Roman" w:hAnsi="Calibri" w:cs="Calibri"/>
                <w:color w:val="0D0D0D"/>
              </w:rPr>
              <w:t xml:space="preserve"> (asset)</w:t>
            </w:r>
            <w:r w:rsidRPr="00413B6F">
              <w:rPr>
                <w:rFonts w:ascii="Calibri" w:eastAsia="Times New Roman" w:hAnsi="Calibri" w:cs="Calibri"/>
                <w:color w:val="0D0D0D"/>
              </w:rPr>
              <w:t xml:space="preserve"> – ending (a)</w:t>
            </w:r>
          </w:p>
        </w:tc>
        <w:tc>
          <w:tcPr>
            <w:tcW w:w="1341" w:type="dxa"/>
            <w:tcBorders>
              <w:top w:val="single" w:sz="4" w:space="0" w:color="44546A"/>
              <w:left w:val="nil"/>
              <w:bottom w:val="single" w:sz="4" w:space="0" w:color="44546A"/>
              <w:right w:val="nil"/>
            </w:tcBorders>
            <w:shd w:val="clear" w:color="000000" w:fill="FFFFFF"/>
            <w:noWrap/>
            <w:vAlign w:val="bottom"/>
            <w:hideMark/>
          </w:tcPr>
          <w:p w14:paraId="592371FE" w14:textId="77777777" w:rsidR="00051D7E" w:rsidRPr="00653F35" w:rsidRDefault="00051D7E" w:rsidP="007531FB">
            <w:pPr>
              <w:jc w:val="right"/>
              <w:rPr>
                <w:rFonts w:ascii="Calibri" w:eastAsia="Times New Roman" w:hAnsi="Calibri" w:cs="Calibri"/>
              </w:rPr>
            </w:pPr>
            <w:r w:rsidRPr="00653F35">
              <w:rPr>
                <w:rFonts w:ascii="Calibri" w:eastAsia="Times New Roman" w:hAnsi="Calibri" w:cs="Calibri"/>
              </w:rPr>
              <w:t>162,212</w:t>
            </w:r>
          </w:p>
        </w:tc>
        <w:tc>
          <w:tcPr>
            <w:tcW w:w="1240" w:type="dxa"/>
            <w:tcBorders>
              <w:top w:val="single" w:sz="4" w:space="0" w:color="44546A"/>
              <w:left w:val="nil"/>
              <w:bottom w:val="single" w:sz="4" w:space="0" w:color="44546A"/>
              <w:right w:val="nil"/>
            </w:tcBorders>
            <w:shd w:val="clear" w:color="auto" w:fill="D9D9D9" w:themeFill="background1" w:themeFillShade="D9"/>
            <w:noWrap/>
            <w:vAlign w:val="bottom"/>
            <w:hideMark/>
          </w:tcPr>
          <w:p w14:paraId="3FD8FD42" w14:textId="77777777" w:rsidR="00051D7E" w:rsidRPr="00413B6F" w:rsidRDefault="00051D7E" w:rsidP="007531FB">
            <w:pPr>
              <w:jc w:val="right"/>
              <w:rPr>
                <w:rFonts w:ascii="Calibri" w:eastAsia="Times New Roman" w:hAnsi="Calibri" w:cs="Calibri"/>
                <w:color w:val="0D0D0D"/>
              </w:rPr>
            </w:pPr>
            <w:r w:rsidRPr="00413B6F">
              <w:rPr>
                <w:rFonts w:ascii="Calibri" w:eastAsia="Times New Roman" w:hAnsi="Calibri" w:cs="Calibri"/>
                <w:color w:val="0D0D0D"/>
              </w:rPr>
              <w:t>213,431</w:t>
            </w:r>
          </w:p>
        </w:tc>
      </w:tr>
      <w:tr w:rsidR="00051D7E" w:rsidRPr="00413B6F" w14:paraId="559BED7A" w14:textId="77777777" w:rsidTr="009014A7">
        <w:trPr>
          <w:trHeight w:val="152"/>
          <w:jc w:val="center"/>
        </w:trPr>
        <w:tc>
          <w:tcPr>
            <w:tcW w:w="6750" w:type="dxa"/>
            <w:tcBorders>
              <w:top w:val="nil"/>
              <w:left w:val="nil"/>
              <w:bottom w:val="nil"/>
              <w:right w:val="nil"/>
            </w:tcBorders>
            <w:shd w:val="clear" w:color="000000" w:fill="FFFFFF"/>
            <w:vAlign w:val="bottom"/>
            <w:hideMark/>
          </w:tcPr>
          <w:p w14:paraId="67CFE6AD" w14:textId="77777777" w:rsidR="00051D7E" w:rsidRPr="00413B6F" w:rsidRDefault="00051D7E" w:rsidP="007531FB">
            <w:pPr>
              <w:spacing w:before="120"/>
              <w:rPr>
                <w:rFonts w:ascii="Calibri" w:eastAsia="Times New Roman" w:hAnsi="Calibri" w:cs="Calibri"/>
                <w:color w:val="0D0D0D"/>
              </w:rPr>
            </w:pPr>
            <w:r w:rsidRPr="00413B6F">
              <w:rPr>
                <w:rFonts w:ascii="Calibri" w:eastAsia="Times New Roman" w:hAnsi="Calibri" w:cs="Calibri"/>
                <w:color w:val="0D0D0D"/>
              </w:rPr>
              <w:t xml:space="preserve">Fiduciary net position – beginning </w:t>
            </w:r>
          </w:p>
        </w:tc>
        <w:tc>
          <w:tcPr>
            <w:tcW w:w="1341" w:type="dxa"/>
            <w:tcBorders>
              <w:top w:val="nil"/>
              <w:left w:val="nil"/>
              <w:bottom w:val="nil"/>
              <w:right w:val="nil"/>
            </w:tcBorders>
            <w:shd w:val="clear" w:color="000000" w:fill="FFFFFF"/>
            <w:noWrap/>
            <w:vAlign w:val="bottom"/>
            <w:hideMark/>
          </w:tcPr>
          <w:p w14:paraId="2DD167CC" w14:textId="77DFAA33" w:rsidR="00051D7E" w:rsidRPr="00653F35" w:rsidRDefault="00051D7E" w:rsidP="007531FB">
            <w:pPr>
              <w:spacing w:before="120"/>
              <w:jc w:val="right"/>
              <w:rPr>
                <w:rFonts w:ascii="Calibri" w:eastAsia="Times New Roman" w:hAnsi="Calibri" w:cs="Calibri"/>
              </w:rPr>
            </w:pPr>
            <w:r w:rsidRPr="00653F35">
              <w:rPr>
                <w:rFonts w:ascii="Calibri" w:hAnsi="Calibri" w:cs="Calibri"/>
              </w:rPr>
              <w:t xml:space="preserve">137,400 </w:t>
            </w:r>
          </w:p>
        </w:tc>
        <w:tc>
          <w:tcPr>
            <w:tcW w:w="1240" w:type="dxa"/>
            <w:tcBorders>
              <w:top w:val="nil"/>
              <w:left w:val="nil"/>
              <w:bottom w:val="nil"/>
              <w:right w:val="nil"/>
            </w:tcBorders>
            <w:shd w:val="clear" w:color="auto" w:fill="D9D9D9" w:themeFill="background1" w:themeFillShade="D9"/>
            <w:noWrap/>
            <w:vAlign w:val="bottom"/>
            <w:hideMark/>
          </w:tcPr>
          <w:p w14:paraId="5587CBA2" w14:textId="77777777" w:rsidR="00051D7E" w:rsidRPr="00413B6F" w:rsidRDefault="00051D7E" w:rsidP="007531FB">
            <w:pPr>
              <w:spacing w:before="120"/>
              <w:jc w:val="right"/>
              <w:rPr>
                <w:rFonts w:ascii="Calibri" w:eastAsia="Times New Roman" w:hAnsi="Calibri" w:cs="Calibri"/>
                <w:color w:val="0D0D0D"/>
              </w:rPr>
            </w:pPr>
            <w:r w:rsidRPr="00413B6F">
              <w:rPr>
                <w:rFonts w:ascii="Calibri" w:eastAsia="Times New Roman" w:hAnsi="Calibri" w:cs="Calibri"/>
                <w:color w:val="0D0D0D"/>
              </w:rPr>
              <w:t>131,339</w:t>
            </w:r>
          </w:p>
        </w:tc>
      </w:tr>
      <w:tr w:rsidR="00051D7E" w:rsidRPr="00413B6F" w14:paraId="65D0F118" w14:textId="77777777" w:rsidTr="009014A7">
        <w:trPr>
          <w:trHeight w:val="68"/>
          <w:jc w:val="center"/>
        </w:trPr>
        <w:tc>
          <w:tcPr>
            <w:tcW w:w="6750" w:type="dxa"/>
            <w:tcBorders>
              <w:top w:val="nil"/>
              <w:left w:val="nil"/>
              <w:bottom w:val="nil"/>
              <w:right w:val="nil"/>
            </w:tcBorders>
            <w:shd w:val="clear" w:color="000000" w:fill="FFFFFF"/>
            <w:vAlign w:val="bottom"/>
            <w:hideMark/>
          </w:tcPr>
          <w:p w14:paraId="59F2432D" w14:textId="77777777" w:rsidR="00051D7E" w:rsidRPr="00413B6F" w:rsidRDefault="00051D7E" w:rsidP="007531FB">
            <w:pPr>
              <w:ind w:left="252"/>
              <w:rPr>
                <w:rFonts w:ascii="Calibri" w:eastAsia="Times New Roman" w:hAnsi="Calibri" w:cs="Calibri"/>
                <w:color w:val="0D0D0D"/>
              </w:rPr>
            </w:pPr>
            <w:r w:rsidRPr="00413B6F">
              <w:rPr>
                <w:rFonts w:ascii="Calibri" w:eastAsia="Times New Roman" w:hAnsi="Calibri" w:cs="Calibri"/>
                <w:color w:val="0D0D0D"/>
              </w:rPr>
              <w:t>Contributions – employer</w:t>
            </w:r>
          </w:p>
        </w:tc>
        <w:tc>
          <w:tcPr>
            <w:tcW w:w="1341" w:type="dxa"/>
            <w:tcBorders>
              <w:top w:val="nil"/>
              <w:left w:val="nil"/>
              <w:bottom w:val="nil"/>
              <w:right w:val="nil"/>
            </w:tcBorders>
            <w:shd w:val="clear" w:color="000000" w:fill="FFFFFF"/>
            <w:noWrap/>
            <w:vAlign w:val="bottom"/>
            <w:hideMark/>
          </w:tcPr>
          <w:p w14:paraId="3E07F7BB" w14:textId="5A9161DC" w:rsidR="00051D7E" w:rsidRPr="00653F35" w:rsidRDefault="00051D7E" w:rsidP="007531FB">
            <w:pPr>
              <w:jc w:val="right"/>
              <w:rPr>
                <w:rFonts w:ascii="Calibri" w:eastAsia="Times New Roman" w:hAnsi="Calibri" w:cs="Calibri"/>
              </w:rPr>
            </w:pPr>
            <w:r w:rsidRPr="00653F35">
              <w:rPr>
                <w:rFonts w:ascii="Calibri" w:hAnsi="Calibri" w:cs="Calibri"/>
              </w:rPr>
              <w:t xml:space="preserve">12,473 </w:t>
            </w:r>
          </w:p>
        </w:tc>
        <w:tc>
          <w:tcPr>
            <w:tcW w:w="1240" w:type="dxa"/>
            <w:tcBorders>
              <w:top w:val="nil"/>
              <w:left w:val="nil"/>
              <w:bottom w:val="nil"/>
              <w:right w:val="nil"/>
            </w:tcBorders>
            <w:shd w:val="clear" w:color="auto" w:fill="D9D9D9" w:themeFill="background1" w:themeFillShade="D9"/>
            <w:noWrap/>
            <w:vAlign w:val="bottom"/>
            <w:hideMark/>
          </w:tcPr>
          <w:p w14:paraId="52B7875E" w14:textId="77777777" w:rsidR="00051D7E" w:rsidRPr="00413B6F" w:rsidRDefault="00051D7E" w:rsidP="007531FB">
            <w:pPr>
              <w:jc w:val="right"/>
              <w:rPr>
                <w:rFonts w:ascii="Calibri" w:eastAsia="Times New Roman" w:hAnsi="Calibri" w:cs="Calibri"/>
                <w:color w:val="0D0D0D"/>
              </w:rPr>
            </w:pPr>
            <w:r w:rsidRPr="00413B6F">
              <w:rPr>
                <w:rFonts w:ascii="Calibri" w:eastAsia="Times New Roman" w:hAnsi="Calibri" w:cs="Calibri"/>
                <w:color w:val="0D0D0D"/>
              </w:rPr>
              <w:t>12,694</w:t>
            </w:r>
          </w:p>
        </w:tc>
      </w:tr>
      <w:tr w:rsidR="00051D7E" w:rsidRPr="00413B6F" w14:paraId="001DF58C" w14:textId="77777777" w:rsidTr="009014A7">
        <w:trPr>
          <w:trHeight w:val="72"/>
          <w:jc w:val="center"/>
        </w:trPr>
        <w:tc>
          <w:tcPr>
            <w:tcW w:w="6750" w:type="dxa"/>
            <w:tcBorders>
              <w:top w:val="nil"/>
              <w:left w:val="nil"/>
              <w:bottom w:val="nil"/>
              <w:right w:val="nil"/>
            </w:tcBorders>
            <w:shd w:val="clear" w:color="000000" w:fill="FFFFFF"/>
            <w:vAlign w:val="bottom"/>
            <w:hideMark/>
          </w:tcPr>
          <w:p w14:paraId="1BBE1EA8" w14:textId="77777777" w:rsidR="00051D7E" w:rsidRPr="00413B6F" w:rsidRDefault="00051D7E" w:rsidP="007531FB">
            <w:pPr>
              <w:ind w:left="252"/>
              <w:rPr>
                <w:rFonts w:ascii="Calibri" w:eastAsia="Times New Roman" w:hAnsi="Calibri" w:cs="Calibri"/>
                <w:color w:val="0D0D0D"/>
              </w:rPr>
            </w:pPr>
            <w:r w:rsidRPr="00413B6F">
              <w:rPr>
                <w:rFonts w:ascii="Calibri" w:eastAsia="Times New Roman" w:hAnsi="Calibri" w:cs="Calibri"/>
                <w:color w:val="0D0D0D"/>
              </w:rPr>
              <w:t>Net investment income</w:t>
            </w:r>
          </w:p>
        </w:tc>
        <w:tc>
          <w:tcPr>
            <w:tcW w:w="1341" w:type="dxa"/>
            <w:tcBorders>
              <w:top w:val="nil"/>
              <w:left w:val="nil"/>
              <w:bottom w:val="nil"/>
              <w:right w:val="nil"/>
            </w:tcBorders>
            <w:shd w:val="clear" w:color="000000" w:fill="FFFFFF"/>
            <w:noWrap/>
            <w:vAlign w:val="bottom"/>
            <w:hideMark/>
          </w:tcPr>
          <w:p w14:paraId="67AACCF3" w14:textId="16640E2A" w:rsidR="00051D7E" w:rsidRPr="00653F35" w:rsidRDefault="00051D7E" w:rsidP="007531FB">
            <w:pPr>
              <w:jc w:val="right"/>
              <w:rPr>
                <w:rFonts w:ascii="Calibri" w:eastAsia="Times New Roman" w:hAnsi="Calibri" w:cs="Calibri"/>
              </w:rPr>
            </w:pPr>
            <w:r w:rsidRPr="00653F35">
              <w:rPr>
                <w:rFonts w:ascii="Calibri" w:hAnsi="Calibri" w:cs="Calibri"/>
              </w:rPr>
              <w:t xml:space="preserve">37,389 </w:t>
            </w:r>
          </w:p>
        </w:tc>
        <w:tc>
          <w:tcPr>
            <w:tcW w:w="1240" w:type="dxa"/>
            <w:tcBorders>
              <w:top w:val="nil"/>
              <w:left w:val="nil"/>
              <w:bottom w:val="nil"/>
              <w:right w:val="nil"/>
            </w:tcBorders>
            <w:shd w:val="clear" w:color="auto" w:fill="D9D9D9" w:themeFill="background1" w:themeFillShade="D9"/>
            <w:noWrap/>
            <w:vAlign w:val="bottom"/>
            <w:hideMark/>
          </w:tcPr>
          <w:p w14:paraId="1E856FC7" w14:textId="77777777" w:rsidR="00051D7E" w:rsidRPr="00413B6F" w:rsidRDefault="00051D7E" w:rsidP="007531FB">
            <w:pPr>
              <w:jc w:val="right"/>
              <w:rPr>
                <w:rFonts w:ascii="Calibri" w:eastAsia="Times New Roman" w:hAnsi="Calibri" w:cs="Calibri"/>
                <w:color w:val="0D0D0D"/>
              </w:rPr>
            </w:pPr>
            <w:r w:rsidRPr="00413B6F">
              <w:rPr>
                <w:rFonts w:ascii="Calibri" w:eastAsia="Times New Roman" w:hAnsi="Calibri" w:cs="Calibri"/>
                <w:color w:val="0D0D0D"/>
              </w:rPr>
              <w:t>1,561</w:t>
            </w:r>
          </w:p>
        </w:tc>
      </w:tr>
      <w:tr w:rsidR="00051D7E" w:rsidRPr="00413B6F" w14:paraId="2173C786" w14:textId="77777777" w:rsidTr="009014A7">
        <w:trPr>
          <w:trHeight w:val="68"/>
          <w:jc w:val="center"/>
        </w:trPr>
        <w:tc>
          <w:tcPr>
            <w:tcW w:w="6750" w:type="dxa"/>
            <w:tcBorders>
              <w:top w:val="nil"/>
              <w:left w:val="nil"/>
              <w:bottom w:val="nil"/>
              <w:right w:val="nil"/>
            </w:tcBorders>
            <w:shd w:val="clear" w:color="000000" w:fill="FFFFFF"/>
            <w:vAlign w:val="bottom"/>
            <w:hideMark/>
          </w:tcPr>
          <w:p w14:paraId="18619D94" w14:textId="77777777" w:rsidR="00051D7E" w:rsidRPr="00413B6F" w:rsidRDefault="00051D7E" w:rsidP="007531FB">
            <w:pPr>
              <w:ind w:left="252"/>
              <w:rPr>
                <w:rFonts w:ascii="Calibri" w:eastAsia="Times New Roman" w:hAnsi="Calibri" w:cs="Calibri"/>
                <w:color w:val="0D0D0D"/>
              </w:rPr>
            </w:pPr>
            <w:r w:rsidRPr="00413B6F">
              <w:rPr>
                <w:rFonts w:ascii="Calibri" w:eastAsia="Times New Roman" w:hAnsi="Calibri" w:cs="Calibri"/>
                <w:color w:val="0D0D0D"/>
              </w:rPr>
              <w:t>Benefit payments</w:t>
            </w:r>
          </w:p>
        </w:tc>
        <w:tc>
          <w:tcPr>
            <w:tcW w:w="1341" w:type="dxa"/>
            <w:tcBorders>
              <w:top w:val="nil"/>
              <w:left w:val="nil"/>
              <w:bottom w:val="nil"/>
              <w:right w:val="nil"/>
            </w:tcBorders>
            <w:shd w:val="clear" w:color="000000" w:fill="FFFFFF"/>
            <w:noWrap/>
            <w:vAlign w:val="bottom"/>
            <w:hideMark/>
          </w:tcPr>
          <w:p w14:paraId="73E70690" w14:textId="1780218D" w:rsidR="00051D7E" w:rsidRPr="00653F35" w:rsidRDefault="00051D7E" w:rsidP="007531FB">
            <w:pPr>
              <w:jc w:val="right"/>
              <w:rPr>
                <w:rFonts w:ascii="Calibri" w:eastAsia="Times New Roman" w:hAnsi="Calibri" w:cs="Calibri"/>
              </w:rPr>
            </w:pPr>
            <w:r w:rsidRPr="00653F35">
              <w:rPr>
                <w:rFonts w:ascii="Calibri" w:hAnsi="Calibri" w:cs="Calibri"/>
              </w:rPr>
              <w:t xml:space="preserve"> (6,992)</w:t>
            </w:r>
          </w:p>
        </w:tc>
        <w:tc>
          <w:tcPr>
            <w:tcW w:w="1240" w:type="dxa"/>
            <w:tcBorders>
              <w:top w:val="nil"/>
              <w:left w:val="nil"/>
              <w:bottom w:val="nil"/>
              <w:right w:val="nil"/>
            </w:tcBorders>
            <w:shd w:val="clear" w:color="auto" w:fill="D9D9D9" w:themeFill="background1" w:themeFillShade="D9"/>
            <w:noWrap/>
            <w:vAlign w:val="bottom"/>
            <w:hideMark/>
          </w:tcPr>
          <w:p w14:paraId="00F3BBAF" w14:textId="77777777" w:rsidR="00051D7E" w:rsidRPr="00413B6F" w:rsidRDefault="00051D7E" w:rsidP="007531FB">
            <w:pPr>
              <w:jc w:val="right"/>
              <w:rPr>
                <w:rFonts w:ascii="Calibri" w:eastAsia="Times New Roman" w:hAnsi="Calibri" w:cs="Calibri"/>
                <w:color w:val="0D0D0D"/>
              </w:rPr>
            </w:pPr>
            <w:r w:rsidRPr="00413B6F">
              <w:rPr>
                <w:rFonts w:ascii="Calibri" w:eastAsia="Times New Roman" w:hAnsi="Calibri" w:cs="Calibri"/>
                <w:color w:val="0D0D0D"/>
              </w:rPr>
              <w:t>(8,194)</w:t>
            </w:r>
          </w:p>
        </w:tc>
      </w:tr>
      <w:tr w:rsidR="00051D7E" w:rsidRPr="00413B6F" w14:paraId="54AA7B3A" w14:textId="77777777" w:rsidTr="009014A7">
        <w:trPr>
          <w:trHeight w:val="62"/>
          <w:jc w:val="center"/>
        </w:trPr>
        <w:tc>
          <w:tcPr>
            <w:tcW w:w="6750" w:type="dxa"/>
            <w:tcBorders>
              <w:top w:val="single" w:sz="4" w:space="0" w:color="44546A"/>
              <w:left w:val="nil"/>
              <w:bottom w:val="single" w:sz="4" w:space="0" w:color="44546A"/>
              <w:right w:val="nil"/>
            </w:tcBorders>
            <w:shd w:val="clear" w:color="000000" w:fill="FFFFFF"/>
            <w:vAlign w:val="bottom"/>
            <w:hideMark/>
          </w:tcPr>
          <w:p w14:paraId="71BA13D4" w14:textId="77777777" w:rsidR="00051D7E" w:rsidRPr="00413B6F" w:rsidRDefault="00051D7E" w:rsidP="007531FB">
            <w:pPr>
              <w:rPr>
                <w:rFonts w:ascii="Calibri" w:eastAsia="Times New Roman" w:hAnsi="Calibri" w:cs="Calibri"/>
                <w:color w:val="0D0D0D"/>
              </w:rPr>
            </w:pPr>
            <w:r w:rsidRPr="00413B6F">
              <w:rPr>
                <w:rFonts w:ascii="Calibri" w:eastAsia="Times New Roman" w:hAnsi="Calibri" w:cs="Calibri"/>
                <w:color w:val="0D0D0D"/>
              </w:rPr>
              <w:t>Fiduciary net position – ending (b)</w:t>
            </w:r>
          </w:p>
        </w:tc>
        <w:tc>
          <w:tcPr>
            <w:tcW w:w="1341" w:type="dxa"/>
            <w:tcBorders>
              <w:top w:val="single" w:sz="4" w:space="0" w:color="44546A"/>
              <w:left w:val="nil"/>
              <w:bottom w:val="single" w:sz="4" w:space="0" w:color="44546A"/>
              <w:right w:val="nil"/>
            </w:tcBorders>
            <w:shd w:val="clear" w:color="000000" w:fill="FFFFFF"/>
            <w:noWrap/>
            <w:vAlign w:val="bottom"/>
            <w:hideMark/>
          </w:tcPr>
          <w:p w14:paraId="0A97A18B" w14:textId="77777777" w:rsidR="00051D7E" w:rsidRPr="00653F35" w:rsidRDefault="00051D7E" w:rsidP="007531FB">
            <w:pPr>
              <w:jc w:val="right"/>
              <w:rPr>
                <w:rFonts w:ascii="Calibri" w:eastAsia="Times New Roman" w:hAnsi="Calibri" w:cs="Calibri"/>
              </w:rPr>
            </w:pPr>
            <w:r w:rsidRPr="00653F35">
              <w:rPr>
                <w:rFonts w:ascii="Calibri" w:eastAsia="Times New Roman" w:hAnsi="Calibri" w:cs="Calibri"/>
              </w:rPr>
              <w:t>180,270</w:t>
            </w:r>
          </w:p>
        </w:tc>
        <w:tc>
          <w:tcPr>
            <w:tcW w:w="1240" w:type="dxa"/>
            <w:tcBorders>
              <w:top w:val="single" w:sz="4" w:space="0" w:color="44546A"/>
              <w:left w:val="nil"/>
              <w:bottom w:val="single" w:sz="4" w:space="0" w:color="44546A"/>
              <w:right w:val="nil"/>
            </w:tcBorders>
            <w:shd w:val="clear" w:color="auto" w:fill="D9D9D9" w:themeFill="background1" w:themeFillShade="D9"/>
            <w:noWrap/>
            <w:vAlign w:val="bottom"/>
            <w:hideMark/>
          </w:tcPr>
          <w:p w14:paraId="761D148E" w14:textId="77777777" w:rsidR="00051D7E" w:rsidRPr="00413B6F" w:rsidRDefault="00051D7E" w:rsidP="007531FB">
            <w:pPr>
              <w:jc w:val="right"/>
              <w:rPr>
                <w:rFonts w:ascii="Calibri" w:eastAsia="Times New Roman" w:hAnsi="Calibri" w:cs="Calibri"/>
                <w:color w:val="0D0D0D"/>
              </w:rPr>
            </w:pPr>
            <w:r w:rsidRPr="00413B6F">
              <w:rPr>
                <w:rFonts w:ascii="Calibri" w:eastAsia="Times New Roman" w:hAnsi="Calibri" w:cs="Calibri"/>
                <w:color w:val="0D0D0D"/>
              </w:rPr>
              <w:t>137,400</w:t>
            </w:r>
          </w:p>
        </w:tc>
      </w:tr>
      <w:tr w:rsidR="00051D7E" w:rsidRPr="00413B6F" w14:paraId="79CD6877" w14:textId="77777777" w:rsidTr="009014A7">
        <w:trPr>
          <w:trHeight w:val="58"/>
          <w:jc w:val="center"/>
        </w:trPr>
        <w:tc>
          <w:tcPr>
            <w:tcW w:w="6750" w:type="dxa"/>
            <w:tcBorders>
              <w:top w:val="nil"/>
              <w:left w:val="nil"/>
              <w:bottom w:val="double" w:sz="6" w:space="0" w:color="44546A"/>
              <w:right w:val="nil"/>
            </w:tcBorders>
            <w:shd w:val="clear" w:color="000000" w:fill="FFFFFF"/>
            <w:vAlign w:val="bottom"/>
            <w:hideMark/>
          </w:tcPr>
          <w:p w14:paraId="2B4652CA" w14:textId="7221E10E" w:rsidR="00051D7E" w:rsidRPr="00413B6F" w:rsidRDefault="00051D7E" w:rsidP="007531FB">
            <w:pPr>
              <w:spacing w:before="120"/>
              <w:rPr>
                <w:rFonts w:ascii="Calibri" w:eastAsia="Times New Roman" w:hAnsi="Calibri" w:cs="Calibri"/>
                <w:color w:val="0D0D0D"/>
              </w:rPr>
            </w:pPr>
            <w:r w:rsidRPr="00413B6F">
              <w:rPr>
                <w:rFonts w:ascii="Calibri" w:eastAsia="Times New Roman" w:hAnsi="Calibri" w:cs="Calibri"/>
                <w:color w:val="0D0D0D"/>
              </w:rPr>
              <w:t xml:space="preserve">Net OPEB liability </w:t>
            </w:r>
            <w:r w:rsidR="00FE1197">
              <w:rPr>
                <w:rFonts w:ascii="Calibri" w:eastAsia="Times New Roman" w:hAnsi="Calibri" w:cs="Calibri"/>
                <w:color w:val="0D0D0D"/>
              </w:rPr>
              <w:t>(asset)</w:t>
            </w:r>
            <w:r w:rsidRPr="00413B6F">
              <w:rPr>
                <w:rFonts w:ascii="Calibri" w:eastAsia="Times New Roman" w:hAnsi="Calibri" w:cs="Calibri"/>
                <w:color w:val="0D0D0D"/>
              </w:rPr>
              <w:t>– ending (a)-(b)</w:t>
            </w:r>
          </w:p>
        </w:tc>
        <w:tc>
          <w:tcPr>
            <w:tcW w:w="1341" w:type="dxa"/>
            <w:tcBorders>
              <w:top w:val="nil"/>
              <w:left w:val="nil"/>
              <w:bottom w:val="double" w:sz="6" w:space="0" w:color="44546A"/>
              <w:right w:val="nil"/>
            </w:tcBorders>
            <w:shd w:val="clear" w:color="000000" w:fill="FFFFFF"/>
            <w:noWrap/>
            <w:vAlign w:val="bottom"/>
            <w:hideMark/>
          </w:tcPr>
          <w:p w14:paraId="43E2C661" w14:textId="77777777" w:rsidR="00051D7E" w:rsidRPr="00653F35" w:rsidRDefault="00051D7E" w:rsidP="007531FB">
            <w:pPr>
              <w:spacing w:before="120"/>
              <w:jc w:val="right"/>
              <w:rPr>
                <w:rFonts w:ascii="Calibri" w:eastAsia="Times New Roman" w:hAnsi="Calibri" w:cs="Calibri"/>
              </w:rPr>
            </w:pPr>
            <w:r w:rsidRPr="00653F35">
              <w:rPr>
                <w:rFonts w:ascii="Calibri" w:eastAsia="Times New Roman" w:hAnsi="Calibri" w:cs="Calibri"/>
              </w:rPr>
              <w:t>$  (18,058)</w:t>
            </w:r>
          </w:p>
        </w:tc>
        <w:tc>
          <w:tcPr>
            <w:tcW w:w="1240" w:type="dxa"/>
            <w:tcBorders>
              <w:top w:val="nil"/>
              <w:left w:val="nil"/>
              <w:bottom w:val="double" w:sz="6" w:space="0" w:color="44546A"/>
              <w:right w:val="nil"/>
            </w:tcBorders>
            <w:shd w:val="clear" w:color="auto" w:fill="D9D9D9" w:themeFill="background1" w:themeFillShade="D9"/>
            <w:noWrap/>
            <w:vAlign w:val="bottom"/>
            <w:hideMark/>
          </w:tcPr>
          <w:p w14:paraId="6DE15D83" w14:textId="77777777" w:rsidR="00051D7E" w:rsidRPr="00413B6F" w:rsidRDefault="00051D7E" w:rsidP="007531FB">
            <w:pPr>
              <w:spacing w:before="120"/>
              <w:jc w:val="right"/>
              <w:rPr>
                <w:rFonts w:ascii="Calibri" w:eastAsia="Times New Roman" w:hAnsi="Calibri" w:cs="Calibri"/>
                <w:color w:val="0D0D0D"/>
              </w:rPr>
            </w:pPr>
            <w:r w:rsidRPr="00413B6F">
              <w:rPr>
                <w:rFonts w:ascii="Calibri" w:eastAsia="Times New Roman" w:hAnsi="Calibri" w:cs="Calibri"/>
                <w:color w:val="0D0D0D"/>
              </w:rPr>
              <w:t>$    76,031</w:t>
            </w:r>
          </w:p>
        </w:tc>
      </w:tr>
      <w:tr w:rsidR="00051D7E" w:rsidRPr="00413B6F" w14:paraId="1EAC80E2" w14:textId="77777777" w:rsidTr="009014A7">
        <w:trPr>
          <w:trHeight w:val="23"/>
          <w:jc w:val="center"/>
        </w:trPr>
        <w:tc>
          <w:tcPr>
            <w:tcW w:w="6750" w:type="dxa"/>
            <w:tcBorders>
              <w:top w:val="nil"/>
              <w:left w:val="nil"/>
              <w:bottom w:val="nil"/>
              <w:right w:val="nil"/>
            </w:tcBorders>
            <w:shd w:val="clear" w:color="000000" w:fill="FFFFFF"/>
            <w:vAlign w:val="bottom"/>
            <w:hideMark/>
          </w:tcPr>
          <w:p w14:paraId="582DA36D" w14:textId="18346A58" w:rsidR="00051D7E" w:rsidRPr="00413B6F" w:rsidRDefault="00051D7E" w:rsidP="007531FB">
            <w:pPr>
              <w:spacing w:before="120"/>
              <w:rPr>
                <w:rFonts w:ascii="Calibri" w:eastAsia="Times New Roman" w:hAnsi="Calibri" w:cs="Calibri"/>
                <w:color w:val="0D0D0D"/>
              </w:rPr>
            </w:pPr>
            <w:r w:rsidRPr="00413B6F">
              <w:rPr>
                <w:rFonts w:ascii="Calibri" w:eastAsia="Times New Roman" w:hAnsi="Calibri" w:cs="Calibri"/>
                <w:color w:val="0D0D0D"/>
              </w:rPr>
              <w:t>Plan fiduciary net position as a percentage of the total OPEB liability</w:t>
            </w:r>
            <w:r w:rsidR="00FE1197">
              <w:rPr>
                <w:rFonts w:ascii="Calibri" w:eastAsia="Times New Roman" w:hAnsi="Calibri" w:cs="Calibri"/>
                <w:color w:val="0D0D0D"/>
              </w:rPr>
              <w:t xml:space="preserve"> (asset)</w:t>
            </w:r>
          </w:p>
        </w:tc>
        <w:tc>
          <w:tcPr>
            <w:tcW w:w="1341" w:type="dxa"/>
            <w:tcBorders>
              <w:top w:val="nil"/>
              <w:left w:val="nil"/>
              <w:bottom w:val="nil"/>
              <w:right w:val="nil"/>
            </w:tcBorders>
            <w:shd w:val="clear" w:color="000000" w:fill="FFFFFF"/>
            <w:noWrap/>
            <w:vAlign w:val="bottom"/>
            <w:hideMark/>
          </w:tcPr>
          <w:p w14:paraId="69E372B9" w14:textId="77777777" w:rsidR="00051D7E" w:rsidRPr="00653F35" w:rsidRDefault="00051D7E" w:rsidP="007531FB">
            <w:pPr>
              <w:spacing w:before="120"/>
              <w:jc w:val="right"/>
              <w:rPr>
                <w:rFonts w:ascii="Calibri" w:eastAsia="Times New Roman" w:hAnsi="Calibri" w:cs="Calibri"/>
              </w:rPr>
            </w:pPr>
            <w:r w:rsidRPr="00653F35">
              <w:rPr>
                <w:rFonts w:ascii="Calibri" w:eastAsia="Times New Roman" w:hAnsi="Calibri" w:cs="Calibri"/>
              </w:rPr>
              <w:t>111.13%</w:t>
            </w:r>
          </w:p>
        </w:tc>
        <w:tc>
          <w:tcPr>
            <w:tcW w:w="1240" w:type="dxa"/>
            <w:tcBorders>
              <w:top w:val="nil"/>
              <w:left w:val="nil"/>
              <w:bottom w:val="nil"/>
              <w:right w:val="nil"/>
            </w:tcBorders>
            <w:shd w:val="clear" w:color="auto" w:fill="D9D9D9" w:themeFill="background1" w:themeFillShade="D9"/>
            <w:noWrap/>
            <w:vAlign w:val="bottom"/>
            <w:hideMark/>
          </w:tcPr>
          <w:p w14:paraId="55B51326" w14:textId="77777777" w:rsidR="00051D7E" w:rsidRPr="00413B6F" w:rsidRDefault="00051D7E" w:rsidP="007531FB">
            <w:pPr>
              <w:spacing w:before="120"/>
              <w:jc w:val="right"/>
              <w:rPr>
                <w:rFonts w:ascii="Calibri" w:eastAsia="Times New Roman" w:hAnsi="Calibri" w:cs="Calibri"/>
                <w:color w:val="0D0D0D"/>
              </w:rPr>
            </w:pPr>
            <w:r w:rsidRPr="00413B6F">
              <w:rPr>
                <w:rFonts w:ascii="Calibri" w:eastAsia="Times New Roman" w:hAnsi="Calibri" w:cs="Calibri"/>
                <w:color w:val="0D0D0D"/>
              </w:rPr>
              <w:t>64.38%</w:t>
            </w:r>
          </w:p>
        </w:tc>
      </w:tr>
      <w:tr w:rsidR="00051D7E" w:rsidRPr="00413B6F" w14:paraId="17BE2284" w14:textId="77777777" w:rsidTr="009014A7">
        <w:trPr>
          <w:trHeight w:val="68"/>
          <w:jc w:val="center"/>
        </w:trPr>
        <w:tc>
          <w:tcPr>
            <w:tcW w:w="6750" w:type="dxa"/>
            <w:tcBorders>
              <w:top w:val="nil"/>
              <w:left w:val="nil"/>
              <w:bottom w:val="nil"/>
              <w:right w:val="nil"/>
            </w:tcBorders>
            <w:shd w:val="clear" w:color="000000" w:fill="FFFFFF"/>
            <w:noWrap/>
            <w:vAlign w:val="bottom"/>
            <w:hideMark/>
          </w:tcPr>
          <w:p w14:paraId="5AD91D0A" w14:textId="77777777" w:rsidR="00051D7E" w:rsidRPr="00413B6F" w:rsidRDefault="00051D7E" w:rsidP="007531FB">
            <w:pPr>
              <w:spacing w:before="120"/>
              <w:rPr>
                <w:rFonts w:ascii="Calibri" w:eastAsia="Times New Roman" w:hAnsi="Calibri" w:cs="Calibri"/>
                <w:color w:val="0D0D0D"/>
              </w:rPr>
            </w:pPr>
            <w:r w:rsidRPr="00413B6F">
              <w:rPr>
                <w:rFonts w:ascii="Calibri" w:eastAsia="Times New Roman" w:hAnsi="Calibri" w:cs="Calibri"/>
                <w:color w:val="0D0D0D"/>
              </w:rPr>
              <w:t>Covered payroll</w:t>
            </w:r>
          </w:p>
        </w:tc>
        <w:tc>
          <w:tcPr>
            <w:tcW w:w="1341" w:type="dxa"/>
            <w:tcBorders>
              <w:top w:val="nil"/>
              <w:left w:val="nil"/>
              <w:bottom w:val="nil"/>
              <w:right w:val="nil"/>
            </w:tcBorders>
            <w:shd w:val="clear" w:color="000000" w:fill="FFFFFF"/>
            <w:noWrap/>
            <w:vAlign w:val="bottom"/>
            <w:hideMark/>
          </w:tcPr>
          <w:p w14:paraId="563BF8A6" w14:textId="77777777" w:rsidR="00051D7E" w:rsidRPr="00653F35" w:rsidRDefault="00051D7E" w:rsidP="007531FB">
            <w:pPr>
              <w:spacing w:before="120"/>
              <w:jc w:val="right"/>
              <w:rPr>
                <w:rFonts w:ascii="Calibri" w:eastAsia="Times New Roman" w:hAnsi="Calibri" w:cs="Calibri"/>
              </w:rPr>
            </w:pPr>
            <w:r w:rsidRPr="00653F35">
              <w:rPr>
                <w:rFonts w:ascii="Calibri" w:eastAsia="Times New Roman" w:hAnsi="Calibri" w:cs="Calibri"/>
              </w:rPr>
              <w:t>$  258,827</w:t>
            </w:r>
          </w:p>
        </w:tc>
        <w:tc>
          <w:tcPr>
            <w:tcW w:w="1240" w:type="dxa"/>
            <w:tcBorders>
              <w:top w:val="nil"/>
              <w:left w:val="nil"/>
              <w:bottom w:val="nil"/>
              <w:right w:val="nil"/>
            </w:tcBorders>
            <w:shd w:val="clear" w:color="auto" w:fill="D9D9D9" w:themeFill="background1" w:themeFillShade="D9"/>
            <w:noWrap/>
            <w:vAlign w:val="bottom"/>
            <w:hideMark/>
          </w:tcPr>
          <w:p w14:paraId="55BEE759" w14:textId="77777777" w:rsidR="00051D7E" w:rsidRPr="00413B6F" w:rsidRDefault="00051D7E" w:rsidP="007531FB">
            <w:pPr>
              <w:spacing w:before="120"/>
              <w:jc w:val="right"/>
              <w:rPr>
                <w:rFonts w:ascii="Calibri" w:eastAsia="Times New Roman" w:hAnsi="Calibri" w:cs="Calibri"/>
                <w:color w:val="0D0D0D"/>
              </w:rPr>
            </w:pPr>
            <w:r w:rsidRPr="00413B6F">
              <w:rPr>
                <w:rFonts w:ascii="Calibri" w:eastAsia="Times New Roman" w:hAnsi="Calibri" w:cs="Calibri"/>
                <w:color w:val="0D0D0D"/>
              </w:rPr>
              <w:t>$  241,501</w:t>
            </w:r>
          </w:p>
        </w:tc>
      </w:tr>
      <w:tr w:rsidR="00051D7E" w:rsidRPr="00413B6F" w14:paraId="248C83A7" w14:textId="77777777" w:rsidTr="009014A7">
        <w:trPr>
          <w:trHeight w:val="99"/>
          <w:jc w:val="center"/>
        </w:trPr>
        <w:tc>
          <w:tcPr>
            <w:tcW w:w="6750" w:type="dxa"/>
            <w:tcBorders>
              <w:top w:val="nil"/>
              <w:left w:val="nil"/>
              <w:bottom w:val="nil"/>
              <w:right w:val="nil"/>
            </w:tcBorders>
            <w:shd w:val="clear" w:color="000000" w:fill="FFFFFF"/>
            <w:vAlign w:val="bottom"/>
            <w:hideMark/>
          </w:tcPr>
          <w:p w14:paraId="743EEBFB" w14:textId="7327B4FF" w:rsidR="00051D7E" w:rsidRPr="00413B6F" w:rsidRDefault="00051D7E" w:rsidP="007531FB">
            <w:pPr>
              <w:spacing w:before="120"/>
              <w:rPr>
                <w:rFonts w:ascii="Calibri" w:eastAsia="Times New Roman" w:hAnsi="Calibri" w:cs="Calibri"/>
                <w:color w:val="0D0D0D"/>
              </w:rPr>
            </w:pPr>
            <w:r w:rsidRPr="00413B6F">
              <w:rPr>
                <w:rFonts w:ascii="Calibri" w:eastAsia="Times New Roman" w:hAnsi="Calibri" w:cs="Calibri"/>
                <w:color w:val="0D0D0D"/>
              </w:rPr>
              <w:t>Net OPEB liability</w:t>
            </w:r>
            <w:r w:rsidR="008571B6">
              <w:rPr>
                <w:rFonts w:ascii="Calibri" w:eastAsia="Times New Roman" w:hAnsi="Calibri" w:cs="Calibri"/>
                <w:color w:val="0D0D0D"/>
              </w:rPr>
              <w:t xml:space="preserve"> (asset)</w:t>
            </w:r>
            <w:r w:rsidRPr="00413B6F">
              <w:rPr>
                <w:rFonts w:ascii="Calibri" w:eastAsia="Times New Roman" w:hAnsi="Calibri" w:cs="Calibri"/>
                <w:color w:val="0D0D0D"/>
              </w:rPr>
              <w:t xml:space="preserve"> as a percentage of covered employee payroll</w:t>
            </w:r>
          </w:p>
        </w:tc>
        <w:tc>
          <w:tcPr>
            <w:tcW w:w="1341" w:type="dxa"/>
            <w:tcBorders>
              <w:top w:val="nil"/>
              <w:left w:val="nil"/>
              <w:bottom w:val="nil"/>
              <w:right w:val="nil"/>
            </w:tcBorders>
            <w:shd w:val="clear" w:color="000000" w:fill="FFFFFF"/>
            <w:noWrap/>
            <w:vAlign w:val="bottom"/>
            <w:hideMark/>
          </w:tcPr>
          <w:p w14:paraId="2CEFE7B5" w14:textId="77777777" w:rsidR="00051D7E" w:rsidRPr="00653F35" w:rsidRDefault="00051D7E" w:rsidP="007531FB">
            <w:pPr>
              <w:spacing w:before="120"/>
              <w:jc w:val="right"/>
              <w:rPr>
                <w:rFonts w:ascii="Calibri" w:eastAsia="Times New Roman" w:hAnsi="Calibri" w:cs="Calibri"/>
              </w:rPr>
            </w:pPr>
            <w:r w:rsidRPr="00653F35">
              <w:rPr>
                <w:rFonts w:ascii="Calibri" w:eastAsia="Times New Roman" w:hAnsi="Calibri" w:cs="Calibri"/>
              </w:rPr>
              <w:t>-6.98%</w:t>
            </w:r>
          </w:p>
        </w:tc>
        <w:tc>
          <w:tcPr>
            <w:tcW w:w="1240" w:type="dxa"/>
            <w:tcBorders>
              <w:top w:val="nil"/>
              <w:left w:val="nil"/>
              <w:bottom w:val="nil"/>
              <w:right w:val="nil"/>
            </w:tcBorders>
            <w:shd w:val="clear" w:color="auto" w:fill="D9D9D9" w:themeFill="background1" w:themeFillShade="D9"/>
            <w:noWrap/>
            <w:vAlign w:val="bottom"/>
            <w:hideMark/>
          </w:tcPr>
          <w:p w14:paraId="0A98D769" w14:textId="77777777" w:rsidR="00051D7E" w:rsidRPr="00413B6F" w:rsidRDefault="00051D7E" w:rsidP="007531FB">
            <w:pPr>
              <w:spacing w:before="120"/>
              <w:jc w:val="right"/>
              <w:rPr>
                <w:rFonts w:ascii="Calibri" w:eastAsia="Times New Roman" w:hAnsi="Calibri" w:cs="Calibri"/>
                <w:color w:val="0D0D0D"/>
              </w:rPr>
            </w:pPr>
            <w:r w:rsidRPr="00413B6F">
              <w:rPr>
                <w:rFonts w:ascii="Calibri" w:eastAsia="Times New Roman" w:hAnsi="Calibri" w:cs="Calibri"/>
                <w:color w:val="0D0D0D"/>
              </w:rPr>
              <w:t>31.48%</w:t>
            </w:r>
          </w:p>
        </w:tc>
      </w:tr>
      <w:tr w:rsidR="00051D7E" w:rsidRPr="00413B6F" w14:paraId="25C93631" w14:textId="77777777" w:rsidTr="009014A7">
        <w:trPr>
          <w:trHeight w:val="108"/>
          <w:jc w:val="center"/>
        </w:trPr>
        <w:tc>
          <w:tcPr>
            <w:tcW w:w="6750" w:type="dxa"/>
            <w:tcBorders>
              <w:top w:val="nil"/>
              <w:left w:val="nil"/>
              <w:bottom w:val="nil"/>
              <w:right w:val="nil"/>
            </w:tcBorders>
            <w:shd w:val="clear" w:color="000000" w:fill="FFFFFF"/>
            <w:vAlign w:val="bottom"/>
            <w:hideMark/>
          </w:tcPr>
          <w:p w14:paraId="3DA37376" w14:textId="77777777" w:rsidR="00051D7E" w:rsidRPr="00413B6F" w:rsidRDefault="00051D7E" w:rsidP="007531FB">
            <w:pPr>
              <w:spacing w:before="120"/>
              <w:rPr>
                <w:rFonts w:ascii="Calibri" w:eastAsia="Times New Roman" w:hAnsi="Calibri" w:cs="Calibri"/>
                <w:color w:val="0D0D0D"/>
              </w:rPr>
            </w:pPr>
            <w:r w:rsidRPr="00413B6F">
              <w:rPr>
                <w:rFonts w:ascii="Calibri" w:eastAsia="Times New Roman" w:hAnsi="Calibri" w:cs="Calibri"/>
                <w:color w:val="0D0D0D"/>
              </w:rPr>
              <w:t>Contributions as a percentage of covered payroll</w:t>
            </w:r>
          </w:p>
        </w:tc>
        <w:tc>
          <w:tcPr>
            <w:tcW w:w="1341" w:type="dxa"/>
            <w:tcBorders>
              <w:top w:val="nil"/>
              <w:left w:val="nil"/>
              <w:bottom w:val="nil"/>
              <w:right w:val="nil"/>
            </w:tcBorders>
            <w:shd w:val="clear" w:color="000000" w:fill="FFFFFF"/>
            <w:noWrap/>
            <w:vAlign w:val="bottom"/>
            <w:hideMark/>
          </w:tcPr>
          <w:p w14:paraId="42914EE2" w14:textId="77777777" w:rsidR="00051D7E" w:rsidRPr="00653F35" w:rsidRDefault="00051D7E" w:rsidP="007531FB">
            <w:pPr>
              <w:spacing w:before="120"/>
              <w:jc w:val="right"/>
              <w:rPr>
                <w:rFonts w:ascii="Calibri" w:eastAsia="Times New Roman" w:hAnsi="Calibri" w:cs="Calibri"/>
              </w:rPr>
            </w:pPr>
            <w:r w:rsidRPr="00653F35">
              <w:rPr>
                <w:rFonts w:ascii="Calibri" w:eastAsia="Times New Roman" w:hAnsi="Calibri" w:cs="Calibri"/>
              </w:rPr>
              <w:t>4.82%</w:t>
            </w:r>
          </w:p>
        </w:tc>
        <w:tc>
          <w:tcPr>
            <w:tcW w:w="1240" w:type="dxa"/>
            <w:tcBorders>
              <w:top w:val="nil"/>
              <w:left w:val="nil"/>
              <w:bottom w:val="nil"/>
              <w:right w:val="nil"/>
            </w:tcBorders>
            <w:shd w:val="clear" w:color="auto" w:fill="D9D9D9" w:themeFill="background1" w:themeFillShade="D9"/>
            <w:noWrap/>
            <w:vAlign w:val="bottom"/>
            <w:hideMark/>
          </w:tcPr>
          <w:p w14:paraId="5B8C05D9" w14:textId="77777777" w:rsidR="00051D7E" w:rsidRPr="00413B6F" w:rsidRDefault="00051D7E" w:rsidP="007531FB">
            <w:pPr>
              <w:spacing w:before="120"/>
              <w:jc w:val="right"/>
              <w:rPr>
                <w:rFonts w:ascii="Calibri" w:eastAsia="Times New Roman" w:hAnsi="Calibri" w:cs="Calibri"/>
                <w:color w:val="0D0D0D"/>
              </w:rPr>
            </w:pPr>
            <w:r w:rsidRPr="00413B6F">
              <w:rPr>
                <w:rFonts w:ascii="Calibri" w:eastAsia="Times New Roman" w:hAnsi="Calibri" w:cs="Calibri"/>
                <w:color w:val="0D0D0D"/>
              </w:rPr>
              <w:t>5.26%</w:t>
            </w:r>
          </w:p>
        </w:tc>
      </w:tr>
      <w:tr w:rsidR="00051D7E" w:rsidRPr="00413B6F" w14:paraId="17EB9F4D" w14:textId="77777777" w:rsidTr="009014A7">
        <w:trPr>
          <w:trHeight w:val="99"/>
          <w:jc w:val="center"/>
        </w:trPr>
        <w:tc>
          <w:tcPr>
            <w:tcW w:w="6750" w:type="dxa"/>
            <w:tcBorders>
              <w:top w:val="nil"/>
              <w:left w:val="nil"/>
              <w:bottom w:val="nil"/>
              <w:right w:val="nil"/>
            </w:tcBorders>
            <w:shd w:val="clear" w:color="000000" w:fill="FFFFFF"/>
            <w:noWrap/>
            <w:vAlign w:val="bottom"/>
            <w:hideMark/>
          </w:tcPr>
          <w:p w14:paraId="3330BFE8" w14:textId="77777777" w:rsidR="00051D7E" w:rsidRPr="00413B6F" w:rsidRDefault="00051D7E" w:rsidP="007531FB">
            <w:pPr>
              <w:spacing w:before="120"/>
              <w:rPr>
                <w:rFonts w:ascii="Calibri" w:eastAsia="Times New Roman" w:hAnsi="Calibri" w:cs="Calibri"/>
                <w:color w:val="0D0D0D"/>
              </w:rPr>
            </w:pPr>
            <w:r w:rsidRPr="00413B6F">
              <w:rPr>
                <w:rFonts w:ascii="Calibri" w:eastAsia="Times New Roman" w:hAnsi="Calibri" w:cs="Calibri"/>
                <w:color w:val="0D0D0D"/>
              </w:rPr>
              <w:t>Plan assets measured at fair value</w:t>
            </w:r>
          </w:p>
        </w:tc>
        <w:tc>
          <w:tcPr>
            <w:tcW w:w="1341" w:type="dxa"/>
            <w:tcBorders>
              <w:top w:val="nil"/>
              <w:left w:val="nil"/>
              <w:bottom w:val="nil"/>
              <w:right w:val="nil"/>
            </w:tcBorders>
            <w:shd w:val="clear" w:color="000000" w:fill="FFFFFF"/>
            <w:noWrap/>
            <w:vAlign w:val="bottom"/>
            <w:hideMark/>
          </w:tcPr>
          <w:p w14:paraId="703EF368" w14:textId="77777777" w:rsidR="00051D7E" w:rsidRPr="00653F35" w:rsidRDefault="00051D7E" w:rsidP="007531FB">
            <w:pPr>
              <w:spacing w:before="120"/>
              <w:jc w:val="right"/>
              <w:rPr>
                <w:rFonts w:ascii="Calibri" w:eastAsia="Times New Roman" w:hAnsi="Calibri" w:cs="Calibri"/>
              </w:rPr>
            </w:pPr>
            <w:r w:rsidRPr="00653F35">
              <w:rPr>
                <w:rFonts w:ascii="Calibri" w:eastAsia="Times New Roman" w:hAnsi="Calibri" w:cs="Calibri"/>
              </w:rPr>
              <w:t>$  180,270</w:t>
            </w:r>
          </w:p>
        </w:tc>
        <w:tc>
          <w:tcPr>
            <w:tcW w:w="1240" w:type="dxa"/>
            <w:tcBorders>
              <w:top w:val="nil"/>
              <w:left w:val="nil"/>
              <w:bottom w:val="nil"/>
              <w:right w:val="nil"/>
            </w:tcBorders>
            <w:shd w:val="clear" w:color="auto" w:fill="D9D9D9" w:themeFill="background1" w:themeFillShade="D9"/>
            <w:noWrap/>
            <w:vAlign w:val="bottom"/>
            <w:hideMark/>
          </w:tcPr>
          <w:p w14:paraId="3A0CCB9A" w14:textId="77777777" w:rsidR="00051D7E" w:rsidRPr="00413B6F" w:rsidRDefault="00051D7E" w:rsidP="007531FB">
            <w:pPr>
              <w:spacing w:before="120"/>
              <w:jc w:val="right"/>
              <w:rPr>
                <w:rFonts w:ascii="Calibri" w:eastAsia="Times New Roman" w:hAnsi="Calibri" w:cs="Calibri"/>
                <w:color w:val="0D0D0D"/>
              </w:rPr>
            </w:pPr>
            <w:r w:rsidRPr="00413B6F">
              <w:rPr>
                <w:rFonts w:ascii="Calibri" w:eastAsia="Times New Roman" w:hAnsi="Calibri" w:cs="Calibri"/>
                <w:color w:val="0D0D0D"/>
              </w:rPr>
              <w:t xml:space="preserve">  </w:t>
            </w:r>
            <w:r>
              <w:rPr>
                <w:rFonts w:ascii="Calibri" w:eastAsia="Times New Roman" w:hAnsi="Calibri" w:cs="Calibri"/>
                <w:color w:val="0D0D0D"/>
              </w:rPr>
              <w:t xml:space="preserve">$ </w:t>
            </w:r>
            <w:r w:rsidRPr="00413B6F">
              <w:rPr>
                <w:rFonts w:ascii="Calibri" w:eastAsia="Times New Roman" w:hAnsi="Calibri" w:cs="Calibri"/>
                <w:color w:val="0D0D0D"/>
              </w:rPr>
              <w:t>137,400</w:t>
            </w:r>
          </w:p>
        </w:tc>
      </w:tr>
    </w:tbl>
    <w:p w14:paraId="454B03F8" w14:textId="77777777" w:rsidR="00051D7E" w:rsidRPr="00F54559" w:rsidRDefault="00051D7E" w:rsidP="00051D7E">
      <w:pPr>
        <w:tabs>
          <w:tab w:val="left" w:pos="900"/>
        </w:tabs>
        <w:spacing w:before="120" w:after="120"/>
        <w:ind w:right="-7"/>
        <w:rPr>
          <w:rFonts w:eastAsiaTheme="majorEastAsia" w:cstheme="minorHAnsi"/>
          <w:b/>
          <w:i/>
          <w:iCs/>
          <w:smallCaps/>
          <w:noProof/>
          <w:color w:val="000000" w:themeColor="text1"/>
          <w:sz w:val="32"/>
          <w:szCs w:val="28"/>
          <w:u w:color="5B9BD5"/>
        </w:rPr>
      </w:pPr>
      <w:r w:rsidRPr="00F54559">
        <w:rPr>
          <w:rFonts w:cstheme="minorHAnsi"/>
        </w:rPr>
        <w:br w:type="page"/>
      </w:r>
    </w:p>
    <w:p w14:paraId="69E4275E" w14:textId="77777777" w:rsidR="00051D7E" w:rsidRPr="00F54559" w:rsidRDefault="00051D7E" w:rsidP="00051D7E">
      <w:pPr>
        <w:pStyle w:val="AFR2"/>
        <w:rPr>
          <w:rFonts w:cstheme="minorHAnsi"/>
          <w:sz w:val="26"/>
          <w:szCs w:val="26"/>
        </w:rPr>
      </w:pPr>
      <w:r w:rsidRPr="00F54559">
        <w:rPr>
          <w:rFonts w:cstheme="minorHAnsi"/>
          <w:sz w:val="26"/>
          <w:szCs w:val="26"/>
        </w:rPr>
        <w:lastRenderedPageBreak/>
        <w:t>15. DEFERRED OUTFLOWS OF RESOURCES AND DEFERRED INFLOWS OF RESOURCES</w:t>
      </w:r>
    </w:p>
    <w:p w14:paraId="70C73F06" w14:textId="77777777" w:rsidR="00051D7E" w:rsidRDefault="00051D7E" w:rsidP="00051D7E">
      <w:pPr>
        <w:tabs>
          <w:tab w:val="left" w:pos="900"/>
        </w:tabs>
        <w:spacing w:before="120" w:after="120"/>
        <w:ind w:right="-7"/>
        <w:rPr>
          <w:rFonts w:cstheme="minorHAnsi"/>
          <w:sz w:val="24"/>
        </w:rPr>
      </w:pPr>
      <w:r w:rsidRPr="00F54559">
        <w:rPr>
          <w:rFonts w:cstheme="minorHAnsi"/>
          <w:sz w:val="24"/>
        </w:rPr>
        <w:t>The composition of deferred outflows and inflows of resources at June 30 is summarized as follows:</w:t>
      </w:r>
      <w:r w:rsidRPr="00396223">
        <w:rPr>
          <w:rFonts w:cstheme="minorHAnsi"/>
          <w:sz w:val="24"/>
        </w:rPr>
        <w:t xml:space="preserve"> </w:t>
      </w:r>
      <w:r w:rsidRPr="00396223">
        <w:rPr>
          <w:noProof/>
        </w:rPr>
        <w:drawing>
          <wp:inline distT="0" distB="0" distL="0" distR="0" wp14:anchorId="3698D89B" wp14:editId="11B5203D">
            <wp:extent cx="5943600" cy="2903508"/>
            <wp:effectExtent l="0" t="0" r="0" b="0"/>
            <wp:docPr id="47" name="Picture 47" descr="2021      &#10;Pension Liability OPEB Deferred Amount on Debt Refunding Irrevocable Split-Interest Agreements Service Concession &#10;Arrangement Total&#10;Deferred outflows of resources  $2,662   $11,514   $3,460   $-   $-   $17,636 &#10;Deferred inflows of resources  $1,916   $51,094   $-   $847   $4,708   $58,565 &#10;2020      &#10; &quot;Pension&#10;Liability&quot; OPEB &quot;Deferred&#10;Amount&#10;on Debt&#10;Refunding&quot; &quot;Irrevocable &#10;Split-Interest &#10;Agreements&quot; &quot;Service &#10;Concession &#10;Arrangement&quot; Total&#10;Deferred outflows of resources  $3,019   $24,649   $3,739   $-   $-   $31,407 &#10;Deferred inflows of resources  $1,068   $29,004   $-   $1,765   $4,721   $36,5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2903508"/>
                    </a:xfrm>
                    <a:prstGeom prst="rect">
                      <a:avLst/>
                    </a:prstGeom>
                    <a:noFill/>
                    <a:ln>
                      <a:noFill/>
                    </a:ln>
                  </pic:spPr>
                </pic:pic>
              </a:graphicData>
            </a:graphic>
          </wp:inline>
        </w:drawing>
      </w:r>
    </w:p>
    <w:p w14:paraId="26C9CF61" w14:textId="77777777" w:rsidR="00051D7E" w:rsidRDefault="00051D7E" w:rsidP="00051D7E">
      <w:pPr>
        <w:tabs>
          <w:tab w:val="left" w:pos="900"/>
        </w:tabs>
        <w:spacing w:before="240" w:after="240"/>
        <w:ind w:right="-7"/>
        <w:rPr>
          <w:rFonts w:cstheme="minorHAnsi"/>
          <w:sz w:val="24"/>
        </w:rPr>
      </w:pPr>
      <w:r w:rsidRPr="00F54559">
        <w:rPr>
          <w:rFonts w:cstheme="minorHAnsi"/>
          <w:sz w:val="24"/>
        </w:rPr>
        <w:t>Deferred outflows of resources and deferred inflows of resources for pensions and OPEB were related to the following sources for the year ended June 30:</w:t>
      </w:r>
    </w:p>
    <w:p w14:paraId="27257C01" w14:textId="77777777" w:rsidR="00051D7E" w:rsidRDefault="00051D7E" w:rsidP="00051D7E">
      <w:pPr>
        <w:tabs>
          <w:tab w:val="left" w:pos="900"/>
        </w:tabs>
        <w:spacing w:before="240"/>
        <w:ind w:right="-7"/>
        <w:jc w:val="center"/>
        <w:rPr>
          <w:rFonts w:ascii="Calibri" w:eastAsia="Times New Roman" w:hAnsi="Calibri" w:cs="Calibri"/>
          <w:b/>
          <w:bCs/>
          <w:color w:val="0D0D0D"/>
        </w:rPr>
      </w:pPr>
      <w:r w:rsidRPr="008D0420">
        <w:rPr>
          <w:rFonts w:ascii="Calibri" w:eastAsia="Times New Roman" w:hAnsi="Calibri" w:cs="Calibri"/>
          <w:b/>
          <w:bCs/>
          <w:color w:val="0D0D0D"/>
        </w:rPr>
        <w:t>202</w:t>
      </w:r>
      <w:r>
        <w:rPr>
          <w:rFonts w:ascii="Calibri" w:eastAsia="Times New Roman" w:hAnsi="Calibri" w:cs="Calibri"/>
          <w:b/>
          <w:bCs/>
          <w:color w:val="0D0D0D"/>
        </w:rPr>
        <w:t>1</w:t>
      </w:r>
    </w:p>
    <w:tbl>
      <w:tblPr>
        <w:tblW w:w="9429" w:type="dxa"/>
        <w:tblLook w:val="04A0" w:firstRow="1" w:lastRow="0" w:firstColumn="1" w:lastColumn="0" w:noHBand="0" w:noVBand="1"/>
      </w:tblPr>
      <w:tblGrid>
        <w:gridCol w:w="5183"/>
        <w:gridCol w:w="1230"/>
        <w:gridCol w:w="1040"/>
        <w:gridCol w:w="936"/>
        <w:gridCol w:w="1153"/>
      </w:tblGrid>
      <w:tr w:rsidR="00051D7E" w:rsidRPr="008D0420" w14:paraId="209DBA73" w14:textId="77777777" w:rsidTr="00DC0936">
        <w:trPr>
          <w:trHeight w:val="888"/>
          <w:tblHeader/>
        </w:trPr>
        <w:tc>
          <w:tcPr>
            <w:tcW w:w="5183" w:type="dxa"/>
            <w:tcBorders>
              <w:top w:val="single" w:sz="12" w:space="0" w:color="00688D"/>
              <w:left w:val="nil"/>
              <w:bottom w:val="single" w:sz="8" w:space="0" w:color="00688D"/>
              <w:right w:val="nil"/>
            </w:tcBorders>
            <w:shd w:val="clear" w:color="000000" w:fill="FFFFFF"/>
            <w:noWrap/>
            <w:vAlign w:val="bottom"/>
            <w:hideMark/>
          </w:tcPr>
          <w:p w14:paraId="6412FBF1" w14:textId="77777777" w:rsidR="00051D7E" w:rsidRPr="008D0420" w:rsidRDefault="00051D7E" w:rsidP="007531FB">
            <w:pPr>
              <w:jc w:val="center"/>
              <w:rPr>
                <w:rFonts w:ascii="Calibri" w:eastAsia="Times New Roman" w:hAnsi="Calibri" w:cs="Calibri"/>
                <w:b/>
                <w:bCs/>
                <w:color w:val="0D0D0D"/>
              </w:rPr>
            </w:pPr>
            <w:r w:rsidRPr="008D0420">
              <w:rPr>
                <w:rFonts w:ascii="Calibri" w:eastAsia="Times New Roman" w:hAnsi="Calibri" w:cs="Calibri"/>
                <w:b/>
                <w:bCs/>
                <w:color w:val="0D0D0D"/>
              </w:rPr>
              <w:t> </w:t>
            </w:r>
          </w:p>
        </w:tc>
        <w:tc>
          <w:tcPr>
            <w:tcW w:w="1117" w:type="dxa"/>
            <w:tcBorders>
              <w:top w:val="single" w:sz="12" w:space="0" w:color="00688D"/>
              <w:left w:val="nil"/>
              <w:bottom w:val="single" w:sz="8" w:space="0" w:color="00688D"/>
              <w:right w:val="nil"/>
            </w:tcBorders>
            <w:shd w:val="clear" w:color="000000" w:fill="FFFFFF"/>
            <w:vAlign w:val="bottom"/>
            <w:hideMark/>
          </w:tcPr>
          <w:p w14:paraId="475834A0" w14:textId="77777777" w:rsidR="00051D7E" w:rsidRPr="003000BB" w:rsidRDefault="00051D7E" w:rsidP="007531FB">
            <w:pPr>
              <w:jc w:val="center"/>
              <w:rPr>
                <w:rFonts w:ascii="Calibri" w:eastAsia="Times New Roman" w:hAnsi="Calibri" w:cs="Calibri"/>
                <w:bCs/>
                <w:color w:val="0D0D0D"/>
              </w:rPr>
            </w:pPr>
            <w:r w:rsidRPr="003000BB">
              <w:rPr>
                <w:rFonts w:ascii="Calibri" w:eastAsia="Times New Roman" w:hAnsi="Calibri" w:cs="Calibri"/>
                <w:bCs/>
                <w:color w:val="0D0D0D"/>
              </w:rPr>
              <w:t>Incentive Retirement Plan</w:t>
            </w:r>
          </w:p>
        </w:tc>
        <w:tc>
          <w:tcPr>
            <w:tcW w:w="1040" w:type="dxa"/>
            <w:tcBorders>
              <w:top w:val="single" w:sz="12" w:space="0" w:color="00688D"/>
              <w:left w:val="nil"/>
              <w:bottom w:val="single" w:sz="8" w:space="0" w:color="00688D"/>
              <w:right w:val="nil"/>
            </w:tcBorders>
            <w:shd w:val="clear" w:color="000000" w:fill="FFFFFF"/>
            <w:vAlign w:val="bottom"/>
            <w:hideMark/>
          </w:tcPr>
          <w:p w14:paraId="1DE7C36E" w14:textId="77777777" w:rsidR="00051D7E" w:rsidRPr="003000BB" w:rsidRDefault="00051D7E" w:rsidP="007531FB">
            <w:pPr>
              <w:jc w:val="center"/>
              <w:rPr>
                <w:rFonts w:ascii="Calibri" w:eastAsia="Times New Roman" w:hAnsi="Calibri" w:cs="Calibri"/>
                <w:bCs/>
                <w:color w:val="0D0D0D"/>
              </w:rPr>
            </w:pPr>
            <w:r w:rsidRPr="003000BB">
              <w:rPr>
                <w:rFonts w:ascii="Calibri" w:eastAsia="Times New Roman" w:hAnsi="Calibri" w:cs="Calibri"/>
                <w:bCs/>
                <w:color w:val="0D0D0D"/>
              </w:rPr>
              <w:t>Defined Benefit Plan</w:t>
            </w:r>
          </w:p>
        </w:tc>
        <w:tc>
          <w:tcPr>
            <w:tcW w:w="936" w:type="dxa"/>
            <w:tcBorders>
              <w:top w:val="single" w:sz="12" w:space="0" w:color="00688D"/>
              <w:left w:val="nil"/>
              <w:bottom w:val="single" w:sz="8" w:space="0" w:color="00688D"/>
              <w:right w:val="nil"/>
            </w:tcBorders>
            <w:shd w:val="clear" w:color="000000" w:fill="FFFFFF"/>
            <w:vAlign w:val="bottom"/>
            <w:hideMark/>
          </w:tcPr>
          <w:p w14:paraId="5F411C9D" w14:textId="77777777" w:rsidR="00051D7E" w:rsidRPr="003000BB" w:rsidRDefault="00051D7E" w:rsidP="007531FB">
            <w:pPr>
              <w:jc w:val="center"/>
              <w:rPr>
                <w:rFonts w:ascii="Calibri" w:eastAsia="Times New Roman" w:hAnsi="Calibri" w:cs="Calibri"/>
                <w:bCs/>
                <w:color w:val="0D0D0D"/>
              </w:rPr>
            </w:pPr>
            <w:r w:rsidRPr="003000BB">
              <w:rPr>
                <w:rFonts w:ascii="Calibri" w:eastAsia="Times New Roman" w:hAnsi="Calibri" w:cs="Calibri"/>
                <w:bCs/>
                <w:color w:val="0D0D0D"/>
              </w:rPr>
              <w:t xml:space="preserve">Total Pension </w:t>
            </w:r>
          </w:p>
        </w:tc>
        <w:tc>
          <w:tcPr>
            <w:tcW w:w="1153" w:type="dxa"/>
            <w:tcBorders>
              <w:top w:val="single" w:sz="12" w:space="0" w:color="00688D"/>
              <w:left w:val="nil"/>
              <w:bottom w:val="single" w:sz="8" w:space="0" w:color="00688D"/>
              <w:right w:val="nil"/>
            </w:tcBorders>
            <w:shd w:val="clear" w:color="000000" w:fill="FFFFFF"/>
            <w:vAlign w:val="bottom"/>
            <w:hideMark/>
          </w:tcPr>
          <w:p w14:paraId="5FF3A214" w14:textId="77777777" w:rsidR="00051D7E" w:rsidRPr="003000BB" w:rsidRDefault="00051D7E" w:rsidP="007531FB">
            <w:pPr>
              <w:jc w:val="center"/>
              <w:rPr>
                <w:rFonts w:ascii="Calibri" w:eastAsia="Times New Roman" w:hAnsi="Calibri" w:cs="Calibri"/>
                <w:bCs/>
                <w:color w:val="0D0D0D"/>
              </w:rPr>
            </w:pPr>
            <w:r w:rsidRPr="003000BB">
              <w:rPr>
                <w:rFonts w:ascii="Calibri" w:eastAsia="Times New Roman" w:hAnsi="Calibri" w:cs="Calibri"/>
                <w:bCs/>
                <w:color w:val="0D0D0D"/>
              </w:rPr>
              <w:t xml:space="preserve">OPEB </w:t>
            </w:r>
          </w:p>
        </w:tc>
      </w:tr>
      <w:tr w:rsidR="00051D7E" w:rsidRPr="008D0420" w14:paraId="2BB80505" w14:textId="77777777" w:rsidTr="00DC0936">
        <w:trPr>
          <w:trHeight w:val="288"/>
        </w:trPr>
        <w:tc>
          <w:tcPr>
            <w:tcW w:w="5183" w:type="dxa"/>
            <w:tcBorders>
              <w:top w:val="nil"/>
              <w:left w:val="nil"/>
              <w:bottom w:val="nil"/>
              <w:right w:val="nil"/>
            </w:tcBorders>
            <w:shd w:val="clear" w:color="000000" w:fill="FFFFFF"/>
            <w:noWrap/>
            <w:vAlign w:val="bottom"/>
            <w:hideMark/>
          </w:tcPr>
          <w:p w14:paraId="5E0697CE"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Deferred outflows of resources</w:t>
            </w:r>
          </w:p>
        </w:tc>
        <w:tc>
          <w:tcPr>
            <w:tcW w:w="1117" w:type="dxa"/>
            <w:tcBorders>
              <w:top w:val="nil"/>
              <w:left w:val="nil"/>
              <w:bottom w:val="nil"/>
              <w:right w:val="nil"/>
            </w:tcBorders>
            <w:shd w:val="clear" w:color="000000" w:fill="FFFFFF"/>
            <w:noWrap/>
            <w:vAlign w:val="bottom"/>
            <w:hideMark/>
          </w:tcPr>
          <w:p w14:paraId="3DFAA55C"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 </w:t>
            </w:r>
          </w:p>
        </w:tc>
        <w:tc>
          <w:tcPr>
            <w:tcW w:w="1040" w:type="dxa"/>
            <w:tcBorders>
              <w:top w:val="nil"/>
              <w:left w:val="nil"/>
              <w:bottom w:val="nil"/>
              <w:right w:val="nil"/>
            </w:tcBorders>
            <w:shd w:val="clear" w:color="000000" w:fill="FFFFFF"/>
            <w:noWrap/>
            <w:vAlign w:val="bottom"/>
            <w:hideMark/>
          </w:tcPr>
          <w:p w14:paraId="53A686FF"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 </w:t>
            </w:r>
          </w:p>
        </w:tc>
        <w:tc>
          <w:tcPr>
            <w:tcW w:w="936" w:type="dxa"/>
            <w:tcBorders>
              <w:top w:val="nil"/>
              <w:left w:val="nil"/>
              <w:bottom w:val="nil"/>
              <w:right w:val="nil"/>
            </w:tcBorders>
            <w:shd w:val="clear" w:color="000000" w:fill="FFFFFF"/>
            <w:noWrap/>
            <w:vAlign w:val="bottom"/>
            <w:hideMark/>
          </w:tcPr>
          <w:p w14:paraId="3695D6E7"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 </w:t>
            </w:r>
          </w:p>
        </w:tc>
        <w:tc>
          <w:tcPr>
            <w:tcW w:w="1153" w:type="dxa"/>
            <w:tcBorders>
              <w:top w:val="nil"/>
              <w:left w:val="nil"/>
              <w:bottom w:val="nil"/>
              <w:right w:val="nil"/>
            </w:tcBorders>
            <w:shd w:val="clear" w:color="000000" w:fill="FFFFFF"/>
            <w:noWrap/>
            <w:vAlign w:val="bottom"/>
            <w:hideMark/>
          </w:tcPr>
          <w:p w14:paraId="2D6235D5"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 </w:t>
            </w:r>
          </w:p>
        </w:tc>
      </w:tr>
      <w:tr w:rsidR="00051D7E" w:rsidRPr="008D0420" w14:paraId="1FA52CBF" w14:textId="77777777" w:rsidTr="00DC0936">
        <w:trPr>
          <w:trHeight w:val="288"/>
        </w:trPr>
        <w:tc>
          <w:tcPr>
            <w:tcW w:w="5183" w:type="dxa"/>
            <w:tcBorders>
              <w:top w:val="nil"/>
              <w:left w:val="nil"/>
              <w:bottom w:val="nil"/>
              <w:right w:val="nil"/>
            </w:tcBorders>
            <w:shd w:val="clear" w:color="000000" w:fill="FFFFFF"/>
            <w:noWrap/>
            <w:vAlign w:val="bottom"/>
            <w:hideMark/>
          </w:tcPr>
          <w:p w14:paraId="4DA56616" w14:textId="77777777" w:rsidR="00051D7E" w:rsidRPr="008D0420" w:rsidRDefault="00051D7E" w:rsidP="007531FB">
            <w:pPr>
              <w:ind w:leftChars="106" w:left="251" w:hangingChars="8" w:hanging="18"/>
              <w:rPr>
                <w:rFonts w:ascii="Calibri" w:eastAsia="Times New Roman" w:hAnsi="Calibri" w:cs="Calibri"/>
                <w:color w:val="0D0D0D"/>
              </w:rPr>
            </w:pPr>
            <w:r w:rsidRPr="008D0420">
              <w:rPr>
                <w:rFonts w:ascii="Calibri" w:eastAsia="Times New Roman" w:hAnsi="Calibri" w:cs="Calibri"/>
                <w:color w:val="0D0D0D"/>
              </w:rPr>
              <w:t>Changes of assumption or other inputs</w:t>
            </w:r>
          </w:p>
        </w:tc>
        <w:tc>
          <w:tcPr>
            <w:tcW w:w="1117" w:type="dxa"/>
            <w:tcBorders>
              <w:top w:val="nil"/>
              <w:left w:val="nil"/>
              <w:bottom w:val="nil"/>
              <w:right w:val="nil"/>
            </w:tcBorders>
            <w:shd w:val="clear" w:color="000000" w:fill="FFFFFF"/>
            <w:noWrap/>
            <w:vAlign w:val="bottom"/>
            <w:hideMark/>
          </w:tcPr>
          <w:p w14:paraId="5D4A2897" w14:textId="29346282"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$1,560</w:t>
            </w:r>
          </w:p>
        </w:tc>
        <w:tc>
          <w:tcPr>
            <w:tcW w:w="1040" w:type="dxa"/>
            <w:tcBorders>
              <w:top w:val="nil"/>
              <w:left w:val="nil"/>
              <w:bottom w:val="nil"/>
              <w:right w:val="nil"/>
            </w:tcBorders>
            <w:shd w:val="clear" w:color="000000" w:fill="FFFFFF"/>
            <w:noWrap/>
            <w:vAlign w:val="bottom"/>
            <w:hideMark/>
          </w:tcPr>
          <w:p w14:paraId="01041774"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w:t>
            </w:r>
          </w:p>
        </w:tc>
        <w:tc>
          <w:tcPr>
            <w:tcW w:w="936" w:type="dxa"/>
            <w:tcBorders>
              <w:top w:val="nil"/>
              <w:left w:val="nil"/>
              <w:bottom w:val="nil"/>
              <w:right w:val="nil"/>
            </w:tcBorders>
            <w:shd w:val="clear" w:color="000000" w:fill="FFFFFF"/>
            <w:noWrap/>
            <w:vAlign w:val="bottom"/>
            <w:hideMark/>
          </w:tcPr>
          <w:p w14:paraId="15047484"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1,</w:t>
            </w:r>
            <w:r>
              <w:rPr>
                <w:rFonts w:ascii="Calibri" w:eastAsia="Times New Roman" w:hAnsi="Calibri" w:cs="Calibri"/>
                <w:color w:val="0D0D0D"/>
              </w:rPr>
              <w:t>560</w:t>
            </w:r>
          </w:p>
        </w:tc>
        <w:tc>
          <w:tcPr>
            <w:tcW w:w="1153" w:type="dxa"/>
            <w:tcBorders>
              <w:top w:val="nil"/>
              <w:left w:val="nil"/>
              <w:bottom w:val="nil"/>
              <w:right w:val="nil"/>
            </w:tcBorders>
            <w:shd w:val="clear" w:color="000000" w:fill="FFFFFF"/>
            <w:noWrap/>
            <w:vAlign w:val="bottom"/>
            <w:hideMark/>
          </w:tcPr>
          <w:p w14:paraId="66F6A858"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r>
              <w:rPr>
                <w:rFonts w:ascii="Calibri" w:eastAsia="Times New Roman" w:hAnsi="Calibri" w:cs="Calibri"/>
                <w:color w:val="0D0D0D"/>
              </w:rPr>
              <w:t>11,514</w:t>
            </w:r>
          </w:p>
        </w:tc>
      </w:tr>
      <w:tr w:rsidR="00051D7E" w:rsidRPr="008D0420" w14:paraId="11CBEE72" w14:textId="77777777" w:rsidTr="00DC0936">
        <w:trPr>
          <w:trHeight w:val="144"/>
        </w:trPr>
        <w:tc>
          <w:tcPr>
            <w:tcW w:w="5183" w:type="dxa"/>
            <w:tcBorders>
              <w:top w:val="nil"/>
              <w:left w:val="nil"/>
              <w:bottom w:val="nil"/>
              <w:right w:val="nil"/>
            </w:tcBorders>
            <w:shd w:val="clear" w:color="000000" w:fill="FFFFFF"/>
            <w:vAlign w:val="bottom"/>
            <w:hideMark/>
          </w:tcPr>
          <w:p w14:paraId="1EB2656B" w14:textId="77777777" w:rsidR="00051D7E" w:rsidRPr="008D0420" w:rsidRDefault="00051D7E" w:rsidP="007531FB">
            <w:pPr>
              <w:ind w:leftChars="106" w:left="251" w:hangingChars="8" w:hanging="18"/>
              <w:rPr>
                <w:rFonts w:ascii="Calibri" w:eastAsia="Times New Roman" w:hAnsi="Calibri" w:cs="Calibri"/>
                <w:color w:val="0D0D0D"/>
              </w:rPr>
            </w:pPr>
            <w:r w:rsidRPr="008D0420">
              <w:rPr>
                <w:rFonts w:ascii="Calibri" w:eastAsia="Times New Roman" w:hAnsi="Calibri" w:cs="Calibri"/>
                <w:color w:val="0D0D0D"/>
              </w:rPr>
              <w:t>Difference between expected and actual experience</w:t>
            </w:r>
          </w:p>
        </w:tc>
        <w:tc>
          <w:tcPr>
            <w:tcW w:w="1117" w:type="dxa"/>
            <w:tcBorders>
              <w:top w:val="nil"/>
              <w:left w:val="nil"/>
              <w:bottom w:val="nil"/>
              <w:right w:val="nil"/>
            </w:tcBorders>
            <w:shd w:val="clear" w:color="000000" w:fill="FFFFFF"/>
            <w:noWrap/>
            <w:vAlign w:val="bottom"/>
            <w:hideMark/>
          </w:tcPr>
          <w:p w14:paraId="3CE97F08"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1,102</w:t>
            </w:r>
          </w:p>
        </w:tc>
        <w:tc>
          <w:tcPr>
            <w:tcW w:w="1040" w:type="dxa"/>
            <w:tcBorders>
              <w:top w:val="nil"/>
              <w:left w:val="nil"/>
              <w:bottom w:val="nil"/>
              <w:right w:val="nil"/>
            </w:tcBorders>
            <w:shd w:val="clear" w:color="000000" w:fill="FFFFFF"/>
            <w:noWrap/>
            <w:vAlign w:val="bottom"/>
            <w:hideMark/>
          </w:tcPr>
          <w:p w14:paraId="64BB227B"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c>
          <w:tcPr>
            <w:tcW w:w="936" w:type="dxa"/>
            <w:tcBorders>
              <w:top w:val="nil"/>
              <w:left w:val="nil"/>
              <w:bottom w:val="nil"/>
              <w:right w:val="nil"/>
            </w:tcBorders>
            <w:shd w:val="clear" w:color="000000" w:fill="FFFFFF"/>
            <w:noWrap/>
            <w:vAlign w:val="bottom"/>
            <w:hideMark/>
          </w:tcPr>
          <w:p w14:paraId="7A26BAF2"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1,102</w:t>
            </w:r>
          </w:p>
        </w:tc>
        <w:tc>
          <w:tcPr>
            <w:tcW w:w="1153" w:type="dxa"/>
            <w:tcBorders>
              <w:top w:val="nil"/>
              <w:left w:val="nil"/>
              <w:bottom w:val="nil"/>
              <w:right w:val="nil"/>
            </w:tcBorders>
            <w:shd w:val="clear" w:color="000000" w:fill="FFFFFF"/>
            <w:noWrap/>
            <w:vAlign w:val="bottom"/>
            <w:hideMark/>
          </w:tcPr>
          <w:p w14:paraId="3ADED631"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r>
      <w:tr w:rsidR="00051D7E" w:rsidRPr="008D0420" w14:paraId="1A5AC3DF" w14:textId="77777777" w:rsidTr="00DC0936">
        <w:trPr>
          <w:trHeight w:val="288"/>
        </w:trPr>
        <w:tc>
          <w:tcPr>
            <w:tcW w:w="5183" w:type="dxa"/>
            <w:tcBorders>
              <w:top w:val="single" w:sz="4" w:space="0" w:color="00688D"/>
              <w:left w:val="nil"/>
              <w:bottom w:val="single" w:sz="4" w:space="0" w:color="00688D"/>
              <w:right w:val="nil"/>
            </w:tcBorders>
            <w:shd w:val="clear" w:color="000000" w:fill="FFFFFF"/>
            <w:noWrap/>
            <w:vAlign w:val="bottom"/>
            <w:hideMark/>
          </w:tcPr>
          <w:p w14:paraId="57873A51" w14:textId="77777777" w:rsidR="00051D7E" w:rsidRPr="008D0420" w:rsidRDefault="00051D7E" w:rsidP="007531FB">
            <w:pPr>
              <w:ind w:firstLineChars="200" w:firstLine="440"/>
              <w:rPr>
                <w:rFonts w:ascii="Calibri" w:eastAsia="Times New Roman" w:hAnsi="Calibri" w:cs="Calibri"/>
                <w:color w:val="0D0D0D"/>
              </w:rPr>
            </w:pPr>
            <w:r w:rsidRPr="008D0420">
              <w:rPr>
                <w:rFonts w:ascii="Calibri" w:eastAsia="Times New Roman" w:hAnsi="Calibri" w:cs="Calibri"/>
                <w:color w:val="0D0D0D"/>
              </w:rPr>
              <w:t>Total deferred outflows of resources</w:t>
            </w:r>
          </w:p>
        </w:tc>
        <w:tc>
          <w:tcPr>
            <w:tcW w:w="1117" w:type="dxa"/>
            <w:tcBorders>
              <w:top w:val="single" w:sz="4" w:space="0" w:color="00688D"/>
              <w:left w:val="nil"/>
              <w:bottom w:val="single" w:sz="4" w:space="0" w:color="00688D"/>
              <w:right w:val="nil"/>
            </w:tcBorders>
            <w:shd w:val="clear" w:color="000000" w:fill="FFFFFF"/>
            <w:noWrap/>
            <w:vAlign w:val="bottom"/>
            <w:hideMark/>
          </w:tcPr>
          <w:p w14:paraId="79D52A63"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2,</w:t>
            </w:r>
            <w:r>
              <w:rPr>
                <w:rFonts w:ascii="Calibri" w:eastAsia="Times New Roman" w:hAnsi="Calibri" w:cs="Calibri"/>
                <w:color w:val="0D0D0D"/>
              </w:rPr>
              <w:t>66</w:t>
            </w:r>
            <w:r w:rsidRPr="008D0420">
              <w:rPr>
                <w:rFonts w:ascii="Calibri" w:eastAsia="Times New Roman" w:hAnsi="Calibri" w:cs="Calibri"/>
                <w:color w:val="0D0D0D"/>
              </w:rPr>
              <w:t>2</w:t>
            </w:r>
          </w:p>
        </w:tc>
        <w:tc>
          <w:tcPr>
            <w:tcW w:w="1040" w:type="dxa"/>
            <w:tcBorders>
              <w:top w:val="single" w:sz="4" w:space="0" w:color="00688D"/>
              <w:left w:val="nil"/>
              <w:bottom w:val="single" w:sz="4" w:space="0" w:color="00688D"/>
              <w:right w:val="nil"/>
            </w:tcBorders>
            <w:shd w:val="clear" w:color="000000" w:fill="FFFFFF"/>
            <w:noWrap/>
            <w:vAlign w:val="bottom"/>
            <w:hideMark/>
          </w:tcPr>
          <w:p w14:paraId="01C80690"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c>
          <w:tcPr>
            <w:tcW w:w="936" w:type="dxa"/>
            <w:tcBorders>
              <w:top w:val="single" w:sz="4" w:space="0" w:color="00688D"/>
              <w:left w:val="nil"/>
              <w:bottom w:val="single" w:sz="4" w:space="0" w:color="00688D"/>
              <w:right w:val="nil"/>
            </w:tcBorders>
            <w:shd w:val="clear" w:color="000000" w:fill="FFFFFF"/>
            <w:noWrap/>
            <w:vAlign w:val="bottom"/>
            <w:hideMark/>
          </w:tcPr>
          <w:p w14:paraId="71B079AF"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2,662</w:t>
            </w:r>
          </w:p>
        </w:tc>
        <w:tc>
          <w:tcPr>
            <w:tcW w:w="1153" w:type="dxa"/>
            <w:tcBorders>
              <w:top w:val="single" w:sz="4" w:space="0" w:color="00688D"/>
              <w:left w:val="nil"/>
              <w:bottom w:val="single" w:sz="4" w:space="0" w:color="00688D"/>
              <w:right w:val="nil"/>
            </w:tcBorders>
            <w:shd w:val="clear" w:color="000000" w:fill="FFFFFF"/>
            <w:noWrap/>
            <w:vAlign w:val="bottom"/>
            <w:hideMark/>
          </w:tcPr>
          <w:p w14:paraId="1A391156"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11,514</w:t>
            </w:r>
          </w:p>
        </w:tc>
      </w:tr>
      <w:tr w:rsidR="00051D7E" w:rsidRPr="008D0420" w14:paraId="42772586" w14:textId="77777777" w:rsidTr="00DC0936">
        <w:trPr>
          <w:trHeight w:val="288"/>
        </w:trPr>
        <w:tc>
          <w:tcPr>
            <w:tcW w:w="5183" w:type="dxa"/>
            <w:tcBorders>
              <w:top w:val="nil"/>
              <w:left w:val="nil"/>
              <w:bottom w:val="nil"/>
              <w:right w:val="nil"/>
            </w:tcBorders>
            <w:shd w:val="clear" w:color="000000" w:fill="FFFFFF"/>
            <w:noWrap/>
            <w:vAlign w:val="bottom"/>
            <w:hideMark/>
          </w:tcPr>
          <w:p w14:paraId="2718FB42"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Deferred inflows of resources</w:t>
            </w:r>
          </w:p>
        </w:tc>
        <w:tc>
          <w:tcPr>
            <w:tcW w:w="1117" w:type="dxa"/>
            <w:tcBorders>
              <w:top w:val="nil"/>
              <w:left w:val="nil"/>
              <w:bottom w:val="nil"/>
              <w:right w:val="nil"/>
            </w:tcBorders>
            <w:shd w:val="clear" w:color="000000" w:fill="FFFFFF"/>
            <w:noWrap/>
            <w:vAlign w:val="bottom"/>
            <w:hideMark/>
          </w:tcPr>
          <w:p w14:paraId="046BE421"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w:t>
            </w:r>
          </w:p>
        </w:tc>
        <w:tc>
          <w:tcPr>
            <w:tcW w:w="1040" w:type="dxa"/>
            <w:tcBorders>
              <w:top w:val="nil"/>
              <w:left w:val="nil"/>
              <w:bottom w:val="nil"/>
              <w:right w:val="nil"/>
            </w:tcBorders>
            <w:shd w:val="clear" w:color="000000" w:fill="FFFFFF"/>
            <w:noWrap/>
            <w:vAlign w:val="bottom"/>
            <w:hideMark/>
          </w:tcPr>
          <w:p w14:paraId="3A1B6E9A"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w:t>
            </w:r>
          </w:p>
        </w:tc>
        <w:tc>
          <w:tcPr>
            <w:tcW w:w="936" w:type="dxa"/>
            <w:tcBorders>
              <w:top w:val="nil"/>
              <w:left w:val="nil"/>
              <w:bottom w:val="nil"/>
              <w:right w:val="nil"/>
            </w:tcBorders>
            <w:shd w:val="clear" w:color="000000" w:fill="FFFFFF"/>
            <w:noWrap/>
            <w:vAlign w:val="bottom"/>
            <w:hideMark/>
          </w:tcPr>
          <w:p w14:paraId="496ECEA8"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w:t>
            </w:r>
          </w:p>
        </w:tc>
        <w:tc>
          <w:tcPr>
            <w:tcW w:w="1153" w:type="dxa"/>
            <w:tcBorders>
              <w:top w:val="nil"/>
              <w:left w:val="nil"/>
              <w:bottom w:val="nil"/>
              <w:right w:val="nil"/>
            </w:tcBorders>
            <w:shd w:val="clear" w:color="000000" w:fill="FFFFFF"/>
            <w:noWrap/>
            <w:vAlign w:val="bottom"/>
            <w:hideMark/>
          </w:tcPr>
          <w:p w14:paraId="3AFACC29"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w:t>
            </w:r>
          </w:p>
        </w:tc>
      </w:tr>
      <w:tr w:rsidR="00051D7E" w:rsidRPr="008D0420" w14:paraId="61D1CB0C" w14:textId="77777777" w:rsidTr="00DC0936">
        <w:trPr>
          <w:trHeight w:val="288"/>
        </w:trPr>
        <w:tc>
          <w:tcPr>
            <w:tcW w:w="5183" w:type="dxa"/>
            <w:tcBorders>
              <w:top w:val="nil"/>
              <w:left w:val="nil"/>
              <w:bottom w:val="nil"/>
              <w:right w:val="nil"/>
            </w:tcBorders>
            <w:shd w:val="clear" w:color="000000" w:fill="FFFFFF"/>
            <w:noWrap/>
            <w:vAlign w:val="bottom"/>
            <w:hideMark/>
          </w:tcPr>
          <w:p w14:paraId="6FE75D58" w14:textId="77777777" w:rsidR="00051D7E" w:rsidRPr="008D0420" w:rsidRDefault="00051D7E" w:rsidP="007531FB">
            <w:pPr>
              <w:ind w:firstLineChars="76" w:firstLine="167"/>
              <w:rPr>
                <w:rFonts w:ascii="Calibri" w:eastAsia="Times New Roman" w:hAnsi="Calibri" w:cs="Calibri"/>
                <w:color w:val="0D0D0D"/>
              </w:rPr>
            </w:pPr>
            <w:r w:rsidRPr="008D0420">
              <w:rPr>
                <w:rFonts w:ascii="Calibri" w:eastAsia="Times New Roman" w:hAnsi="Calibri" w:cs="Calibri"/>
                <w:color w:val="0D0D0D"/>
              </w:rPr>
              <w:t>Changes of assumption or other inputs</w:t>
            </w:r>
          </w:p>
        </w:tc>
        <w:tc>
          <w:tcPr>
            <w:tcW w:w="1117" w:type="dxa"/>
            <w:tcBorders>
              <w:top w:val="nil"/>
              <w:left w:val="nil"/>
              <w:bottom w:val="nil"/>
              <w:right w:val="nil"/>
            </w:tcBorders>
            <w:shd w:val="clear" w:color="000000" w:fill="FFFFFF"/>
            <w:noWrap/>
            <w:vAlign w:val="bottom"/>
            <w:hideMark/>
          </w:tcPr>
          <w:p w14:paraId="19F4E6BE"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296</w:t>
            </w:r>
          </w:p>
        </w:tc>
        <w:tc>
          <w:tcPr>
            <w:tcW w:w="1040" w:type="dxa"/>
            <w:tcBorders>
              <w:top w:val="nil"/>
              <w:left w:val="nil"/>
              <w:bottom w:val="nil"/>
              <w:right w:val="nil"/>
            </w:tcBorders>
            <w:shd w:val="clear" w:color="000000" w:fill="FFFFFF"/>
            <w:noWrap/>
            <w:vAlign w:val="bottom"/>
            <w:hideMark/>
          </w:tcPr>
          <w:p w14:paraId="6344BE8B"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c>
          <w:tcPr>
            <w:tcW w:w="936" w:type="dxa"/>
            <w:tcBorders>
              <w:top w:val="nil"/>
              <w:left w:val="nil"/>
              <w:bottom w:val="nil"/>
              <w:right w:val="nil"/>
            </w:tcBorders>
            <w:shd w:val="clear" w:color="000000" w:fill="FFFFFF"/>
            <w:noWrap/>
            <w:vAlign w:val="bottom"/>
            <w:hideMark/>
          </w:tcPr>
          <w:p w14:paraId="5F4ECB30"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296</w:t>
            </w:r>
          </w:p>
        </w:tc>
        <w:tc>
          <w:tcPr>
            <w:tcW w:w="1153" w:type="dxa"/>
            <w:tcBorders>
              <w:top w:val="nil"/>
              <w:left w:val="nil"/>
              <w:bottom w:val="nil"/>
              <w:right w:val="nil"/>
            </w:tcBorders>
            <w:shd w:val="clear" w:color="000000" w:fill="FFFFFF"/>
            <w:noWrap/>
            <w:vAlign w:val="bottom"/>
            <w:hideMark/>
          </w:tcPr>
          <w:p w14:paraId="6CD5D178"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7,287</w:t>
            </w:r>
          </w:p>
        </w:tc>
      </w:tr>
      <w:tr w:rsidR="00051D7E" w:rsidRPr="008D0420" w14:paraId="7A130CA8" w14:textId="77777777" w:rsidTr="00DC0936">
        <w:trPr>
          <w:trHeight w:val="306"/>
        </w:trPr>
        <w:tc>
          <w:tcPr>
            <w:tcW w:w="5183" w:type="dxa"/>
            <w:tcBorders>
              <w:top w:val="nil"/>
              <w:left w:val="nil"/>
              <w:bottom w:val="nil"/>
              <w:right w:val="nil"/>
            </w:tcBorders>
            <w:shd w:val="clear" w:color="000000" w:fill="FFFFFF"/>
            <w:vAlign w:val="bottom"/>
            <w:hideMark/>
          </w:tcPr>
          <w:p w14:paraId="48677F46" w14:textId="77777777" w:rsidR="00051D7E" w:rsidRPr="008D0420" w:rsidRDefault="00051D7E" w:rsidP="007531FB">
            <w:pPr>
              <w:ind w:firstLineChars="76" w:firstLine="167"/>
              <w:rPr>
                <w:rFonts w:ascii="Calibri" w:eastAsia="Times New Roman" w:hAnsi="Calibri" w:cs="Calibri"/>
                <w:color w:val="0D0D0D"/>
              </w:rPr>
            </w:pPr>
            <w:r w:rsidRPr="008D0420">
              <w:rPr>
                <w:rFonts w:ascii="Calibri" w:eastAsia="Times New Roman" w:hAnsi="Calibri" w:cs="Calibri"/>
                <w:color w:val="0D0D0D"/>
              </w:rPr>
              <w:t>Difference between expected and actual experience</w:t>
            </w:r>
          </w:p>
        </w:tc>
        <w:tc>
          <w:tcPr>
            <w:tcW w:w="1117" w:type="dxa"/>
            <w:tcBorders>
              <w:top w:val="nil"/>
              <w:left w:val="nil"/>
              <w:bottom w:val="nil"/>
              <w:right w:val="nil"/>
            </w:tcBorders>
            <w:shd w:val="clear" w:color="000000" w:fill="FFFFFF"/>
            <w:noWrap/>
            <w:vAlign w:val="bottom"/>
            <w:hideMark/>
          </w:tcPr>
          <w:p w14:paraId="458A7A32"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401</w:t>
            </w:r>
          </w:p>
        </w:tc>
        <w:tc>
          <w:tcPr>
            <w:tcW w:w="1040" w:type="dxa"/>
            <w:tcBorders>
              <w:top w:val="nil"/>
              <w:left w:val="nil"/>
              <w:bottom w:val="nil"/>
              <w:right w:val="nil"/>
            </w:tcBorders>
            <w:shd w:val="clear" w:color="000000" w:fill="FFFFFF"/>
            <w:noWrap/>
            <w:vAlign w:val="bottom"/>
            <w:hideMark/>
          </w:tcPr>
          <w:p w14:paraId="6C7E9ADD"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1,219</w:t>
            </w:r>
          </w:p>
        </w:tc>
        <w:tc>
          <w:tcPr>
            <w:tcW w:w="936" w:type="dxa"/>
            <w:tcBorders>
              <w:top w:val="nil"/>
              <w:left w:val="nil"/>
              <w:bottom w:val="nil"/>
              <w:right w:val="nil"/>
            </w:tcBorders>
            <w:shd w:val="clear" w:color="000000" w:fill="FFFFFF"/>
            <w:noWrap/>
            <w:vAlign w:val="bottom"/>
            <w:hideMark/>
          </w:tcPr>
          <w:p w14:paraId="50081429"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1,620</w:t>
            </w:r>
          </w:p>
        </w:tc>
        <w:tc>
          <w:tcPr>
            <w:tcW w:w="1153" w:type="dxa"/>
            <w:tcBorders>
              <w:top w:val="nil"/>
              <w:left w:val="nil"/>
              <w:bottom w:val="nil"/>
              <w:right w:val="nil"/>
            </w:tcBorders>
            <w:shd w:val="clear" w:color="000000" w:fill="FFFFFF"/>
            <w:noWrap/>
            <w:vAlign w:val="bottom"/>
            <w:hideMark/>
          </w:tcPr>
          <w:p w14:paraId="60FA36BE"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29,598</w:t>
            </w:r>
          </w:p>
        </w:tc>
      </w:tr>
      <w:tr w:rsidR="00051D7E" w:rsidRPr="008D0420" w14:paraId="219DAAA7" w14:textId="77777777" w:rsidTr="00DC0936">
        <w:trPr>
          <w:trHeight w:val="306"/>
        </w:trPr>
        <w:tc>
          <w:tcPr>
            <w:tcW w:w="5183" w:type="dxa"/>
            <w:tcBorders>
              <w:top w:val="nil"/>
              <w:left w:val="nil"/>
              <w:bottom w:val="nil"/>
              <w:right w:val="nil"/>
            </w:tcBorders>
            <w:shd w:val="clear" w:color="000000" w:fill="FFFFFF"/>
            <w:vAlign w:val="bottom"/>
          </w:tcPr>
          <w:p w14:paraId="47D98FFA" w14:textId="77777777" w:rsidR="00051D7E" w:rsidRPr="008D0420" w:rsidRDefault="00051D7E" w:rsidP="007531FB">
            <w:pPr>
              <w:ind w:left="168"/>
              <w:rPr>
                <w:rFonts w:ascii="Calibri" w:eastAsia="Times New Roman" w:hAnsi="Calibri" w:cs="Calibri"/>
                <w:color w:val="0D0D0D"/>
              </w:rPr>
            </w:pPr>
            <w:r w:rsidRPr="008D0420">
              <w:rPr>
                <w:rFonts w:ascii="Calibri" w:eastAsia="Times New Roman" w:hAnsi="Calibri" w:cs="Calibri"/>
                <w:color w:val="0D0D0D"/>
              </w:rPr>
              <w:t>Net difference between projected and actual earnings on plan investments</w:t>
            </w:r>
          </w:p>
        </w:tc>
        <w:tc>
          <w:tcPr>
            <w:tcW w:w="1117" w:type="dxa"/>
            <w:tcBorders>
              <w:top w:val="nil"/>
              <w:left w:val="nil"/>
              <w:bottom w:val="nil"/>
              <w:right w:val="nil"/>
            </w:tcBorders>
            <w:shd w:val="clear" w:color="000000" w:fill="FFFFFF"/>
            <w:noWrap/>
            <w:vAlign w:val="bottom"/>
          </w:tcPr>
          <w:p w14:paraId="007548E9" w14:textId="77777777" w:rsidR="00051D7E"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c>
          <w:tcPr>
            <w:tcW w:w="1040" w:type="dxa"/>
            <w:tcBorders>
              <w:top w:val="nil"/>
              <w:left w:val="nil"/>
              <w:bottom w:val="nil"/>
              <w:right w:val="nil"/>
            </w:tcBorders>
            <w:shd w:val="clear" w:color="000000" w:fill="FFFFFF"/>
            <w:noWrap/>
            <w:vAlign w:val="bottom"/>
          </w:tcPr>
          <w:p w14:paraId="2E7AB304" w14:textId="77777777" w:rsidR="00051D7E"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c>
          <w:tcPr>
            <w:tcW w:w="936" w:type="dxa"/>
            <w:tcBorders>
              <w:top w:val="nil"/>
              <w:left w:val="nil"/>
              <w:bottom w:val="nil"/>
              <w:right w:val="nil"/>
            </w:tcBorders>
            <w:shd w:val="clear" w:color="000000" w:fill="FFFFFF"/>
            <w:noWrap/>
            <w:vAlign w:val="bottom"/>
          </w:tcPr>
          <w:p w14:paraId="343265EA" w14:textId="77777777" w:rsidR="00051D7E"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c>
          <w:tcPr>
            <w:tcW w:w="1153" w:type="dxa"/>
            <w:tcBorders>
              <w:top w:val="nil"/>
              <w:left w:val="nil"/>
              <w:bottom w:val="nil"/>
              <w:right w:val="nil"/>
            </w:tcBorders>
            <w:shd w:val="clear" w:color="000000" w:fill="FFFFFF"/>
            <w:noWrap/>
            <w:vAlign w:val="bottom"/>
          </w:tcPr>
          <w:p w14:paraId="0C7C8F99" w14:textId="77777777" w:rsidR="00051D7E" w:rsidRDefault="00051D7E" w:rsidP="007531FB">
            <w:pPr>
              <w:jc w:val="right"/>
              <w:rPr>
                <w:rFonts w:ascii="Calibri" w:eastAsia="Times New Roman" w:hAnsi="Calibri" w:cs="Calibri"/>
                <w:color w:val="0D0D0D"/>
              </w:rPr>
            </w:pPr>
            <w:r>
              <w:rPr>
                <w:rFonts w:ascii="Calibri" w:eastAsia="Times New Roman" w:hAnsi="Calibri" w:cs="Calibri"/>
                <w:color w:val="0D0D0D"/>
              </w:rPr>
              <w:t>14,209</w:t>
            </w:r>
          </w:p>
        </w:tc>
      </w:tr>
      <w:tr w:rsidR="00051D7E" w:rsidRPr="008D0420" w14:paraId="12E70441" w14:textId="77777777" w:rsidTr="00DC0936">
        <w:trPr>
          <w:trHeight w:val="288"/>
        </w:trPr>
        <w:tc>
          <w:tcPr>
            <w:tcW w:w="5183" w:type="dxa"/>
            <w:tcBorders>
              <w:top w:val="single" w:sz="4" w:space="0" w:color="00688D"/>
              <w:left w:val="nil"/>
              <w:bottom w:val="single" w:sz="4" w:space="0" w:color="00688D"/>
              <w:right w:val="nil"/>
            </w:tcBorders>
            <w:shd w:val="clear" w:color="000000" w:fill="FFFFFF"/>
            <w:noWrap/>
            <w:vAlign w:val="bottom"/>
            <w:hideMark/>
          </w:tcPr>
          <w:p w14:paraId="38A87E21" w14:textId="77777777" w:rsidR="00051D7E" w:rsidRPr="008D0420" w:rsidRDefault="00051D7E" w:rsidP="007531FB">
            <w:pPr>
              <w:ind w:firstLineChars="200" w:firstLine="440"/>
              <w:rPr>
                <w:rFonts w:ascii="Calibri" w:eastAsia="Times New Roman" w:hAnsi="Calibri" w:cs="Calibri"/>
                <w:color w:val="0D0D0D"/>
              </w:rPr>
            </w:pPr>
            <w:r w:rsidRPr="008D0420">
              <w:rPr>
                <w:rFonts w:ascii="Calibri" w:eastAsia="Times New Roman" w:hAnsi="Calibri" w:cs="Calibri"/>
                <w:color w:val="0D0D0D"/>
              </w:rPr>
              <w:t>Total deferred inflows of resources</w:t>
            </w:r>
          </w:p>
        </w:tc>
        <w:tc>
          <w:tcPr>
            <w:tcW w:w="1117" w:type="dxa"/>
            <w:tcBorders>
              <w:top w:val="single" w:sz="4" w:space="0" w:color="00688D"/>
              <w:left w:val="nil"/>
              <w:bottom w:val="single" w:sz="4" w:space="0" w:color="00688D"/>
              <w:right w:val="nil"/>
            </w:tcBorders>
            <w:shd w:val="clear" w:color="000000" w:fill="FFFFFF"/>
            <w:noWrap/>
            <w:vAlign w:val="bottom"/>
            <w:hideMark/>
          </w:tcPr>
          <w:p w14:paraId="32FB95B0"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697</w:t>
            </w:r>
          </w:p>
        </w:tc>
        <w:tc>
          <w:tcPr>
            <w:tcW w:w="1040" w:type="dxa"/>
            <w:tcBorders>
              <w:top w:val="single" w:sz="4" w:space="0" w:color="00688D"/>
              <w:left w:val="nil"/>
              <w:bottom w:val="single" w:sz="4" w:space="0" w:color="00688D"/>
              <w:right w:val="nil"/>
            </w:tcBorders>
            <w:shd w:val="clear" w:color="000000" w:fill="FFFFFF"/>
            <w:noWrap/>
            <w:vAlign w:val="bottom"/>
            <w:hideMark/>
          </w:tcPr>
          <w:p w14:paraId="78AA4D10"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1,219</w:t>
            </w:r>
          </w:p>
        </w:tc>
        <w:tc>
          <w:tcPr>
            <w:tcW w:w="936" w:type="dxa"/>
            <w:tcBorders>
              <w:top w:val="single" w:sz="4" w:space="0" w:color="00688D"/>
              <w:left w:val="nil"/>
              <w:bottom w:val="single" w:sz="4" w:space="0" w:color="00688D"/>
              <w:right w:val="nil"/>
            </w:tcBorders>
            <w:shd w:val="clear" w:color="000000" w:fill="FFFFFF"/>
            <w:noWrap/>
            <w:vAlign w:val="bottom"/>
            <w:hideMark/>
          </w:tcPr>
          <w:p w14:paraId="385B4DA2"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1,916</w:t>
            </w:r>
          </w:p>
        </w:tc>
        <w:tc>
          <w:tcPr>
            <w:tcW w:w="1153" w:type="dxa"/>
            <w:tcBorders>
              <w:top w:val="single" w:sz="4" w:space="0" w:color="00688D"/>
              <w:left w:val="nil"/>
              <w:bottom w:val="single" w:sz="4" w:space="0" w:color="00688D"/>
              <w:right w:val="nil"/>
            </w:tcBorders>
            <w:shd w:val="clear" w:color="000000" w:fill="FFFFFF"/>
            <w:noWrap/>
            <w:vAlign w:val="bottom"/>
            <w:hideMark/>
          </w:tcPr>
          <w:p w14:paraId="21BE0C35"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51,094</w:t>
            </w:r>
          </w:p>
        </w:tc>
      </w:tr>
      <w:tr w:rsidR="00051D7E" w:rsidRPr="008D0420" w14:paraId="32F051C5" w14:textId="77777777" w:rsidTr="00DC0936">
        <w:trPr>
          <w:trHeight w:val="300"/>
        </w:trPr>
        <w:tc>
          <w:tcPr>
            <w:tcW w:w="5183" w:type="dxa"/>
            <w:tcBorders>
              <w:top w:val="nil"/>
              <w:left w:val="nil"/>
              <w:bottom w:val="double" w:sz="6" w:space="0" w:color="00688D"/>
              <w:right w:val="nil"/>
            </w:tcBorders>
            <w:shd w:val="clear" w:color="000000" w:fill="FFFFFF"/>
            <w:noWrap/>
            <w:vAlign w:val="bottom"/>
            <w:hideMark/>
          </w:tcPr>
          <w:p w14:paraId="439AF187"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Net deferred outflows (inflows)</w:t>
            </w:r>
          </w:p>
        </w:tc>
        <w:tc>
          <w:tcPr>
            <w:tcW w:w="1117" w:type="dxa"/>
            <w:tcBorders>
              <w:top w:val="nil"/>
              <w:left w:val="nil"/>
              <w:bottom w:val="double" w:sz="6" w:space="0" w:color="00688D"/>
              <w:right w:val="nil"/>
            </w:tcBorders>
            <w:shd w:val="clear" w:color="000000" w:fill="FFFFFF"/>
            <w:noWrap/>
            <w:vAlign w:val="bottom"/>
            <w:hideMark/>
          </w:tcPr>
          <w:p w14:paraId="2A309F90" w14:textId="59B3CB06"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$1,965</w:t>
            </w:r>
          </w:p>
        </w:tc>
        <w:tc>
          <w:tcPr>
            <w:tcW w:w="1040" w:type="dxa"/>
            <w:tcBorders>
              <w:top w:val="nil"/>
              <w:left w:val="nil"/>
              <w:bottom w:val="double" w:sz="6" w:space="0" w:color="00688D"/>
              <w:right w:val="nil"/>
            </w:tcBorders>
            <w:shd w:val="clear" w:color="000000" w:fill="FFFFFF"/>
            <w:noWrap/>
            <w:vAlign w:val="bottom"/>
            <w:hideMark/>
          </w:tcPr>
          <w:p w14:paraId="266610C9" w14:textId="1BFCD8D1"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r>
              <w:rPr>
                <w:rFonts w:ascii="Calibri" w:eastAsia="Times New Roman" w:hAnsi="Calibri" w:cs="Calibri"/>
                <w:color w:val="0D0D0D"/>
              </w:rPr>
              <w:t>(1,219)</w:t>
            </w:r>
          </w:p>
        </w:tc>
        <w:tc>
          <w:tcPr>
            <w:tcW w:w="936" w:type="dxa"/>
            <w:tcBorders>
              <w:top w:val="nil"/>
              <w:left w:val="nil"/>
              <w:bottom w:val="double" w:sz="6" w:space="0" w:color="00688D"/>
              <w:right w:val="nil"/>
            </w:tcBorders>
            <w:shd w:val="clear" w:color="000000" w:fill="FFFFFF"/>
            <w:noWrap/>
            <w:vAlign w:val="bottom"/>
            <w:hideMark/>
          </w:tcPr>
          <w:p w14:paraId="349EAEB6"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xml:space="preserve">$  </w:t>
            </w:r>
            <w:r>
              <w:rPr>
                <w:rFonts w:ascii="Calibri" w:eastAsia="Times New Roman" w:hAnsi="Calibri" w:cs="Calibri"/>
                <w:color w:val="0D0D0D"/>
              </w:rPr>
              <w:t>746</w:t>
            </w:r>
          </w:p>
        </w:tc>
        <w:tc>
          <w:tcPr>
            <w:tcW w:w="1153" w:type="dxa"/>
            <w:tcBorders>
              <w:top w:val="nil"/>
              <w:left w:val="nil"/>
              <w:bottom w:val="double" w:sz="6" w:space="0" w:color="00688D"/>
              <w:right w:val="nil"/>
            </w:tcBorders>
            <w:shd w:val="clear" w:color="000000" w:fill="FFFFFF"/>
            <w:noWrap/>
            <w:vAlign w:val="bottom"/>
            <w:hideMark/>
          </w:tcPr>
          <w:p w14:paraId="46A13EBA"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r>
              <w:rPr>
                <w:rFonts w:ascii="Calibri" w:eastAsia="Times New Roman" w:hAnsi="Calibri" w:cs="Calibri"/>
                <w:color w:val="0D0D0D"/>
              </w:rPr>
              <w:t>39,580</w:t>
            </w:r>
            <w:r w:rsidRPr="008D0420">
              <w:rPr>
                <w:rFonts w:ascii="Calibri" w:eastAsia="Times New Roman" w:hAnsi="Calibri" w:cs="Calibri"/>
                <w:color w:val="0D0D0D"/>
              </w:rPr>
              <w:t>)</w:t>
            </w:r>
          </w:p>
        </w:tc>
      </w:tr>
    </w:tbl>
    <w:p w14:paraId="4CC37DB1" w14:textId="77777777" w:rsidR="000D6B08" w:rsidRDefault="000D6B08" w:rsidP="00051D7E">
      <w:pPr>
        <w:spacing w:after="160" w:line="259" w:lineRule="auto"/>
        <w:rPr>
          <w:rFonts w:eastAsiaTheme="majorEastAsia" w:cstheme="minorHAnsi"/>
          <w:b/>
          <w:i/>
          <w:iCs/>
          <w:smallCaps/>
          <w:noProof/>
          <w:color w:val="000000" w:themeColor="text1"/>
          <w:sz w:val="26"/>
          <w:szCs w:val="26"/>
          <w:u w:color="5B9BD5"/>
        </w:rPr>
      </w:pPr>
      <w:r>
        <w:rPr>
          <w:rFonts w:eastAsiaTheme="majorEastAsia" w:cstheme="minorHAnsi"/>
          <w:b/>
          <w:i/>
          <w:iCs/>
          <w:smallCaps/>
          <w:noProof/>
          <w:color w:val="000000" w:themeColor="text1"/>
          <w:sz w:val="26"/>
          <w:szCs w:val="26"/>
          <w:u w:color="5B9BD5"/>
        </w:rPr>
        <w:br w:type="page"/>
      </w:r>
    </w:p>
    <w:p w14:paraId="5DFC4254" w14:textId="25446AD7" w:rsidR="00051D7E" w:rsidRPr="00F54559" w:rsidRDefault="00051D7E" w:rsidP="00051D7E">
      <w:pPr>
        <w:spacing w:after="160" w:line="259" w:lineRule="auto"/>
        <w:rPr>
          <w:rFonts w:cstheme="minorHAnsi"/>
          <w:i/>
          <w:sz w:val="16"/>
          <w:u w:val="single"/>
        </w:rPr>
      </w:pPr>
      <w:r w:rsidRPr="00F54559">
        <w:rPr>
          <w:rFonts w:eastAsiaTheme="majorEastAsia" w:cstheme="minorHAnsi"/>
          <w:b/>
          <w:i/>
          <w:iCs/>
          <w:smallCaps/>
          <w:noProof/>
          <w:color w:val="000000" w:themeColor="text1"/>
          <w:sz w:val="26"/>
          <w:szCs w:val="26"/>
          <w:u w:color="5B9BD5"/>
        </w:rPr>
        <w:lastRenderedPageBreak/>
        <w:t>15. DEFERRED OUTFLOWS OF RESOURCES AND DEFERRED INFLOWS OF RESOURCES - CONTINUED</w:t>
      </w:r>
    </w:p>
    <w:p w14:paraId="31896FD3" w14:textId="77777777" w:rsidR="00051D7E" w:rsidRDefault="00051D7E" w:rsidP="00051D7E">
      <w:pPr>
        <w:tabs>
          <w:tab w:val="left" w:pos="900"/>
        </w:tabs>
        <w:spacing w:after="240"/>
        <w:ind w:right="-7"/>
        <w:rPr>
          <w:rFonts w:cstheme="minorHAnsi"/>
          <w:sz w:val="24"/>
        </w:rPr>
      </w:pPr>
      <w:r w:rsidRPr="00F54559">
        <w:rPr>
          <w:rFonts w:cstheme="minorHAnsi"/>
          <w:sz w:val="24"/>
        </w:rPr>
        <w:t>Deferred outflows of resources and deferred inflows of resources for pensions and OPEB were related to the following sources for the year ended June 30:</w:t>
      </w:r>
    </w:p>
    <w:p w14:paraId="0093CD4B" w14:textId="77777777" w:rsidR="00051D7E" w:rsidRPr="001A18A6" w:rsidRDefault="00051D7E" w:rsidP="00051D7E">
      <w:pPr>
        <w:tabs>
          <w:tab w:val="left" w:pos="900"/>
        </w:tabs>
        <w:spacing w:before="240"/>
        <w:ind w:right="-7"/>
        <w:jc w:val="center"/>
        <w:rPr>
          <w:rFonts w:eastAsiaTheme="majorEastAsia" w:cstheme="minorHAnsi"/>
          <w:iCs/>
          <w:smallCaps/>
          <w:noProof/>
          <w:color w:val="000000" w:themeColor="text1"/>
          <w:sz w:val="24"/>
          <w:szCs w:val="26"/>
          <w:u w:color="5B9BD5"/>
        </w:rPr>
      </w:pPr>
      <w:r w:rsidRPr="008D0420">
        <w:rPr>
          <w:rFonts w:ascii="Calibri" w:eastAsia="Times New Roman" w:hAnsi="Calibri" w:cs="Calibri"/>
          <w:b/>
          <w:bCs/>
          <w:color w:val="0D0D0D"/>
        </w:rPr>
        <w:t>2020</w:t>
      </w:r>
      <w:r>
        <w:rPr>
          <w:rFonts w:ascii="Calibri" w:eastAsia="Times New Roman" w:hAnsi="Calibri" w:cs="Calibri"/>
          <w:b/>
          <w:bCs/>
          <w:color w:val="0D0D0D"/>
        </w:rPr>
        <w:fldChar w:fldCharType="begin"/>
      </w:r>
      <w:r>
        <w:rPr>
          <w:rFonts w:ascii="Calibri" w:eastAsia="Times New Roman" w:hAnsi="Calibri" w:cs="Calibri"/>
          <w:b/>
          <w:bCs/>
          <w:color w:val="0D0D0D"/>
        </w:rPr>
        <w:fldChar w:fldCharType="end"/>
      </w:r>
    </w:p>
    <w:tbl>
      <w:tblPr>
        <w:tblW w:w="9360" w:type="dxa"/>
        <w:tblLook w:val="04A0" w:firstRow="1" w:lastRow="0" w:firstColumn="1" w:lastColumn="0" w:noHBand="0" w:noVBand="1"/>
      </w:tblPr>
      <w:tblGrid>
        <w:gridCol w:w="5244"/>
        <w:gridCol w:w="1260"/>
        <w:gridCol w:w="940"/>
        <w:gridCol w:w="945"/>
        <w:gridCol w:w="971"/>
      </w:tblGrid>
      <w:tr w:rsidR="00051D7E" w:rsidRPr="008D0420" w14:paraId="729C3A47" w14:textId="77777777" w:rsidTr="007531FB">
        <w:trPr>
          <w:trHeight w:val="888"/>
          <w:tblHeader/>
        </w:trPr>
        <w:tc>
          <w:tcPr>
            <w:tcW w:w="5244" w:type="dxa"/>
            <w:tcBorders>
              <w:top w:val="single" w:sz="12" w:space="0" w:color="00688D"/>
              <w:left w:val="nil"/>
              <w:bottom w:val="single" w:sz="8" w:space="0" w:color="00688D"/>
              <w:right w:val="nil"/>
            </w:tcBorders>
            <w:shd w:val="clear" w:color="000000" w:fill="FFFFFF"/>
            <w:noWrap/>
            <w:vAlign w:val="bottom"/>
            <w:hideMark/>
          </w:tcPr>
          <w:p w14:paraId="41376F57" w14:textId="77777777" w:rsidR="00051D7E" w:rsidRPr="008D0420" w:rsidRDefault="00051D7E" w:rsidP="007531FB">
            <w:pPr>
              <w:jc w:val="center"/>
              <w:rPr>
                <w:rFonts w:ascii="Calibri" w:eastAsia="Times New Roman" w:hAnsi="Calibri" w:cs="Calibri"/>
                <w:b/>
                <w:bCs/>
                <w:color w:val="0D0D0D"/>
              </w:rPr>
            </w:pPr>
            <w:r w:rsidRPr="008D0420">
              <w:rPr>
                <w:rFonts w:ascii="Calibri" w:eastAsia="Times New Roman" w:hAnsi="Calibri" w:cs="Calibri"/>
                <w:b/>
                <w:bCs/>
                <w:color w:val="0D0D0D"/>
              </w:rPr>
              <w:t> </w:t>
            </w:r>
          </w:p>
        </w:tc>
        <w:tc>
          <w:tcPr>
            <w:tcW w:w="1260" w:type="dxa"/>
            <w:tcBorders>
              <w:top w:val="single" w:sz="12" w:space="0" w:color="00688D"/>
              <w:left w:val="nil"/>
              <w:bottom w:val="single" w:sz="8" w:space="0" w:color="00688D"/>
              <w:right w:val="nil"/>
            </w:tcBorders>
            <w:shd w:val="clear" w:color="000000" w:fill="FFFFFF"/>
            <w:vAlign w:val="bottom"/>
            <w:hideMark/>
          </w:tcPr>
          <w:p w14:paraId="06B7462F" w14:textId="77777777" w:rsidR="00051D7E" w:rsidRPr="00031E93" w:rsidRDefault="00051D7E" w:rsidP="007531FB">
            <w:pPr>
              <w:jc w:val="center"/>
              <w:rPr>
                <w:rFonts w:ascii="Calibri" w:eastAsia="Times New Roman" w:hAnsi="Calibri" w:cs="Calibri"/>
                <w:bCs/>
                <w:color w:val="0D0D0D"/>
              </w:rPr>
            </w:pPr>
            <w:r w:rsidRPr="00031E93">
              <w:rPr>
                <w:rFonts w:ascii="Calibri" w:eastAsia="Times New Roman" w:hAnsi="Calibri" w:cs="Calibri"/>
                <w:bCs/>
                <w:color w:val="0D0D0D"/>
              </w:rPr>
              <w:t>Incentive Retirement Plan</w:t>
            </w:r>
          </w:p>
        </w:tc>
        <w:tc>
          <w:tcPr>
            <w:tcW w:w="940" w:type="dxa"/>
            <w:tcBorders>
              <w:top w:val="single" w:sz="12" w:space="0" w:color="00688D"/>
              <w:left w:val="nil"/>
              <w:bottom w:val="single" w:sz="8" w:space="0" w:color="00688D"/>
              <w:right w:val="nil"/>
            </w:tcBorders>
            <w:shd w:val="clear" w:color="000000" w:fill="FFFFFF"/>
            <w:vAlign w:val="bottom"/>
            <w:hideMark/>
          </w:tcPr>
          <w:p w14:paraId="400C3564" w14:textId="77777777" w:rsidR="00051D7E" w:rsidRPr="00031E93" w:rsidRDefault="00051D7E" w:rsidP="007531FB">
            <w:pPr>
              <w:jc w:val="center"/>
              <w:rPr>
                <w:rFonts w:ascii="Calibri" w:eastAsia="Times New Roman" w:hAnsi="Calibri" w:cs="Calibri"/>
                <w:bCs/>
                <w:color w:val="0D0D0D"/>
              </w:rPr>
            </w:pPr>
            <w:r w:rsidRPr="00031E93">
              <w:rPr>
                <w:rFonts w:ascii="Calibri" w:eastAsia="Times New Roman" w:hAnsi="Calibri" w:cs="Calibri"/>
                <w:bCs/>
                <w:color w:val="0D0D0D"/>
              </w:rPr>
              <w:t>Defined Benefit Plan</w:t>
            </w:r>
          </w:p>
        </w:tc>
        <w:tc>
          <w:tcPr>
            <w:tcW w:w="945" w:type="dxa"/>
            <w:tcBorders>
              <w:top w:val="single" w:sz="12" w:space="0" w:color="00688D"/>
              <w:left w:val="nil"/>
              <w:bottom w:val="single" w:sz="8" w:space="0" w:color="00688D"/>
              <w:right w:val="nil"/>
            </w:tcBorders>
            <w:shd w:val="clear" w:color="000000" w:fill="FFFFFF"/>
            <w:vAlign w:val="bottom"/>
            <w:hideMark/>
          </w:tcPr>
          <w:p w14:paraId="2F691FA3" w14:textId="77777777" w:rsidR="00051D7E" w:rsidRPr="00031E93" w:rsidRDefault="00051D7E" w:rsidP="007531FB">
            <w:pPr>
              <w:jc w:val="center"/>
              <w:rPr>
                <w:rFonts w:ascii="Calibri" w:eastAsia="Times New Roman" w:hAnsi="Calibri" w:cs="Calibri"/>
                <w:bCs/>
                <w:color w:val="0D0D0D"/>
              </w:rPr>
            </w:pPr>
            <w:r w:rsidRPr="00031E93">
              <w:rPr>
                <w:rFonts w:ascii="Calibri" w:eastAsia="Times New Roman" w:hAnsi="Calibri" w:cs="Calibri"/>
                <w:bCs/>
                <w:color w:val="0D0D0D"/>
              </w:rPr>
              <w:t xml:space="preserve">Total Pension </w:t>
            </w:r>
          </w:p>
        </w:tc>
        <w:tc>
          <w:tcPr>
            <w:tcW w:w="971" w:type="dxa"/>
            <w:tcBorders>
              <w:top w:val="single" w:sz="12" w:space="0" w:color="00688D"/>
              <w:left w:val="nil"/>
              <w:bottom w:val="single" w:sz="8" w:space="0" w:color="00688D"/>
              <w:right w:val="nil"/>
            </w:tcBorders>
            <w:shd w:val="clear" w:color="000000" w:fill="FFFFFF"/>
            <w:vAlign w:val="bottom"/>
            <w:hideMark/>
          </w:tcPr>
          <w:p w14:paraId="6EEF6FAD" w14:textId="77777777" w:rsidR="00051D7E" w:rsidRPr="00031E93" w:rsidRDefault="00051D7E" w:rsidP="007531FB">
            <w:pPr>
              <w:jc w:val="center"/>
              <w:rPr>
                <w:rFonts w:ascii="Calibri" w:eastAsia="Times New Roman" w:hAnsi="Calibri" w:cs="Calibri"/>
                <w:bCs/>
                <w:color w:val="0D0D0D"/>
              </w:rPr>
            </w:pPr>
            <w:r w:rsidRPr="00031E93">
              <w:rPr>
                <w:rFonts w:ascii="Calibri" w:eastAsia="Times New Roman" w:hAnsi="Calibri" w:cs="Calibri"/>
                <w:bCs/>
                <w:color w:val="0D0D0D"/>
              </w:rPr>
              <w:t xml:space="preserve">OPEB </w:t>
            </w:r>
          </w:p>
        </w:tc>
      </w:tr>
      <w:tr w:rsidR="00051D7E" w:rsidRPr="008D0420" w14:paraId="095CBB03" w14:textId="77777777" w:rsidTr="007531FB">
        <w:trPr>
          <w:trHeight w:val="288"/>
        </w:trPr>
        <w:tc>
          <w:tcPr>
            <w:tcW w:w="5244" w:type="dxa"/>
            <w:tcBorders>
              <w:top w:val="nil"/>
              <w:left w:val="nil"/>
              <w:bottom w:val="nil"/>
              <w:right w:val="nil"/>
            </w:tcBorders>
            <w:shd w:val="clear" w:color="000000" w:fill="FFFFFF"/>
            <w:noWrap/>
            <w:vAlign w:val="bottom"/>
            <w:hideMark/>
          </w:tcPr>
          <w:p w14:paraId="6E74AE80"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Deferred outflows of resources</w:t>
            </w:r>
          </w:p>
        </w:tc>
        <w:tc>
          <w:tcPr>
            <w:tcW w:w="1260" w:type="dxa"/>
            <w:tcBorders>
              <w:top w:val="nil"/>
              <w:left w:val="nil"/>
              <w:bottom w:val="nil"/>
              <w:right w:val="nil"/>
            </w:tcBorders>
            <w:shd w:val="clear" w:color="000000" w:fill="FFFFFF"/>
            <w:noWrap/>
            <w:vAlign w:val="bottom"/>
            <w:hideMark/>
          </w:tcPr>
          <w:p w14:paraId="0D575652"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 </w:t>
            </w:r>
          </w:p>
        </w:tc>
        <w:tc>
          <w:tcPr>
            <w:tcW w:w="940" w:type="dxa"/>
            <w:tcBorders>
              <w:top w:val="nil"/>
              <w:left w:val="nil"/>
              <w:bottom w:val="nil"/>
              <w:right w:val="nil"/>
            </w:tcBorders>
            <w:shd w:val="clear" w:color="000000" w:fill="FFFFFF"/>
            <w:noWrap/>
            <w:vAlign w:val="bottom"/>
            <w:hideMark/>
          </w:tcPr>
          <w:p w14:paraId="6A9737F7"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 </w:t>
            </w:r>
          </w:p>
        </w:tc>
        <w:tc>
          <w:tcPr>
            <w:tcW w:w="945" w:type="dxa"/>
            <w:tcBorders>
              <w:top w:val="nil"/>
              <w:left w:val="nil"/>
              <w:bottom w:val="nil"/>
              <w:right w:val="nil"/>
            </w:tcBorders>
            <w:shd w:val="clear" w:color="000000" w:fill="FFFFFF"/>
            <w:noWrap/>
            <w:vAlign w:val="bottom"/>
            <w:hideMark/>
          </w:tcPr>
          <w:p w14:paraId="464AF711"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 </w:t>
            </w:r>
          </w:p>
        </w:tc>
        <w:tc>
          <w:tcPr>
            <w:tcW w:w="971" w:type="dxa"/>
            <w:tcBorders>
              <w:top w:val="nil"/>
              <w:left w:val="nil"/>
              <w:bottom w:val="nil"/>
              <w:right w:val="nil"/>
            </w:tcBorders>
            <w:shd w:val="clear" w:color="000000" w:fill="FFFFFF"/>
            <w:noWrap/>
            <w:vAlign w:val="bottom"/>
            <w:hideMark/>
          </w:tcPr>
          <w:p w14:paraId="44F51613"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 </w:t>
            </w:r>
          </w:p>
        </w:tc>
      </w:tr>
      <w:tr w:rsidR="00051D7E" w:rsidRPr="008D0420" w14:paraId="7E4B7FF5" w14:textId="77777777" w:rsidTr="007531FB">
        <w:trPr>
          <w:trHeight w:val="288"/>
        </w:trPr>
        <w:tc>
          <w:tcPr>
            <w:tcW w:w="5244" w:type="dxa"/>
            <w:tcBorders>
              <w:top w:val="nil"/>
              <w:left w:val="nil"/>
              <w:bottom w:val="nil"/>
              <w:right w:val="nil"/>
            </w:tcBorders>
            <w:shd w:val="clear" w:color="000000" w:fill="FFFFFF"/>
            <w:noWrap/>
            <w:vAlign w:val="bottom"/>
            <w:hideMark/>
          </w:tcPr>
          <w:p w14:paraId="457F08FA" w14:textId="77777777" w:rsidR="00051D7E" w:rsidRPr="008D0420" w:rsidRDefault="00051D7E" w:rsidP="007531FB">
            <w:pPr>
              <w:ind w:leftChars="106" w:left="251" w:hangingChars="8" w:hanging="18"/>
              <w:rPr>
                <w:rFonts w:ascii="Calibri" w:eastAsia="Times New Roman" w:hAnsi="Calibri" w:cs="Calibri"/>
                <w:color w:val="0D0D0D"/>
              </w:rPr>
            </w:pPr>
            <w:r w:rsidRPr="008D0420">
              <w:rPr>
                <w:rFonts w:ascii="Calibri" w:eastAsia="Times New Roman" w:hAnsi="Calibri" w:cs="Calibri"/>
                <w:color w:val="0D0D0D"/>
              </w:rPr>
              <w:t>Changes of assumption or other inputs</w:t>
            </w:r>
          </w:p>
        </w:tc>
        <w:tc>
          <w:tcPr>
            <w:tcW w:w="1260" w:type="dxa"/>
            <w:tcBorders>
              <w:top w:val="nil"/>
              <w:left w:val="nil"/>
              <w:bottom w:val="nil"/>
              <w:right w:val="nil"/>
            </w:tcBorders>
            <w:shd w:val="clear" w:color="000000" w:fill="FFFFFF"/>
            <w:noWrap/>
            <w:vAlign w:val="bottom"/>
            <w:hideMark/>
          </w:tcPr>
          <w:p w14:paraId="35884313"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        1,624</w:t>
            </w:r>
          </w:p>
        </w:tc>
        <w:tc>
          <w:tcPr>
            <w:tcW w:w="940" w:type="dxa"/>
            <w:tcBorders>
              <w:top w:val="nil"/>
              <w:left w:val="nil"/>
              <w:bottom w:val="nil"/>
              <w:right w:val="nil"/>
            </w:tcBorders>
            <w:shd w:val="clear" w:color="000000" w:fill="FFFFFF"/>
            <w:noWrap/>
            <w:vAlign w:val="bottom"/>
            <w:hideMark/>
          </w:tcPr>
          <w:p w14:paraId="47820B17"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w:t>
            </w:r>
          </w:p>
        </w:tc>
        <w:tc>
          <w:tcPr>
            <w:tcW w:w="945" w:type="dxa"/>
            <w:tcBorders>
              <w:top w:val="nil"/>
              <w:left w:val="nil"/>
              <w:bottom w:val="nil"/>
              <w:right w:val="nil"/>
            </w:tcBorders>
            <w:shd w:val="clear" w:color="000000" w:fill="FFFFFF"/>
            <w:noWrap/>
            <w:vAlign w:val="bottom"/>
            <w:hideMark/>
          </w:tcPr>
          <w:p w14:paraId="62F04D5E"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1,624</w:t>
            </w:r>
          </w:p>
        </w:tc>
        <w:tc>
          <w:tcPr>
            <w:tcW w:w="971" w:type="dxa"/>
            <w:tcBorders>
              <w:top w:val="nil"/>
              <w:left w:val="nil"/>
              <w:bottom w:val="nil"/>
              <w:right w:val="nil"/>
            </w:tcBorders>
            <w:shd w:val="clear" w:color="000000" w:fill="FFFFFF"/>
            <w:noWrap/>
            <w:vAlign w:val="bottom"/>
            <w:hideMark/>
          </w:tcPr>
          <w:p w14:paraId="37D4EB16"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$14,738</w:t>
            </w:r>
          </w:p>
        </w:tc>
      </w:tr>
      <w:tr w:rsidR="00051D7E" w:rsidRPr="008D0420" w14:paraId="6227FE3F" w14:textId="77777777" w:rsidTr="007531FB">
        <w:trPr>
          <w:trHeight w:val="144"/>
        </w:trPr>
        <w:tc>
          <w:tcPr>
            <w:tcW w:w="5244" w:type="dxa"/>
            <w:tcBorders>
              <w:top w:val="nil"/>
              <w:left w:val="nil"/>
              <w:bottom w:val="nil"/>
              <w:right w:val="nil"/>
            </w:tcBorders>
            <w:shd w:val="clear" w:color="000000" w:fill="FFFFFF"/>
            <w:vAlign w:val="bottom"/>
            <w:hideMark/>
          </w:tcPr>
          <w:p w14:paraId="3178D975" w14:textId="77777777" w:rsidR="00051D7E" w:rsidRPr="008D0420" w:rsidRDefault="00051D7E" w:rsidP="007531FB">
            <w:pPr>
              <w:ind w:leftChars="106" w:left="251" w:hangingChars="8" w:hanging="18"/>
              <w:rPr>
                <w:rFonts w:ascii="Calibri" w:eastAsia="Times New Roman" w:hAnsi="Calibri" w:cs="Calibri"/>
                <w:color w:val="0D0D0D"/>
              </w:rPr>
            </w:pPr>
            <w:r w:rsidRPr="008D0420">
              <w:rPr>
                <w:rFonts w:ascii="Calibri" w:eastAsia="Times New Roman" w:hAnsi="Calibri" w:cs="Calibri"/>
                <w:color w:val="0D0D0D"/>
              </w:rPr>
              <w:t>Difference between expected and actual experience</w:t>
            </w:r>
          </w:p>
        </w:tc>
        <w:tc>
          <w:tcPr>
            <w:tcW w:w="1260" w:type="dxa"/>
            <w:tcBorders>
              <w:top w:val="nil"/>
              <w:left w:val="nil"/>
              <w:bottom w:val="nil"/>
              <w:right w:val="nil"/>
            </w:tcBorders>
            <w:shd w:val="clear" w:color="000000" w:fill="FFFFFF"/>
            <w:noWrap/>
            <w:vAlign w:val="bottom"/>
            <w:hideMark/>
          </w:tcPr>
          <w:p w14:paraId="043B364C"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578</w:t>
            </w:r>
          </w:p>
        </w:tc>
        <w:tc>
          <w:tcPr>
            <w:tcW w:w="940" w:type="dxa"/>
            <w:tcBorders>
              <w:top w:val="nil"/>
              <w:left w:val="nil"/>
              <w:bottom w:val="nil"/>
              <w:right w:val="nil"/>
            </w:tcBorders>
            <w:shd w:val="clear" w:color="000000" w:fill="FFFFFF"/>
            <w:noWrap/>
            <w:vAlign w:val="bottom"/>
            <w:hideMark/>
          </w:tcPr>
          <w:p w14:paraId="6E9EBE73"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c>
          <w:tcPr>
            <w:tcW w:w="945" w:type="dxa"/>
            <w:tcBorders>
              <w:top w:val="nil"/>
              <w:left w:val="nil"/>
              <w:bottom w:val="nil"/>
              <w:right w:val="nil"/>
            </w:tcBorders>
            <w:shd w:val="clear" w:color="000000" w:fill="FFFFFF"/>
            <w:noWrap/>
            <w:vAlign w:val="bottom"/>
            <w:hideMark/>
          </w:tcPr>
          <w:p w14:paraId="5AFD2E7F"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578</w:t>
            </w:r>
          </w:p>
        </w:tc>
        <w:tc>
          <w:tcPr>
            <w:tcW w:w="971" w:type="dxa"/>
            <w:tcBorders>
              <w:top w:val="nil"/>
              <w:left w:val="nil"/>
              <w:bottom w:val="nil"/>
              <w:right w:val="nil"/>
            </w:tcBorders>
            <w:shd w:val="clear" w:color="000000" w:fill="FFFFFF"/>
            <w:noWrap/>
            <w:vAlign w:val="bottom"/>
            <w:hideMark/>
          </w:tcPr>
          <w:p w14:paraId="3DEDAD8E"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r>
      <w:tr w:rsidR="00051D7E" w:rsidRPr="008D0420" w14:paraId="38F654C5" w14:textId="77777777" w:rsidTr="007531FB">
        <w:trPr>
          <w:trHeight w:val="576"/>
        </w:trPr>
        <w:tc>
          <w:tcPr>
            <w:tcW w:w="5244" w:type="dxa"/>
            <w:tcBorders>
              <w:top w:val="nil"/>
              <w:left w:val="nil"/>
              <w:bottom w:val="nil"/>
              <w:right w:val="nil"/>
            </w:tcBorders>
            <w:shd w:val="clear" w:color="000000" w:fill="FFFFFF"/>
            <w:vAlign w:val="bottom"/>
            <w:hideMark/>
          </w:tcPr>
          <w:p w14:paraId="335192AD" w14:textId="77777777" w:rsidR="00051D7E" w:rsidRPr="008D0420" w:rsidRDefault="00051D7E" w:rsidP="007531FB">
            <w:pPr>
              <w:ind w:leftChars="106" w:left="251" w:hangingChars="8" w:hanging="18"/>
              <w:rPr>
                <w:rFonts w:ascii="Calibri" w:eastAsia="Times New Roman" w:hAnsi="Calibri" w:cs="Calibri"/>
                <w:color w:val="0D0D0D"/>
              </w:rPr>
            </w:pPr>
            <w:r w:rsidRPr="008D0420">
              <w:rPr>
                <w:rFonts w:ascii="Calibri" w:eastAsia="Times New Roman" w:hAnsi="Calibri" w:cs="Calibri"/>
                <w:color w:val="0D0D0D"/>
              </w:rPr>
              <w:t>Net difference between projected and actual earnings on plan investments</w:t>
            </w:r>
          </w:p>
        </w:tc>
        <w:tc>
          <w:tcPr>
            <w:tcW w:w="1260" w:type="dxa"/>
            <w:tcBorders>
              <w:top w:val="nil"/>
              <w:left w:val="nil"/>
              <w:bottom w:val="nil"/>
              <w:right w:val="nil"/>
            </w:tcBorders>
            <w:shd w:val="clear" w:color="000000" w:fill="FFFFFF"/>
            <w:noWrap/>
            <w:vAlign w:val="bottom"/>
            <w:hideMark/>
          </w:tcPr>
          <w:p w14:paraId="5B74BDE1"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c>
          <w:tcPr>
            <w:tcW w:w="940" w:type="dxa"/>
            <w:tcBorders>
              <w:top w:val="nil"/>
              <w:left w:val="nil"/>
              <w:bottom w:val="nil"/>
              <w:right w:val="nil"/>
            </w:tcBorders>
            <w:shd w:val="clear" w:color="000000" w:fill="FFFFFF"/>
            <w:noWrap/>
            <w:vAlign w:val="bottom"/>
            <w:hideMark/>
          </w:tcPr>
          <w:p w14:paraId="28A54212"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817</w:t>
            </w:r>
          </w:p>
        </w:tc>
        <w:tc>
          <w:tcPr>
            <w:tcW w:w="945" w:type="dxa"/>
            <w:tcBorders>
              <w:top w:val="nil"/>
              <w:left w:val="nil"/>
              <w:bottom w:val="nil"/>
              <w:right w:val="nil"/>
            </w:tcBorders>
            <w:shd w:val="clear" w:color="000000" w:fill="FFFFFF"/>
            <w:noWrap/>
            <w:vAlign w:val="bottom"/>
            <w:hideMark/>
          </w:tcPr>
          <w:p w14:paraId="66E48481"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817</w:t>
            </w:r>
          </w:p>
        </w:tc>
        <w:tc>
          <w:tcPr>
            <w:tcW w:w="971" w:type="dxa"/>
            <w:tcBorders>
              <w:top w:val="nil"/>
              <w:left w:val="nil"/>
              <w:bottom w:val="nil"/>
              <w:right w:val="nil"/>
            </w:tcBorders>
            <w:shd w:val="clear" w:color="000000" w:fill="FFFFFF"/>
            <w:noWrap/>
            <w:vAlign w:val="bottom"/>
            <w:hideMark/>
          </w:tcPr>
          <w:p w14:paraId="67BC2C24"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9,911</w:t>
            </w:r>
          </w:p>
        </w:tc>
      </w:tr>
      <w:tr w:rsidR="00051D7E" w:rsidRPr="008D0420" w14:paraId="0E3E26EF" w14:textId="77777777" w:rsidTr="007531FB">
        <w:trPr>
          <w:trHeight w:val="288"/>
        </w:trPr>
        <w:tc>
          <w:tcPr>
            <w:tcW w:w="5244" w:type="dxa"/>
            <w:tcBorders>
              <w:top w:val="single" w:sz="4" w:space="0" w:color="00688D"/>
              <w:left w:val="nil"/>
              <w:bottom w:val="single" w:sz="4" w:space="0" w:color="00688D"/>
              <w:right w:val="nil"/>
            </w:tcBorders>
            <w:shd w:val="clear" w:color="000000" w:fill="FFFFFF"/>
            <w:noWrap/>
            <w:vAlign w:val="bottom"/>
            <w:hideMark/>
          </w:tcPr>
          <w:p w14:paraId="5D1ECE6D" w14:textId="77777777" w:rsidR="00051D7E" w:rsidRPr="008D0420" w:rsidRDefault="00051D7E" w:rsidP="007531FB">
            <w:pPr>
              <w:ind w:firstLineChars="200" w:firstLine="440"/>
              <w:rPr>
                <w:rFonts w:ascii="Calibri" w:eastAsia="Times New Roman" w:hAnsi="Calibri" w:cs="Calibri"/>
                <w:color w:val="0D0D0D"/>
              </w:rPr>
            </w:pPr>
            <w:r w:rsidRPr="008D0420">
              <w:rPr>
                <w:rFonts w:ascii="Calibri" w:eastAsia="Times New Roman" w:hAnsi="Calibri" w:cs="Calibri"/>
                <w:color w:val="0D0D0D"/>
              </w:rPr>
              <w:t>Total deferred outflows of resources</w:t>
            </w:r>
          </w:p>
        </w:tc>
        <w:tc>
          <w:tcPr>
            <w:tcW w:w="1260" w:type="dxa"/>
            <w:tcBorders>
              <w:top w:val="single" w:sz="4" w:space="0" w:color="00688D"/>
              <w:left w:val="nil"/>
              <w:bottom w:val="single" w:sz="4" w:space="0" w:color="00688D"/>
              <w:right w:val="nil"/>
            </w:tcBorders>
            <w:shd w:val="clear" w:color="000000" w:fill="FFFFFF"/>
            <w:noWrap/>
            <w:vAlign w:val="bottom"/>
            <w:hideMark/>
          </w:tcPr>
          <w:p w14:paraId="01E202AB"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2,202</w:t>
            </w:r>
          </w:p>
        </w:tc>
        <w:tc>
          <w:tcPr>
            <w:tcW w:w="940" w:type="dxa"/>
            <w:tcBorders>
              <w:top w:val="single" w:sz="4" w:space="0" w:color="00688D"/>
              <w:left w:val="nil"/>
              <w:bottom w:val="single" w:sz="4" w:space="0" w:color="00688D"/>
              <w:right w:val="nil"/>
            </w:tcBorders>
            <w:shd w:val="clear" w:color="000000" w:fill="FFFFFF"/>
            <w:noWrap/>
            <w:vAlign w:val="bottom"/>
            <w:hideMark/>
          </w:tcPr>
          <w:p w14:paraId="568D1025"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817</w:t>
            </w:r>
          </w:p>
        </w:tc>
        <w:tc>
          <w:tcPr>
            <w:tcW w:w="945" w:type="dxa"/>
            <w:tcBorders>
              <w:top w:val="single" w:sz="4" w:space="0" w:color="00688D"/>
              <w:left w:val="nil"/>
              <w:bottom w:val="single" w:sz="4" w:space="0" w:color="00688D"/>
              <w:right w:val="nil"/>
            </w:tcBorders>
            <w:shd w:val="clear" w:color="000000" w:fill="FFFFFF"/>
            <w:noWrap/>
            <w:vAlign w:val="bottom"/>
            <w:hideMark/>
          </w:tcPr>
          <w:p w14:paraId="7CB133DB"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3,019</w:t>
            </w:r>
          </w:p>
        </w:tc>
        <w:tc>
          <w:tcPr>
            <w:tcW w:w="971" w:type="dxa"/>
            <w:tcBorders>
              <w:top w:val="single" w:sz="4" w:space="0" w:color="00688D"/>
              <w:left w:val="nil"/>
              <w:bottom w:val="single" w:sz="4" w:space="0" w:color="00688D"/>
              <w:right w:val="nil"/>
            </w:tcBorders>
            <w:shd w:val="clear" w:color="000000" w:fill="FFFFFF"/>
            <w:noWrap/>
            <w:vAlign w:val="bottom"/>
            <w:hideMark/>
          </w:tcPr>
          <w:p w14:paraId="351F564A"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24,649</w:t>
            </w:r>
          </w:p>
        </w:tc>
      </w:tr>
      <w:tr w:rsidR="00051D7E" w:rsidRPr="008D0420" w14:paraId="66C35677" w14:textId="77777777" w:rsidTr="007531FB">
        <w:trPr>
          <w:trHeight w:val="288"/>
        </w:trPr>
        <w:tc>
          <w:tcPr>
            <w:tcW w:w="5244" w:type="dxa"/>
            <w:tcBorders>
              <w:top w:val="nil"/>
              <w:left w:val="nil"/>
              <w:bottom w:val="nil"/>
              <w:right w:val="nil"/>
            </w:tcBorders>
            <w:shd w:val="clear" w:color="000000" w:fill="FFFFFF"/>
            <w:noWrap/>
            <w:vAlign w:val="bottom"/>
            <w:hideMark/>
          </w:tcPr>
          <w:p w14:paraId="01684E55"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Deferred inflows of resources</w:t>
            </w:r>
          </w:p>
        </w:tc>
        <w:tc>
          <w:tcPr>
            <w:tcW w:w="1260" w:type="dxa"/>
            <w:tcBorders>
              <w:top w:val="nil"/>
              <w:left w:val="nil"/>
              <w:bottom w:val="nil"/>
              <w:right w:val="nil"/>
            </w:tcBorders>
            <w:shd w:val="clear" w:color="000000" w:fill="FFFFFF"/>
            <w:noWrap/>
            <w:vAlign w:val="bottom"/>
            <w:hideMark/>
          </w:tcPr>
          <w:p w14:paraId="1991CC80"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w:t>
            </w:r>
          </w:p>
        </w:tc>
        <w:tc>
          <w:tcPr>
            <w:tcW w:w="940" w:type="dxa"/>
            <w:tcBorders>
              <w:top w:val="nil"/>
              <w:left w:val="nil"/>
              <w:bottom w:val="nil"/>
              <w:right w:val="nil"/>
            </w:tcBorders>
            <w:shd w:val="clear" w:color="000000" w:fill="FFFFFF"/>
            <w:noWrap/>
            <w:vAlign w:val="bottom"/>
            <w:hideMark/>
          </w:tcPr>
          <w:p w14:paraId="095F1821"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w:t>
            </w:r>
          </w:p>
        </w:tc>
        <w:tc>
          <w:tcPr>
            <w:tcW w:w="945" w:type="dxa"/>
            <w:tcBorders>
              <w:top w:val="nil"/>
              <w:left w:val="nil"/>
              <w:bottom w:val="nil"/>
              <w:right w:val="nil"/>
            </w:tcBorders>
            <w:shd w:val="clear" w:color="000000" w:fill="FFFFFF"/>
            <w:noWrap/>
            <w:vAlign w:val="bottom"/>
            <w:hideMark/>
          </w:tcPr>
          <w:p w14:paraId="202D6FDC"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w:t>
            </w:r>
          </w:p>
        </w:tc>
        <w:tc>
          <w:tcPr>
            <w:tcW w:w="971" w:type="dxa"/>
            <w:tcBorders>
              <w:top w:val="nil"/>
              <w:left w:val="nil"/>
              <w:bottom w:val="nil"/>
              <w:right w:val="nil"/>
            </w:tcBorders>
            <w:shd w:val="clear" w:color="000000" w:fill="FFFFFF"/>
            <w:noWrap/>
            <w:vAlign w:val="bottom"/>
            <w:hideMark/>
          </w:tcPr>
          <w:p w14:paraId="0A292028"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w:t>
            </w:r>
          </w:p>
        </w:tc>
      </w:tr>
      <w:tr w:rsidR="00051D7E" w:rsidRPr="008D0420" w14:paraId="3293E7F3" w14:textId="77777777" w:rsidTr="007531FB">
        <w:trPr>
          <w:trHeight w:val="288"/>
        </w:trPr>
        <w:tc>
          <w:tcPr>
            <w:tcW w:w="5244" w:type="dxa"/>
            <w:tcBorders>
              <w:top w:val="nil"/>
              <w:left w:val="nil"/>
              <w:bottom w:val="nil"/>
              <w:right w:val="nil"/>
            </w:tcBorders>
            <w:shd w:val="clear" w:color="000000" w:fill="FFFFFF"/>
            <w:noWrap/>
            <w:vAlign w:val="bottom"/>
            <w:hideMark/>
          </w:tcPr>
          <w:p w14:paraId="6ED8F0B3" w14:textId="77777777" w:rsidR="00051D7E" w:rsidRPr="008D0420" w:rsidRDefault="00051D7E" w:rsidP="007531FB">
            <w:pPr>
              <w:ind w:firstLineChars="100" w:firstLine="220"/>
              <w:rPr>
                <w:rFonts w:ascii="Calibri" w:eastAsia="Times New Roman" w:hAnsi="Calibri" w:cs="Calibri"/>
                <w:color w:val="0D0D0D"/>
              </w:rPr>
            </w:pPr>
            <w:r w:rsidRPr="008D0420">
              <w:rPr>
                <w:rFonts w:ascii="Calibri" w:eastAsia="Times New Roman" w:hAnsi="Calibri" w:cs="Calibri"/>
                <w:color w:val="0D0D0D"/>
              </w:rPr>
              <w:t>Changes of assumption or other inputs</w:t>
            </w:r>
          </w:p>
        </w:tc>
        <w:tc>
          <w:tcPr>
            <w:tcW w:w="1260" w:type="dxa"/>
            <w:tcBorders>
              <w:top w:val="nil"/>
              <w:left w:val="nil"/>
              <w:bottom w:val="nil"/>
              <w:right w:val="nil"/>
            </w:tcBorders>
            <w:shd w:val="clear" w:color="000000" w:fill="FFFFFF"/>
            <w:noWrap/>
            <w:vAlign w:val="bottom"/>
            <w:hideMark/>
          </w:tcPr>
          <w:p w14:paraId="139706E7"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414</w:t>
            </w:r>
          </w:p>
        </w:tc>
        <w:tc>
          <w:tcPr>
            <w:tcW w:w="940" w:type="dxa"/>
            <w:tcBorders>
              <w:top w:val="nil"/>
              <w:left w:val="nil"/>
              <w:bottom w:val="nil"/>
              <w:right w:val="nil"/>
            </w:tcBorders>
            <w:shd w:val="clear" w:color="000000" w:fill="FFFFFF"/>
            <w:noWrap/>
            <w:vAlign w:val="bottom"/>
            <w:hideMark/>
          </w:tcPr>
          <w:p w14:paraId="23F099C5"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c>
          <w:tcPr>
            <w:tcW w:w="945" w:type="dxa"/>
            <w:tcBorders>
              <w:top w:val="nil"/>
              <w:left w:val="nil"/>
              <w:bottom w:val="nil"/>
              <w:right w:val="nil"/>
            </w:tcBorders>
            <w:shd w:val="clear" w:color="000000" w:fill="FFFFFF"/>
            <w:noWrap/>
            <w:vAlign w:val="bottom"/>
            <w:hideMark/>
          </w:tcPr>
          <w:p w14:paraId="6047E9D7"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414</w:t>
            </w:r>
          </w:p>
        </w:tc>
        <w:tc>
          <w:tcPr>
            <w:tcW w:w="971" w:type="dxa"/>
            <w:tcBorders>
              <w:top w:val="nil"/>
              <w:left w:val="nil"/>
              <w:bottom w:val="nil"/>
              <w:right w:val="nil"/>
            </w:tcBorders>
            <w:shd w:val="clear" w:color="000000" w:fill="FFFFFF"/>
            <w:noWrap/>
            <w:vAlign w:val="bottom"/>
            <w:hideMark/>
          </w:tcPr>
          <w:p w14:paraId="41E2BDB0"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r>
      <w:tr w:rsidR="00051D7E" w:rsidRPr="008D0420" w14:paraId="5D1F087B" w14:textId="77777777" w:rsidTr="007531FB">
        <w:trPr>
          <w:trHeight w:val="306"/>
        </w:trPr>
        <w:tc>
          <w:tcPr>
            <w:tcW w:w="5244" w:type="dxa"/>
            <w:tcBorders>
              <w:top w:val="nil"/>
              <w:left w:val="nil"/>
              <w:bottom w:val="nil"/>
              <w:right w:val="nil"/>
            </w:tcBorders>
            <w:shd w:val="clear" w:color="000000" w:fill="FFFFFF"/>
            <w:vAlign w:val="bottom"/>
            <w:hideMark/>
          </w:tcPr>
          <w:p w14:paraId="6F36150A" w14:textId="77777777" w:rsidR="00051D7E" w:rsidRPr="008D0420" w:rsidRDefault="00051D7E" w:rsidP="007531FB">
            <w:pPr>
              <w:ind w:firstLineChars="100" w:firstLine="220"/>
              <w:rPr>
                <w:rFonts w:ascii="Calibri" w:eastAsia="Times New Roman" w:hAnsi="Calibri" w:cs="Calibri"/>
                <w:color w:val="0D0D0D"/>
              </w:rPr>
            </w:pPr>
            <w:r w:rsidRPr="008D0420">
              <w:rPr>
                <w:rFonts w:ascii="Calibri" w:eastAsia="Times New Roman" w:hAnsi="Calibri" w:cs="Calibri"/>
                <w:color w:val="0D0D0D"/>
              </w:rPr>
              <w:t>Difference between expected and actual experience</w:t>
            </w:r>
          </w:p>
        </w:tc>
        <w:tc>
          <w:tcPr>
            <w:tcW w:w="1260" w:type="dxa"/>
            <w:tcBorders>
              <w:top w:val="nil"/>
              <w:left w:val="nil"/>
              <w:bottom w:val="nil"/>
              <w:right w:val="nil"/>
            </w:tcBorders>
            <w:shd w:val="clear" w:color="000000" w:fill="FFFFFF"/>
            <w:noWrap/>
            <w:vAlign w:val="bottom"/>
            <w:hideMark/>
          </w:tcPr>
          <w:p w14:paraId="08D21094"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654</w:t>
            </w:r>
          </w:p>
        </w:tc>
        <w:tc>
          <w:tcPr>
            <w:tcW w:w="940" w:type="dxa"/>
            <w:tcBorders>
              <w:top w:val="nil"/>
              <w:left w:val="nil"/>
              <w:bottom w:val="nil"/>
              <w:right w:val="nil"/>
            </w:tcBorders>
            <w:shd w:val="clear" w:color="000000" w:fill="FFFFFF"/>
            <w:noWrap/>
            <w:vAlign w:val="bottom"/>
            <w:hideMark/>
          </w:tcPr>
          <w:p w14:paraId="7DD2BFA0"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c>
          <w:tcPr>
            <w:tcW w:w="945" w:type="dxa"/>
            <w:tcBorders>
              <w:top w:val="nil"/>
              <w:left w:val="nil"/>
              <w:bottom w:val="nil"/>
              <w:right w:val="nil"/>
            </w:tcBorders>
            <w:shd w:val="clear" w:color="000000" w:fill="FFFFFF"/>
            <w:noWrap/>
            <w:vAlign w:val="bottom"/>
            <w:hideMark/>
          </w:tcPr>
          <w:p w14:paraId="190E505E"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654</w:t>
            </w:r>
          </w:p>
        </w:tc>
        <w:tc>
          <w:tcPr>
            <w:tcW w:w="971" w:type="dxa"/>
            <w:tcBorders>
              <w:top w:val="nil"/>
              <w:left w:val="nil"/>
              <w:bottom w:val="nil"/>
              <w:right w:val="nil"/>
            </w:tcBorders>
            <w:shd w:val="clear" w:color="000000" w:fill="FFFFFF"/>
            <w:noWrap/>
            <w:vAlign w:val="bottom"/>
            <w:hideMark/>
          </w:tcPr>
          <w:p w14:paraId="552DE7B6"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29,004</w:t>
            </w:r>
          </w:p>
        </w:tc>
      </w:tr>
      <w:tr w:rsidR="00051D7E" w:rsidRPr="008D0420" w14:paraId="0C6424D2" w14:textId="77777777" w:rsidTr="007531FB">
        <w:trPr>
          <w:trHeight w:val="288"/>
        </w:trPr>
        <w:tc>
          <w:tcPr>
            <w:tcW w:w="5244" w:type="dxa"/>
            <w:tcBorders>
              <w:top w:val="single" w:sz="4" w:space="0" w:color="00688D"/>
              <w:left w:val="nil"/>
              <w:bottom w:val="single" w:sz="4" w:space="0" w:color="00688D"/>
              <w:right w:val="nil"/>
            </w:tcBorders>
            <w:shd w:val="clear" w:color="000000" w:fill="FFFFFF"/>
            <w:noWrap/>
            <w:vAlign w:val="bottom"/>
            <w:hideMark/>
          </w:tcPr>
          <w:p w14:paraId="0A954EF2" w14:textId="77777777" w:rsidR="00051D7E" w:rsidRPr="008D0420" w:rsidRDefault="00051D7E" w:rsidP="007531FB">
            <w:pPr>
              <w:ind w:firstLineChars="200" w:firstLine="440"/>
              <w:rPr>
                <w:rFonts w:ascii="Calibri" w:eastAsia="Times New Roman" w:hAnsi="Calibri" w:cs="Calibri"/>
                <w:color w:val="0D0D0D"/>
              </w:rPr>
            </w:pPr>
            <w:r w:rsidRPr="008D0420">
              <w:rPr>
                <w:rFonts w:ascii="Calibri" w:eastAsia="Times New Roman" w:hAnsi="Calibri" w:cs="Calibri"/>
                <w:color w:val="0D0D0D"/>
              </w:rPr>
              <w:t>Total deferred inflows of resources</w:t>
            </w:r>
          </w:p>
        </w:tc>
        <w:tc>
          <w:tcPr>
            <w:tcW w:w="1260" w:type="dxa"/>
            <w:tcBorders>
              <w:top w:val="single" w:sz="4" w:space="0" w:color="00688D"/>
              <w:left w:val="nil"/>
              <w:bottom w:val="single" w:sz="4" w:space="0" w:color="00688D"/>
              <w:right w:val="nil"/>
            </w:tcBorders>
            <w:shd w:val="clear" w:color="000000" w:fill="FFFFFF"/>
            <w:noWrap/>
            <w:vAlign w:val="bottom"/>
            <w:hideMark/>
          </w:tcPr>
          <w:p w14:paraId="1D0261D9"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1,068</w:t>
            </w:r>
          </w:p>
        </w:tc>
        <w:tc>
          <w:tcPr>
            <w:tcW w:w="940" w:type="dxa"/>
            <w:tcBorders>
              <w:top w:val="single" w:sz="4" w:space="0" w:color="00688D"/>
              <w:left w:val="nil"/>
              <w:bottom w:val="single" w:sz="4" w:space="0" w:color="00688D"/>
              <w:right w:val="nil"/>
            </w:tcBorders>
            <w:shd w:val="clear" w:color="000000" w:fill="FFFFFF"/>
            <w:noWrap/>
            <w:vAlign w:val="bottom"/>
            <w:hideMark/>
          </w:tcPr>
          <w:p w14:paraId="7F7083B1"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w:t>
            </w:r>
          </w:p>
        </w:tc>
        <w:tc>
          <w:tcPr>
            <w:tcW w:w="945" w:type="dxa"/>
            <w:tcBorders>
              <w:top w:val="single" w:sz="4" w:space="0" w:color="00688D"/>
              <w:left w:val="nil"/>
              <w:bottom w:val="single" w:sz="4" w:space="0" w:color="00688D"/>
              <w:right w:val="nil"/>
            </w:tcBorders>
            <w:shd w:val="clear" w:color="000000" w:fill="FFFFFF"/>
            <w:noWrap/>
            <w:vAlign w:val="bottom"/>
            <w:hideMark/>
          </w:tcPr>
          <w:p w14:paraId="1A79108B"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1,068</w:t>
            </w:r>
          </w:p>
        </w:tc>
        <w:tc>
          <w:tcPr>
            <w:tcW w:w="971" w:type="dxa"/>
            <w:tcBorders>
              <w:top w:val="single" w:sz="4" w:space="0" w:color="00688D"/>
              <w:left w:val="nil"/>
              <w:bottom w:val="single" w:sz="4" w:space="0" w:color="00688D"/>
              <w:right w:val="nil"/>
            </w:tcBorders>
            <w:shd w:val="clear" w:color="000000" w:fill="FFFFFF"/>
            <w:noWrap/>
            <w:vAlign w:val="bottom"/>
            <w:hideMark/>
          </w:tcPr>
          <w:p w14:paraId="317C660F"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29,004</w:t>
            </w:r>
          </w:p>
        </w:tc>
      </w:tr>
      <w:tr w:rsidR="00051D7E" w:rsidRPr="008D0420" w14:paraId="454C3960" w14:textId="77777777" w:rsidTr="007531FB">
        <w:trPr>
          <w:trHeight w:val="300"/>
        </w:trPr>
        <w:tc>
          <w:tcPr>
            <w:tcW w:w="5244" w:type="dxa"/>
            <w:tcBorders>
              <w:top w:val="nil"/>
              <w:left w:val="nil"/>
              <w:bottom w:val="double" w:sz="6" w:space="0" w:color="00688D"/>
              <w:right w:val="nil"/>
            </w:tcBorders>
            <w:shd w:val="clear" w:color="000000" w:fill="FFFFFF"/>
            <w:noWrap/>
            <w:vAlign w:val="bottom"/>
            <w:hideMark/>
          </w:tcPr>
          <w:p w14:paraId="78E537D2" w14:textId="77777777" w:rsidR="00051D7E" w:rsidRPr="008D0420" w:rsidRDefault="00051D7E" w:rsidP="007531FB">
            <w:pPr>
              <w:rPr>
                <w:rFonts w:ascii="Calibri" w:eastAsia="Times New Roman" w:hAnsi="Calibri" w:cs="Calibri"/>
                <w:color w:val="0D0D0D"/>
              </w:rPr>
            </w:pPr>
            <w:r w:rsidRPr="008D0420">
              <w:rPr>
                <w:rFonts w:ascii="Calibri" w:eastAsia="Times New Roman" w:hAnsi="Calibri" w:cs="Calibri"/>
                <w:color w:val="0D0D0D"/>
              </w:rPr>
              <w:t>Net deferred outflows (inflows)</w:t>
            </w:r>
          </w:p>
        </w:tc>
        <w:tc>
          <w:tcPr>
            <w:tcW w:w="1260" w:type="dxa"/>
            <w:tcBorders>
              <w:top w:val="nil"/>
              <w:left w:val="nil"/>
              <w:bottom w:val="double" w:sz="6" w:space="0" w:color="00688D"/>
              <w:right w:val="nil"/>
            </w:tcBorders>
            <w:shd w:val="clear" w:color="000000" w:fill="FFFFFF"/>
            <w:noWrap/>
            <w:vAlign w:val="bottom"/>
            <w:hideMark/>
          </w:tcPr>
          <w:p w14:paraId="0C9B6196" w14:textId="77777777" w:rsidR="00051D7E" w:rsidRPr="008D0420" w:rsidRDefault="00051D7E" w:rsidP="007531FB">
            <w:pPr>
              <w:jc w:val="right"/>
              <w:rPr>
                <w:rFonts w:ascii="Calibri" w:eastAsia="Times New Roman" w:hAnsi="Calibri" w:cs="Calibri"/>
                <w:color w:val="0D0D0D"/>
              </w:rPr>
            </w:pPr>
            <w:r>
              <w:rPr>
                <w:rFonts w:ascii="Calibri" w:eastAsia="Times New Roman" w:hAnsi="Calibri" w:cs="Calibri"/>
                <w:color w:val="0D0D0D"/>
              </w:rPr>
              <w:t>$        1,134</w:t>
            </w:r>
          </w:p>
        </w:tc>
        <w:tc>
          <w:tcPr>
            <w:tcW w:w="940" w:type="dxa"/>
            <w:tcBorders>
              <w:top w:val="nil"/>
              <w:left w:val="nil"/>
              <w:bottom w:val="double" w:sz="6" w:space="0" w:color="00688D"/>
              <w:right w:val="nil"/>
            </w:tcBorders>
            <w:shd w:val="clear" w:color="000000" w:fill="FFFFFF"/>
            <w:noWrap/>
            <w:vAlign w:val="bottom"/>
            <w:hideMark/>
          </w:tcPr>
          <w:p w14:paraId="3FFB795B"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817</w:t>
            </w:r>
          </w:p>
        </w:tc>
        <w:tc>
          <w:tcPr>
            <w:tcW w:w="945" w:type="dxa"/>
            <w:tcBorders>
              <w:top w:val="nil"/>
              <w:left w:val="nil"/>
              <w:bottom w:val="double" w:sz="6" w:space="0" w:color="00688D"/>
              <w:right w:val="nil"/>
            </w:tcBorders>
            <w:shd w:val="clear" w:color="000000" w:fill="FFFFFF"/>
            <w:noWrap/>
            <w:vAlign w:val="bottom"/>
            <w:hideMark/>
          </w:tcPr>
          <w:p w14:paraId="2D6B64F0"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  1,951</w:t>
            </w:r>
          </w:p>
        </w:tc>
        <w:tc>
          <w:tcPr>
            <w:tcW w:w="971" w:type="dxa"/>
            <w:tcBorders>
              <w:top w:val="nil"/>
              <w:left w:val="nil"/>
              <w:bottom w:val="double" w:sz="6" w:space="0" w:color="00688D"/>
              <w:right w:val="nil"/>
            </w:tcBorders>
            <w:shd w:val="clear" w:color="000000" w:fill="FFFFFF"/>
            <w:noWrap/>
            <w:vAlign w:val="bottom"/>
            <w:hideMark/>
          </w:tcPr>
          <w:p w14:paraId="0C0C0C9A" w14:textId="77777777" w:rsidR="00051D7E" w:rsidRPr="008D0420" w:rsidRDefault="00051D7E" w:rsidP="007531FB">
            <w:pPr>
              <w:jc w:val="right"/>
              <w:rPr>
                <w:rFonts w:ascii="Calibri" w:eastAsia="Times New Roman" w:hAnsi="Calibri" w:cs="Calibri"/>
                <w:color w:val="0D0D0D"/>
              </w:rPr>
            </w:pPr>
            <w:r w:rsidRPr="008D0420">
              <w:rPr>
                <w:rFonts w:ascii="Calibri" w:eastAsia="Times New Roman" w:hAnsi="Calibri" w:cs="Calibri"/>
                <w:color w:val="0D0D0D"/>
              </w:rPr>
              <w:t>$(4,355)</w:t>
            </w:r>
          </w:p>
        </w:tc>
      </w:tr>
    </w:tbl>
    <w:p w14:paraId="34EE4AA3" w14:textId="6B529DFB" w:rsidR="00051D7E" w:rsidRDefault="00051D7E" w:rsidP="00051D7E">
      <w:pPr>
        <w:tabs>
          <w:tab w:val="left" w:pos="900"/>
        </w:tabs>
        <w:spacing w:before="240" w:after="240"/>
        <w:rPr>
          <w:rFonts w:cstheme="minorHAnsi"/>
          <w:sz w:val="26"/>
          <w:szCs w:val="26"/>
        </w:rPr>
      </w:pPr>
      <w:r w:rsidRPr="00F54559">
        <w:rPr>
          <w:rFonts w:cstheme="minorHAnsi"/>
          <w:sz w:val="24"/>
        </w:rPr>
        <w:t>Deferred outflows of resources and deferred inflows of resources related to pensions and OPEB will be recognized in pension expense and postemployment health expense, respectively, during the years ending June 30 as follows:</w:t>
      </w:r>
      <w:r>
        <w:rPr>
          <w:rFonts w:cstheme="minorHAnsi"/>
          <w:sz w:val="26"/>
          <w:szCs w:val="26"/>
        </w:rPr>
        <w:fldChar w:fldCharType="begin"/>
      </w:r>
      <w:r>
        <w:rPr>
          <w:rFonts w:cstheme="minorHAnsi"/>
          <w:sz w:val="26"/>
          <w:szCs w:val="26"/>
        </w:rPr>
        <w:fldChar w:fldCharType="end"/>
      </w:r>
    </w:p>
    <w:tbl>
      <w:tblPr>
        <w:tblW w:w="5760" w:type="dxa"/>
        <w:jc w:val="center"/>
        <w:tblLayout w:type="fixed"/>
        <w:tblLook w:val="04A0" w:firstRow="1" w:lastRow="0" w:firstColumn="1" w:lastColumn="0" w:noHBand="0" w:noVBand="1"/>
      </w:tblPr>
      <w:tblGrid>
        <w:gridCol w:w="1350"/>
        <w:gridCol w:w="1260"/>
        <w:gridCol w:w="1080"/>
        <w:gridCol w:w="990"/>
        <w:gridCol w:w="1080"/>
      </w:tblGrid>
      <w:tr w:rsidR="00051D7E" w:rsidRPr="00560663" w14:paraId="07AF2E1D" w14:textId="77777777" w:rsidTr="007531FB">
        <w:trPr>
          <w:trHeight w:val="876"/>
          <w:tblHeader/>
          <w:jc w:val="center"/>
        </w:trPr>
        <w:tc>
          <w:tcPr>
            <w:tcW w:w="1350" w:type="dxa"/>
            <w:tcBorders>
              <w:top w:val="nil"/>
              <w:left w:val="nil"/>
              <w:bottom w:val="single" w:sz="12" w:space="0" w:color="00688D"/>
              <w:right w:val="nil"/>
            </w:tcBorders>
            <w:shd w:val="clear" w:color="000000" w:fill="FFFFFF"/>
            <w:vAlign w:val="bottom"/>
            <w:hideMark/>
          </w:tcPr>
          <w:p w14:paraId="34B2181F" w14:textId="77777777" w:rsidR="00051D7E" w:rsidRPr="009F2BED" w:rsidRDefault="00051D7E" w:rsidP="007531FB">
            <w:pPr>
              <w:jc w:val="center"/>
              <w:rPr>
                <w:rFonts w:ascii="Calibri" w:eastAsia="Times New Roman" w:hAnsi="Calibri" w:cs="Calibri"/>
                <w:bCs/>
                <w:color w:val="0D0D0D"/>
              </w:rPr>
            </w:pPr>
            <w:r w:rsidRPr="009F2BED">
              <w:rPr>
                <w:rFonts w:ascii="Calibri" w:eastAsia="Times New Roman" w:hAnsi="Calibri" w:cs="Calibri"/>
                <w:bCs/>
                <w:color w:val="0D0D0D"/>
              </w:rPr>
              <w:t>Year Ending June 30:</w:t>
            </w:r>
          </w:p>
        </w:tc>
        <w:tc>
          <w:tcPr>
            <w:tcW w:w="1260" w:type="dxa"/>
            <w:tcBorders>
              <w:top w:val="nil"/>
              <w:left w:val="nil"/>
              <w:bottom w:val="single" w:sz="12" w:space="0" w:color="00688D"/>
              <w:right w:val="nil"/>
            </w:tcBorders>
            <w:shd w:val="clear" w:color="000000" w:fill="FFFFFF"/>
            <w:vAlign w:val="bottom"/>
            <w:hideMark/>
          </w:tcPr>
          <w:p w14:paraId="2F542CFD" w14:textId="77777777" w:rsidR="00051D7E" w:rsidRPr="009F2BED" w:rsidRDefault="00051D7E" w:rsidP="007531FB">
            <w:pPr>
              <w:jc w:val="center"/>
              <w:rPr>
                <w:rFonts w:ascii="Calibri" w:eastAsia="Times New Roman" w:hAnsi="Calibri" w:cs="Calibri"/>
                <w:bCs/>
                <w:color w:val="0D0D0D"/>
              </w:rPr>
            </w:pPr>
            <w:r w:rsidRPr="009F2BED">
              <w:rPr>
                <w:rFonts w:ascii="Calibri" w:eastAsia="Times New Roman" w:hAnsi="Calibri" w:cs="Calibri"/>
                <w:bCs/>
                <w:color w:val="0D0D0D"/>
              </w:rPr>
              <w:t>Incentive Retirement Plan</w:t>
            </w:r>
          </w:p>
        </w:tc>
        <w:tc>
          <w:tcPr>
            <w:tcW w:w="1080" w:type="dxa"/>
            <w:tcBorders>
              <w:top w:val="nil"/>
              <w:left w:val="nil"/>
              <w:bottom w:val="single" w:sz="12" w:space="0" w:color="00688D"/>
              <w:right w:val="nil"/>
            </w:tcBorders>
            <w:shd w:val="clear" w:color="000000" w:fill="FFFFFF"/>
            <w:vAlign w:val="bottom"/>
            <w:hideMark/>
          </w:tcPr>
          <w:p w14:paraId="4B4EA393" w14:textId="77777777" w:rsidR="00051D7E" w:rsidRPr="009F2BED" w:rsidRDefault="00051D7E" w:rsidP="007531FB">
            <w:pPr>
              <w:jc w:val="center"/>
              <w:rPr>
                <w:rFonts w:ascii="Calibri" w:eastAsia="Times New Roman" w:hAnsi="Calibri" w:cs="Calibri"/>
                <w:bCs/>
                <w:color w:val="0D0D0D"/>
              </w:rPr>
            </w:pPr>
            <w:r w:rsidRPr="009F2BED">
              <w:rPr>
                <w:rFonts w:ascii="Calibri" w:eastAsia="Times New Roman" w:hAnsi="Calibri" w:cs="Calibri"/>
                <w:bCs/>
                <w:color w:val="0D0D0D"/>
              </w:rPr>
              <w:t>Defined Benefit Plan</w:t>
            </w:r>
          </w:p>
        </w:tc>
        <w:tc>
          <w:tcPr>
            <w:tcW w:w="990" w:type="dxa"/>
            <w:tcBorders>
              <w:top w:val="nil"/>
              <w:left w:val="nil"/>
              <w:bottom w:val="single" w:sz="12" w:space="0" w:color="00688D"/>
              <w:right w:val="nil"/>
            </w:tcBorders>
            <w:shd w:val="clear" w:color="000000" w:fill="FFFFFF"/>
            <w:vAlign w:val="bottom"/>
            <w:hideMark/>
          </w:tcPr>
          <w:p w14:paraId="22E62B0D" w14:textId="77777777" w:rsidR="00051D7E" w:rsidRPr="009F2BED" w:rsidRDefault="00051D7E" w:rsidP="007531FB">
            <w:pPr>
              <w:jc w:val="center"/>
              <w:rPr>
                <w:rFonts w:ascii="Calibri" w:eastAsia="Times New Roman" w:hAnsi="Calibri" w:cs="Calibri"/>
                <w:bCs/>
                <w:color w:val="0D0D0D"/>
              </w:rPr>
            </w:pPr>
            <w:r w:rsidRPr="009F2BED">
              <w:rPr>
                <w:rFonts w:ascii="Calibri" w:eastAsia="Times New Roman" w:hAnsi="Calibri" w:cs="Calibri"/>
                <w:bCs/>
                <w:color w:val="0D0D0D"/>
              </w:rPr>
              <w:t>Total Pension</w:t>
            </w:r>
          </w:p>
        </w:tc>
        <w:tc>
          <w:tcPr>
            <w:tcW w:w="1080" w:type="dxa"/>
            <w:tcBorders>
              <w:top w:val="nil"/>
              <w:left w:val="nil"/>
              <w:bottom w:val="single" w:sz="12" w:space="0" w:color="00688D"/>
              <w:right w:val="nil"/>
            </w:tcBorders>
            <w:shd w:val="clear" w:color="000000" w:fill="FFFFFF"/>
            <w:vAlign w:val="bottom"/>
            <w:hideMark/>
          </w:tcPr>
          <w:p w14:paraId="730E53BB" w14:textId="77777777" w:rsidR="00051D7E" w:rsidRPr="009F2BED" w:rsidRDefault="00051D7E" w:rsidP="007531FB">
            <w:pPr>
              <w:jc w:val="center"/>
              <w:rPr>
                <w:rFonts w:ascii="Calibri" w:eastAsia="Times New Roman" w:hAnsi="Calibri" w:cs="Calibri"/>
                <w:bCs/>
                <w:color w:val="0D0D0D"/>
              </w:rPr>
            </w:pPr>
            <w:r w:rsidRPr="009F2BED">
              <w:rPr>
                <w:rFonts w:ascii="Calibri" w:eastAsia="Times New Roman" w:hAnsi="Calibri" w:cs="Calibri"/>
                <w:bCs/>
                <w:color w:val="0D0D0D"/>
              </w:rPr>
              <w:t>OPEB</w:t>
            </w:r>
          </w:p>
        </w:tc>
      </w:tr>
      <w:tr w:rsidR="00051D7E" w:rsidRPr="00560663" w14:paraId="57D7A2AC" w14:textId="77777777" w:rsidTr="007531FB">
        <w:trPr>
          <w:trHeight w:val="300"/>
          <w:jc w:val="center"/>
        </w:trPr>
        <w:tc>
          <w:tcPr>
            <w:tcW w:w="1350" w:type="dxa"/>
            <w:tcBorders>
              <w:top w:val="nil"/>
              <w:left w:val="nil"/>
              <w:bottom w:val="nil"/>
              <w:right w:val="nil"/>
            </w:tcBorders>
            <w:shd w:val="clear" w:color="000000" w:fill="FFFFFF"/>
            <w:noWrap/>
            <w:vAlign w:val="bottom"/>
            <w:hideMark/>
          </w:tcPr>
          <w:p w14:paraId="6688C7B4" w14:textId="77777777" w:rsidR="00051D7E" w:rsidRPr="00560663" w:rsidRDefault="00051D7E" w:rsidP="007531FB">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2</w:t>
            </w:r>
          </w:p>
        </w:tc>
        <w:tc>
          <w:tcPr>
            <w:tcW w:w="1260" w:type="dxa"/>
            <w:tcBorders>
              <w:top w:val="nil"/>
              <w:left w:val="nil"/>
              <w:bottom w:val="nil"/>
              <w:right w:val="nil"/>
            </w:tcBorders>
            <w:shd w:val="clear" w:color="000000" w:fill="FFFFFF"/>
            <w:noWrap/>
            <w:vAlign w:val="bottom"/>
            <w:hideMark/>
          </w:tcPr>
          <w:p w14:paraId="286234EF" w14:textId="77777777" w:rsidR="00051D7E" w:rsidRPr="005F1591" w:rsidRDefault="00051D7E" w:rsidP="007531FB">
            <w:pPr>
              <w:jc w:val="right"/>
              <w:rPr>
                <w:rFonts w:ascii="Calibri" w:eastAsia="Times New Roman" w:hAnsi="Calibri" w:cs="Calibri"/>
              </w:rPr>
            </w:pPr>
            <w:r w:rsidRPr="003000BB">
              <w:rPr>
                <w:rFonts w:ascii="Calibri" w:eastAsia="Times New Roman" w:hAnsi="Calibri" w:cs="Calibri"/>
              </w:rPr>
              <w:t xml:space="preserve">$    </w:t>
            </w:r>
            <w:r>
              <w:rPr>
                <w:rFonts w:ascii="Calibri" w:eastAsia="Times New Roman" w:hAnsi="Calibri" w:cs="Calibri"/>
              </w:rPr>
              <w:t>378</w:t>
            </w:r>
          </w:p>
        </w:tc>
        <w:tc>
          <w:tcPr>
            <w:tcW w:w="1080" w:type="dxa"/>
            <w:tcBorders>
              <w:top w:val="nil"/>
              <w:left w:val="nil"/>
              <w:bottom w:val="nil"/>
              <w:right w:val="nil"/>
            </w:tcBorders>
            <w:shd w:val="clear" w:color="000000" w:fill="FFFFFF"/>
            <w:noWrap/>
            <w:vAlign w:val="bottom"/>
            <w:hideMark/>
          </w:tcPr>
          <w:p w14:paraId="5A9587EB"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    (151)</w:t>
            </w:r>
          </w:p>
        </w:tc>
        <w:tc>
          <w:tcPr>
            <w:tcW w:w="990" w:type="dxa"/>
            <w:tcBorders>
              <w:top w:val="nil"/>
              <w:left w:val="nil"/>
              <w:bottom w:val="nil"/>
              <w:right w:val="nil"/>
            </w:tcBorders>
            <w:shd w:val="clear" w:color="000000" w:fill="FFFFFF"/>
            <w:noWrap/>
            <w:vAlign w:val="bottom"/>
            <w:hideMark/>
          </w:tcPr>
          <w:p w14:paraId="358C2D12"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     227</w:t>
            </w:r>
          </w:p>
        </w:tc>
        <w:tc>
          <w:tcPr>
            <w:tcW w:w="1080" w:type="dxa"/>
            <w:tcBorders>
              <w:top w:val="nil"/>
              <w:left w:val="nil"/>
              <w:bottom w:val="nil"/>
              <w:right w:val="nil"/>
            </w:tcBorders>
            <w:shd w:val="clear" w:color="000000" w:fill="FFFFFF"/>
            <w:noWrap/>
            <w:vAlign w:val="bottom"/>
            <w:hideMark/>
          </w:tcPr>
          <w:p w14:paraId="5DA9D830"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$(8,765)</w:t>
            </w:r>
          </w:p>
        </w:tc>
      </w:tr>
      <w:tr w:rsidR="00051D7E" w:rsidRPr="00560663" w14:paraId="15620AE6" w14:textId="77777777" w:rsidTr="007531FB">
        <w:trPr>
          <w:trHeight w:val="288"/>
          <w:jc w:val="center"/>
        </w:trPr>
        <w:tc>
          <w:tcPr>
            <w:tcW w:w="1350" w:type="dxa"/>
            <w:tcBorders>
              <w:top w:val="nil"/>
              <w:left w:val="nil"/>
              <w:bottom w:val="nil"/>
              <w:right w:val="nil"/>
            </w:tcBorders>
            <w:shd w:val="clear" w:color="000000" w:fill="FFFFFF"/>
            <w:noWrap/>
            <w:vAlign w:val="bottom"/>
            <w:hideMark/>
          </w:tcPr>
          <w:p w14:paraId="06887648" w14:textId="77777777" w:rsidR="00051D7E" w:rsidRPr="00560663" w:rsidRDefault="00051D7E" w:rsidP="007531FB">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3</w:t>
            </w:r>
          </w:p>
        </w:tc>
        <w:tc>
          <w:tcPr>
            <w:tcW w:w="1260" w:type="dxa"/>
            <w:tcBorders>
              <w:top w:val="nil"/>
              <w:left w:val="nil"/>
              <w:bottom w:val="nil"/>
              <w:right w:val="nil"/>
            </w:tcBorders>
            <w:shd w:val="clear" w:color="000000" w:fill="FFFFFF"/>
            <w:noWrap/>
            <w:vAlign w:val="bottom"/>
            <w:hideMark/>
          </w:tcPr>
          <w:p w14:paraId="3C2E5ACF"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496</w:t>
            </w:r>
          </w:p>
        </w:tc>
        <w:tc>
          <w:tcPr>
            <w:tcW w:w="1080" w:type="dxa"/>
            <w:tcBorders>
              <w:top w:val="nil"/>
              <w:left w:val="nil"/>
              <w:bottom w:val="nil"/>
              <w:right w:val="nil"/>
            </w:tcBorders>
            <w:shd w:val="clear" w:color="000000" w:fill="FFFFFF"/>
            <w:noWrap/>
            <w:vAlign w:val="bottom"/>
            <w:hideMark/>
          </w:tcPr>
          <w:p w14:paraId="595E88F2"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(252)</w:t>
            </w:r>
          </w:p>
        </w:tc>
        <w:tc>
          <w:tcPr>
            <w:tcW w:w="990" w:type="dxa"/>
            <w:tcBorders>
              <w:top w:val="nil"/>
              <w:left w:val="nil"/>
              <w:bottom w:val="nil"/>
              <w:right w:val="nil"/>
            </w:tcBorders>
            <w:shd w:val="clear" w:color="000000" w:fill="FFFFFF"/>
            <w:noWrap/>
            <w:vAlign w:val="bottom"/>
            <w:hideMark/>
          </w:tcPr>
          <w:p w14:paraId="1AB88C46"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244</w:t>
            </w:r>
          </w:p>
        </w:tc>
        <w:tc>
          <w:tcPr>
            <w:tcW w:w="1080" w:type="dxa"/>
            <w:tcBorders>
              <w:top w:val="nil"/>
              <w:left w:val="nil"/>
              <w:bottom w:val="nil"/>
              <w:right w:val="nil"/>
            </w:tcBorders>
            <w:shd w:val="clear" w:color="000000" w:fill="FFFFFF"/>
            <w:noWrap/>
            <w:vAlign w:val="bottom"/>
            <w:hideMark/>
          </w:tcPr>
          <w:p w14:paraId="34EA2389"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(8,701)</w:t>
            </w:r>
          </w:p>
        </w:tc>
      </w:tr>
      <w:tr w:rsidR="00051D7E" w:rsidRPr="00560663" w14:paraId="1A35739F" w14:textId="77777777" w:rsidTr="007531FB">
        <w:trPr>
          <w:trHeight w:val="288"/>
          <w:jc w:val="center"/>
        </w:trPr>
        <w:tc>
          <w:tcPr>
            <w:tcW w:w="1350" w:type="dxa"/>
            <w:tcBorders>
              <w:top w:val="nil"/>
              <w:left w:val="nil"/>
              <w:bottom w:val="nil"/>
              <w:right w:val="nil"/>
            </w:tcBorders>
            <w:shd w:val="clear" w:color="000000" w:fill="FFFFFF"/>
            <w:noWrap/>
            <w:vAlign w:val="bottom"/>
            <w:hideMark/>
          </w:tcPr>
          <w:p w14:paraId="6D48E202" w14:textId="77777777" w:rsidR="00051D7E" w:rsidRPr="00560663" w:rsidRDefault="00051D7E" w:rsidP="007531FB">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4</w:t>
            </w:r>
          </w:p>
        </w:tc>
        <w:tc>
          <w:tcPr>
            <w:tcW w:w="1260" w:type="dxa"/>
            <w:tcBorders>
              <w:top w:val="nil"/>
              <w:left w:val="nil"/>
              <w:bottom w:val="nil"/>
              <w:right w:val="nil"/>
            </w:tcBorders>
            <w:shd w:val="clear" w:color="000000" w:fill="FFFFFF"/>
            <w:noWrap/>
            <w:vAlign w:val="bottom"/>
            <w:hideMark/>
          </w:tcPr>
          <w:p w14:paraId="2013595E"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388</w:t>
            </w:r>
          </w:p>
        </w:tc>
        <w:tc>
          <w:tcPr>
            <w:tcW w:w="1080" w:type="dxa"/>
            <w:tcBorders>
              <w:top w:val="nil"/>
              <w:left w:val="nil"/>
              <w:bottom w:val="nil"/>
              <w:right w:val="nil"/>
            </w:tcBorders>
            <w:shd w:val="clear" w:color="000000" w:fill="FFFFFF"/>
            <w:noWrap/>
            <w:vAlign w:val="bottom"/>
            <w:hideMark/>
          </w:tcPr>
          <w:p w14:paraId="215841B1"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(369)</w:t>
            </w:r>
          </w:p>
        </w:tc>
        <w:tc>
          <w:tcPr>
            <w:tcW w:w="990" w:type="dxa"/>
            <w:tcBorders>
              <w:top w:val="nil"/>
              <w:left w:val="nil"/>
              <w:bottom w:val="nil"/>
              <w:right w:val="nil"/>
            </w:tcBorders>
            <w:shd w:val="clear" w:color="000000" w:fill="FFFFFF"/>
            <w:noWrap/>
            <w:vAlign w:val="bottom"/>
            <w:hideMark/>
          </w:tcPr>
          <w:p w14:paraId="51DCF546"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19</w:t>
            </w:r>
          </w:p>
        </w:tc>
        <w:tc>
          <w:tcPr>
            <w:tcW w:w="1080" w:type="dxa"/>
            <w:tcBorders>
              <w:top w:val="nil"/>
              <w:left w:val="nil"/>
              <w:bottom w:val="nil"/>
              <w:right w:val="nil"/>
            </w:tcBorders>
            <w:shd w:val="clear" w:color="000000" w:fill="FFFFFF"/>
            <w:noWrap/>
            <w:vAlign w:val="bottom"/>
            <w:hideMark/>
          </w:tcPr>
          <w:p w14:paraId="24BA4D55"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(8,486)</w:t>
            </w:r>
          </w:p>
        </w:tc>
      </w:tr>
      <w:tr w:rsidR="00051D7E" w:rsidRPr="00560663" w14:paraId="3F06175E" w14:textId="77777777" w:rsidTr="007531FB">
        <w:trPr>
          <w:trHeight w:val="288"/>
          <w:jc w:val="center"/>
        </w:trPr>
        <w:tc>
          <w:tcPr>
            <w:tcW w:w="1350" w:type="dxa"/>
            <w:tcBorders>
              <w:top w:val="nil"/>
              <w:left w:val="nil"/>
              <w:bottom w:val="nil"/>
              <w:right w:val="nil"/>
            </w:tcBorders>
            <w:shd w:val="clear" w:color="000000" w:fill="FFFFFF"/>
            <w:noWrap/>
            <w:vAlign w:val="bottom"/>
            <w:hideMark/>
          </w:tcPr>
          <w:p w14:paraId="0FA16804" w14:textId="77777777" w:rsidR="00051D7E" w:rsidRPr="00560663" w:rsidRDefault="00051D7E" w:rsidP="007531FB">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5</w:t>
            </w:r>
          </w:p>
        </w:tc>
        <w:tc>
          <w:tcPr>
            <w:tcW w:w="1260" w:type="dxa"/>
            <w:tcBorders>
              <w:top w:val="nil"/>
              <w:left w:val="nil"/>
              <w:bottom w:val="nil"/>
              <w:right w:val="nil"/>
            </w:tcBorders>
            <w:shd w:val="clear" w:color="000000" w:fill="FFFFFF"/>
            <w:noWrap/>
            <w:vAlign w:val="bottom"/>
            <w:hideMark/>
          </w:tcPr>
          <w:p w14:paraId="3E201F58"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349</w:t>
            </w:r>
          </w:p>
        </w:tc>
        <w:tc>
          <w:tcPr>
            <w:tcW w:w="1080" w:type="dxa"/>
            <w:tcBorders>
              <w:top w:val="nil"/>
              <w:left w:val="nil"/>
              <w:bottom w:val="nil"/>
              <w:right w:val="nil"/>
            </w:tcBorders>
            <w:shd w:val="clear" w:color="000000" w:fill="FFFFFF"/>
            <w:noWrap/>
            <w:vAlign w:val="bottom"/>
            <w:hideMark/>
          </w:tcPr>
          <w:p w14:paraId="715F4E27"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(447)</w:t>
            </w:r>
          </w:p>
        </w:tc>
        <w:tc>
          <w:tcPr>
            <w:tcW w:w="990" w:type="dxa"/>
            <w:tcBorders>
              <w:top w:val="nil"/>
              <w:left w:val="nil"/>
              <w:bottom w:val="nil"/>
              <w:right w:val="nil"/>
            </w:tcBorders>
            <w:shd w:val="clear" w:color="000000" w:fill="FFFFFF"/>
            <w:noWrap/>
            <w:vAlign w:val="bottom"/>
            <w:hideMark/>
          </w:tcPr>
          <w:p w14:paraId="7046308A"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(98)</w:t>
            </w:r>
          </w:p>
        </w:tc>
        <w:tc>
          <w:tcPr>
            <w:tcW w:w="1080" w:type="dxa"/>
            <w:tcBorders>
              <w:top w:val="nil"/>
              <w:left w:val="nil"/>
              <w:bottom w:val="nil"/>
              <w:right w:val="nil"/>
            </w:tcBorders>
            <w:shd w:val="clear" w:color="000000" w:fill="FFFFFF"/>
            <w:noWrap/>
            <w:vAlign w:val="bottom"/>
            <w:hideMark/>
          </w:tcPr>
          <w:p w14:paraId="4FC1206F"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(9,702)</w:t>
            </w:r>
          </w:p>
        </w:tc>
      </w:tr>
      <w:tr w:rsidR="00051D7E" w:rsidRPr="00560663" w14:paraId="1EEFDE9D" w14:textId="77777777" w:rsidTr="007531FB">
        <w:trPr>
          <w:trHeight w:val="288"/>
          <w:jc w:val="center"/>
        </w:trPr>
        <w:tc>
          <w:tcPr>
            <w:tcW w:w="1350" w:type="dxa"/>
            <w:tcBorders>
              <w:top w:val="nil"/>
              <w:left w:val="nil"/>
              <w:bottom w:val="nil"/>
              <w:right w:val="nil"/>
            </w:tcBorders>
            <w:shd w:val="clear" w:color="000000" w:fill="FFFFFF"/>
            <w:noWrap/>
            <w:vAlign w:val="bottom"/>
            <w:hideMark/>
          </w:tcPr>
          <w:p w14:paraId="67BB5134" w14:textId="77777777" w:rsidR="00051D7E" w:rsidRPr="00560663" w:rsidRDefault="00051D7E" w:rsidP="007531FB">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6</w:t>
            </w:r>
          </w:p>
        </w:tc>
        <w:tc>
          <w:tcPr>
            <w:tcW w:w="1260" w:type="dxa"/>
            <w:tcBorders>
              <w:top w:val="nil"/>
              <w:left w:val="nil"/>
              <w:bottom w:val="nil"/>
              <w:right w:val="nil"/>
            </w:tcBorders>
            <w:shd w:val="clear" w:color="000000" w:fill="FFFFFF"/>
            <w:noWrap/>
            <w:vAlign w:val="bottom"/>
            <w:hideMark/>
          </w:tcPr>
          <w:p w14:paraId="182732DA"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291</w:t>
            </w:r>
          </w:p>
        </w:tc>
        <w:tc>
          <w:tcPr>
            <w:tcW w:w="1080" w:type="dxa"/>
            <w:tcBorders>
              <w:top w:val="nil"/>
              <w:left w:val="nil"/>
              <w:bottom w:val="nil"/>
              <w:right w:val="nil"/>
            </w:tcBorders>
            <w:shd w:val="clear" w:color="000000" w:fill="FFFFFF"/>
            <w:noWrap/>
            <w:vAlign w:val="bottom"/>
            <w:hideMark/>
          </w:tcPr>
          <w:p w14:paraId="32D68B72"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6BB05B5E"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291</w:t>
            </w:r>
          </w:p>
        </w:tc>
        <w:tc>
          <w:tcPr>
            <w:tcW w:w="1080" w:type="dxa"/>
            <w:tcBorders>
              <w:top w:val="nil"/>
              <w:left w:val="nil"/>
              <w:bottom w:val="nil"/>
              <w:right w:val="nil"/>
            </w:tcBorders>
            <w:shd w:val="clear" w:color="000000" w:fill="FFFFFF"/>
            <w:noWrap/>
            <w:vAlign w:val="bottom"/>
            <w:hideMark/>
          </w:tcPr>
          <w:p w14:paraId="67AE25E0"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(1,829)</w:t>
            </w:r>
          </w:p>
        </w:tc>
      </w:tr>
      <w:tr w:rsidR="00051D7E" w:rsidRPr="00560663" w14:paraId="36A38EC4" w14:textId="77777777" w:rsidTr="007531FB">
        <w:trPr>
          <w:trHeight w:val="288"/>
          <w:jc w:val="center"/>
        </w:trPr>
        <w:tc>
          <w:tcPr>
            <w:tcW w:w="1350" w:type="dxa"/>
            <w:tcBorders>
              <w:top w:val="nil"/>
              <w:left w:val="nil"/>
              <w:bottom w:val="nil"/>
              <w:right w:val="nil"/>
            </w:tcBorders>
            <w:shd w:val="clear" w:color="000000" w:fill="FFFFFF"/>
            <w:noWrap/>
            <w:vAlign w:val="bottom"/>
            <w:hideMark/>
          </w:tcPr>
          <w:p w14:paraId="733BF783" w14:textId="77777777" w:rsidR="00051D7E" w:rsidRPr="00560663" w:rsidRDefault="00051D7E" w:rsidP="007531FB">
            <w:pPr>
              <w:jc w:val="center"/>
              <w:rPr>
                <w:rFonts w:ascii="Calibri" w:eastAsia="Times New Roman" w:hAnsi="Calibri" w:cs="Calibri"/>
                <w:color w:val="0D0D0D"/>
              </w:rPr>
            </w:pPr>
            <w:r w:rsidRPr="00560663">
              <w:rPr>
                <w:rFonts w:ascii="Calibri" w:eastAsia="Times New Roman" w:hAnsi="Calibri" w:cs="Calibri"/>
                <w:color w:val="0D0D0D"/>
              </w:rPr>
              <w:t>Thereafter</w:t>
            </w:r>
          </w:p>
        </w:tc>
        <w:tc>
          <w:tcPr>
            <w:tcW w:w="1260" w:type="dxa"/>
            <w:tcBorders>
              <w:top w:val="nil"/>
              <w:left w:val="nil"/>
              <w:bottom w:val="nil"/>
              <w:right w:val="nil"/>
            </w:tcBorders>
            <w:shd w:val="clear" w:color="000000" w:fill="FFFFFF"/>
            <w:noWrap/>
            <w:vAlign w:val="bottom"/>
            <w:hideMark/>
          </w:tcPr>
          <w:p w14:paraId="5E934B8F"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63</w:t>
            </w:r>
          </w:p>
        </w:tc>
        <w:tc>
          <w:tcPr>
            <w:tcW w:w="1080" w:type="dxa"/>
            <w:tcBorders>
              <w:top w:val="nil"/>
              <w:left w:val="nil"/>
              <w:bottom w:val="nil"/>
              <w:right w:val="nil"/>
            </w:tcBorders>
            <w:shd w:val="clear" w:color="000000" w:fill="FFFFFF"/>
            <w:noWrap/>
            <w:vAlign w:val="bottom"/>
            <w:hideMark/>
          </w:tcPr>
          <w:p w14:paraId="53C6873D"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023F0448"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63</w:t>
            </w:r>
          </w:p>
        </w:tc>
        <w:tc>
          <w:tcPr>
            <w:tcW w:w="1080" w:type="dxa"/>
            <w:tcBorders>
              <w:top w:val="nil"/>
              <w:left w:val="nil"/>
              <w:bottom w:val="nil"/>
              <w:right w:val="nil"/>
            </w:tcBorders>
            <w:shd w:val="clear" w:color="000000" w:fill="FFFFFF"/>
            <w:noWrap/>
            <w:vAlign w:val="bottom"/>
            <w:hideMark/>
          </w:tcPr>
          <w:p w14:paraId="4693FED2" w14:textId="77777777" w:rsidR="00051D7E" w:rsidRPr="005F1591" w:rsidRDefault="00051D7E" w:rsidP="007531FB">
            <w:pPr>
              <w:jc w:val="right"/>
              <w:rPr>
                <w:rFonts w:ascii="Calibri" w:eastAsia="Times New Roman" w:hAnsi="Calibri" w:cs="Calibri"/>
              </w:rPr>
            </w:pPr>
            <w:r w:rsidRPr="005F1591">
              <w:rPr>
                <w:rFonts w:ascii="Calibri" w:eastAsia="Times New Roman" w:hAnsi="Calibri" w:cs="Calibri"/>
              </w:rPr>
              <w:t>(2,097</w:t>
            </w:r>
            <w:r>
              <w:rPr>
                <w:rFonts w:ascii="Calibri" w:eastAsia="Times New Roman" w:hAnsi="Calibri" w:cs="Calibri"/>
              </w:rPr>
              <w:t>)</w:t>
            </w:r>
          </w:p>
        </w:tc>
      </w:tr>
      <w:tr w:rsidR="00051D7E" w:rsidRPr="00560663" w14:paraId="7C0D1C6F" w14:textId="77777777" w:rsidTr="007531FB">
        <w:trPr>
          <w:trHeight w:val="300"/>
          <w:jc w:val="center"/>
        </w:trPr>
        <w:tc>
          <w:tcPr>
            <w:tcW w:w="1350" w:type="dxa"/>
            <w:tcBorders>
              <w:top w:val="single" w:sz="4" w:space="0" w:color="00688D"/>
              <w:left w:val="nil"/>
              <w:bottom w:val="double" w:sz="6" w:space="0" w:color="00688D"/>
              <w:right w:val="nil"/>
            </w:tcBorders>
            <w:shd w:val="clear" w:color="000000" w:fill="FFFFFF"/>
            <w:noWrap/>
            <w:vAlign w:val="bottom"/>
            <w:hideMark/>
          </w:tcPr>
          <w:p w14:paraId="3BA8C2D4" w14:textId="77777777" w:rsidR="00051D7E" w:rsidRPr="00560663" w:rsidRDefault="00051D7E" w:rsidP="007531FB">
            <w:pPr>
              <w:rPr>
                <w:rFonts w:ascii="Calibri" w:eastAsia="Times New Roman" w:hAnsi="Calibri" w:cs="Calibri"/>
                <w:b/>
                <w:bCs/>
                <w:color w:val="0D0D0D"/>
              </w:rPr>
            </w:pPr>
            <w:r w:rsidRPr="00560663">
              <w:rPr>
                <w:rFonts w:ascii="Calibri" w:eastAsia="Times New Roman" w:hAnsi="Calibri" w:cs="Calibri"/>
                <w:b/>
                <w:bCs/>
                <w:color w:val="0D0D0D"/>
              </w:rPr>
              <w:t> </w:t>
            </w:r>
          </w:p>
        </w:tc>
        <w:tc>
          <w:tcPr>
            <w:tcW w:w="1260" w:type="dxa"/>
            <w:tcBorders>
              <w:top w:val="single" w:sz="4" w:space="0" w:color="00688D"/>
              <w:left w:val="nil"/>
              <w:bottom w:val="double" w:sz="6" w:space="0" w:color="00688D"/>
              <w:right w:val="nil"/>
            </w:tcBorders>
            <w:shd w:val="clear" w:color="000000" w:fill="FFFFFF"/>
            <w:noWrap/>
            <w:vAlign w:val="bottom"/>
            <w:hideMark/>
          </w:tcPr>
          <w:p w14:paraId="54471FBF" w14:textId="54BBE8C2" w:rsidR="00051D7E" w:rsidRPr="00560663" w:rsidRDefault="00051D7E" w:rsidP="007531FB">
            <w:pPr>
              <w:jc w:val="right"/>
              <w:rPr>
                <w:rFonts w:ascii="Calibri" w:eastAsia="Times New Roman" w:hAnsi="Calibri" w:cs="Calibri"/>
                <w:color w:val="0D0D0D"/>
              </w:rPr>
            </w:pPr>
            <w:r w:rsidRPr="00560663">
              <w:rPr>
                <w:rFonts w:ascii="Calibri" w:eastAsia="Times New Roman" w:hAnsi="Calibri" w:cs="Calibri"/>
                <w:color w:val="0D0D0D"/>
              </w:rPr>
              <w:t xml:space="preserve">$ </w:t>
            </w:r>
            <w:r>
              <w:rPr>
                <w:rFonts w:ascii="Calibri" w:eastAsia="Times New Roman" w:hAnsi="Calibri" w:cs="Calibri"/>
                <w:color w:val="0D0D0D"/>
              </w:rPr>
              <w:t>1,965</w:t>
            </w:r>
          </w:p>
        </w:tc>
        <w:tc>
          <w:tcPr>
            <w:tcW w:w="1080" w:type="dxa"/>
            <w:tcBorders>
              <w:top w:val="single" w:sz="4" w:space="0" w:color="00688D"/>
              <w:left w:val="nil"/>
              <w:bottom w:val="double" w:sz="6" w:space="0" w:color="00688D"/>
              <w:right w:val="nil"/>
            </w:tcBorders>
            <w:shd w:val="clear" w:color="000000" w:fill="FFFFFF"/>
            <w:noWrap/>
            <w:vAlign w:val="bottom"/>
            <w:hideMark/>
          </w:tcPr>
          <w:p w14:paraId="4799CF55" w14:textId="77777777" w:rsidR="00051D7E" w:rsidRPr="00560663" w:rsidRDefault="00051D7E" w:rsidP="007531FB">
            <w:pPr>
              <w:jc w:val="right"/>
              <w:rPr>
                <w:rFonts w:ascii="Calibri" w:eastAsia="Times New Roman" w:hAnsi="Calibri" w:cs="Calibri"/>
                <w:color w:val="0D0D0D"/>
              </w:rPr>
            </w:pPr>
            <w:r>
              <w:rPr>
                <w:rFonts w:ascii="Calibri" w:eastAsia="Times New Roman" w:hAnsi="Calibri" w:cs="Calibri"/>
                <w:color w:val="0D0D0D"/>
              </w:rPr>
              <w:t xml:space="preserve">    $(1,219)</w:t>
            </w:r>
          </w:p>
        </w:tc>
        <w:tc>
          <w:tcPr>
            <w:tcW w:w="990" w:type="dxa"/>
            <w:tcBorders>
              <w:top w:val="single" w:sz="4" w:space="0" w:color="00688D"/>
              <w:left w:val="nil"/>
              <w:bottom w:val="double" w:sz="6" w:space="0" w:color="00688D"/>
              <w:right w:val="nil"/>
            </w:tcBorders>
            <w:shd w:val="clear" w:color="000000" w:fill="FFFFFF"/>
            <w:noWrap/>
            <w:vAlign w:val="bottom"/>
            <w:hideMark/>
          </w:tcPr>
          <w:p w14:paraId="72B3CDC3" w14:textId="77777777" w:rsidR="00051D7E" w:rsidRPr="00560663" w:rsidRDefault="00051D7E" w:rsidP="007531FB">
            <w:pPr>
              <w:jc w:val="right"/>
              <w:rPr>
                <w:rFonts w:ascii="Calibri" w:eastAsia="Times New Roman" w:hAnsi="Calibri" w:cs="Calibri"/>
                <w:color w:val="0D0D0D"/>
              </w:rPr>
            </w:pPr>
            <w:r w:rsidRPr="00560663">
              <w:rPr>
                <w:rFonts w:ascii="Calibri" w:eastAsia="Times New Roman" w:hAnsi="Calibri" w:cs="Calibri"/>
                <w:color w:val="0D0D0D"/>
              </w:rPr>
              <w:t xml:space="preserve">$ </w:t>
            </w:r>
            <w:r>
              <w:rPr>
                <w:rFonts w:ascii="Calibri" w:eastAsia="Times New Roman" w:hAnsi="Calibri" w:cs="Calibri"/>
                <w:color w:val="0D0D0D"/>
              </w:rPr>
              <w:t xml:space="preserve"> 746</w:t>
            </w:r>
          </w:p>
        </w:tc>
        <w:tc>
          <w:tcPr>
            <w:tcW w:w="1080" w:type="dxa"/>
            <w:tcBorders>
              <w:top w:val="single" w:sz="4" w:space="0" w:color="00688D"/>
              <w:left w:val="nil"/>
              <w:bottom w:val="double" w:sz="6" w:space="0" w:color="00688D"/>
              <w:right w:val="nil"/>
            </w:tcBorders>
            <w:shd w:val="clear" w:color="000000" w:fill="FFFFFF"/>
            <w:noWrap/>
            <w:vAlign w:val="bottom"/>
            <w:hideMark/>
          </w:tcPr>
          <w:p w14:paraId="76E9A287" w14:textId="77777777" w:rsidR="00051D7E" w:rsidRPr="00560663" w:rsidRDefault="00051D7E" w:rsidP="007531FB">
            <w:pPr>
              <w:jc w:val="right"/>
              <w:rPr>
                <w:rFonts w:ascii="Calibri" w:eastAsia="Times New Roman" w:hAnsi="Calibri" w:cs="Calibri"/>
                <w:color w:val="0D0D0D"/>
              </w:rPr>
            </w:pPr>
            <w:r w:rsidRPr="00560663">
              <w:rPr>
                <w:rFonts w:ascii="Calibri" w:eastAsia="Times New Roman" w:hAnsi="Calibri" w:cs="Calibri"/>
                <w:color w:val="0D0D0D"/>
              </w:rPr>
              <w:t>$(</w:t>
            </w:r>
            <w:r>
              <w:rPr>
                <w:rFonts w:ascii="Calibri" w:eastAsia="Times New Roman" w:hAnsi="Calibri" w:cs="Calibri"/>
                <w:color w:val="0D0D0D"/>
              </w:rPr>
              <w:t>39,580</w:t>
            </w:r>
            <w:r w:rsidRPr="00560663">
              <w:rPr>
                <w:rFonts w:ascii="Calibri" w:eastAsia="Times New Roman" w:hAnsi="Calibri" w:cs="Calibri"/>
                <w:color w:val="0D0D0D"/>
              </w:rPr>
              <w:t>)</w:t>
            </w:r>
          </w:p>
        </w:tc>
      </w:tr>
    </w:tbl>
    <w:p w14:paraId="1E08D738" w14:textId="77777777" w:rsidR="00051D7E" w:rsidRDefault="00051D7E" w:rsidP="00051D7E">
      <w:pPr>
        <w:tabs>
          <w:tab w:val="left" w:pos="0"/>
          <w:tab w:val="left" w:pos="900"/>
        </w:tabs>
        <w:spacing w:before="120" w:after="120"/>
        <w:jc w:val="center"/>
        <w:rPr>
          <w:rFonts w:cstheme="minorHAnsi"/>
          <w:sz w:val="26"/>
          <w:szCs w:val="26"/>
        </w:rPr>
      </w:pPr>
      <w:r>
        <w:rPr>
          <w:rFonts w:cstheme="minorHAnsi"/>
          <w:sz w:val="26"/>
          <w:szCs w:val="26"/>
        </w:rPr>
        <w:br w:type="page"/>
      </w:r>
    </w:p>
    <w:p w14:paraId="543553C9" w14:textId="77777777" w:rsidR="00051D7E" w:rsidRPr="00954D00" w:rsidRDefault="00051D7E" w:rsidP="00051D7E">
      <w:pPr>
        <w:pStyle w:val="AFR2"/>
        <w:rPr>
          <w:rFonts w:cstheme="minorHAnsi"/>
          <w:color w:val="auto"/>
          <w:sz w:val="26"/>
          <w:szCs w:val="26"/>
        </w:rPr>
      </w:pPr>
      <w:r w:rsidRPr="00954D00">
        <w:rPr>
          <w:rFonts w:cstheme="minorHAnsi"/>
          <w:color w:val="auto"/>
          <w:sz w:val="26"/>
          <w:szCs w:val="26"/>
        </w:rPr>
        <w:lastRenderedPageBreak/>
        <w:t>16. COMPONENT UNITS</w:t>
      </w:r>
    </w:p>
    <w:p w14:paraId="1CDC3B0F" w14:textId="77777777" w:rsidR="00051D7E" w:rsidRPr="00F54559" w:rsidRDefault="00051D7E" w:rsidP="00051D7E">
      <w:pPr>
        <w:rPr>
          <w:rFonts w:cstheme="minorHAnsi"/>
          <w:sz w:val="24"/>
          <w:highlight w:val="yellow"/>
        </w:rPr>
      </w:pPr>
      <w:r w:rsidRPr="00F54559">
        <w:rPr>
          <w:rFonts w:cstheme="minorHAnsi"/>
          <w:sz w:val="24"/>
        </w:rPr>
        <w:t xml:space="preserve">The System is supported in part by several foundations and alumni associations that raise funds on the System’s behalf. The System determined that one of those entities, the University of Maine Foundation (“the Foundation”), meets the criteria set forth under GASB Statement No. 61, </w:t>
      </w:r>
      <w:r w:rsidRPr="00F54559">
        <w:rPr>
          <w:rFonts w:cstheme="minorHAnsi"/>
          <w:i/>
          <w:sz w:val="24"/>
        </w:rPr>
        <w:t>The Financial Reporting Entity: Omnibus an amendment of GASB Statements No. 14 and No. 34</w:t>
      </w:r>
      <w:r w:rsidRPr="00F54559">
        <w:rPr>
          <w:rFonts w:cstheme="minorHAnsi"/>
          <w:sz w:val="24"/>
        </w:rPr>
        <w:t>, for inclusion as a discretely presented component unit of the System.</w:t>
      </w:r>
    </w:p>
    <w:p w14:paraId="47D27DA6" w14:textId="77777777" w:rsidR="00051D7E" w:rsidRPr="00F54559" w:rsidRDefault="00051D7E" w:rsidP="00051D7E">
      <w:pPr>
        <w:ind w:left="810"/>
        <w:rPr>
          <w:rFonts w:cstheme="minorHAnsi"/>
          <w:sz w:val="24"/>
          <w:highlight w:val="yellow"/>
        </w:rPr>
      </w:pPr>
    </w:p>
    <w:p w14:paraId="712B22EB" w14:textId="50ADBE7F" w:rsidR="00051D7E" w:rsidRPr="00F54559" w:rsidRDefault="00051D7E" w:rsidP="00051D7E">
      <w:pPr>
        <w:rPr>
          <w:rFonts w:cstheme="minorHAnsi"/>
          <w:sz w:val="24"/>
        </w:rPr>
      </w:pPr>
      <w:r w:rsidRPr="00F54559">
        <w:rPr>
          <w:rFonts w:cstheme="minorHAnsi"/>
          <w:sz w:val="24"/>
        </w:rPr>
        <w:t>The Foundation is a legally separate, tax-exempt organization, which acts primarily as a fund-raising organization to supplement the resources that are available to the System in support of its programs. The Board of Directors of the Foundation is self-perpetuating and independent of the System’s Board of Trustees. Although the System does not control the timing or amount of receipts from the Foundation, the Foundation holds and invests resources almost entirely for the System’s benefit (specifically the University of Maine); the System is entitled to access a majority of the economic resources held; and the economic resources held are “significant to the System” based on a 5% of net position threshold. The Foundation has accordingly been discretely presented as a component unit of the System in the accompanying financial statements as of and for the years ended June 30, 20</w:t>
      </w:r>
      <w:r>
        <w:rPr>
          <w:rFonts w:cstheme="minorHAnsi"/>
          <w:sz w:val="24"/>
        </w:rPr>
        <w:t>21</w:t>
      </w:r>
      <w:r w:rsidRPr="00F54559">
        <w:rPr>
          <w:rFonts w:cstheme="minorHAnsi"/>
          <w:sz w:val="24"/>
        </w:rPr>
        <w:t xml:space="preserve"> and 20</w:t>
      </w:r>
      <w:r>
        <w:rPr>
          <w:rFonts w:cstheme="minorHAnsi"/>
          <w:sz w:val="24"/>
        </w:rPr>
        <w:t>20</w:t>
      </w:r>
      <w:r w:rsidRPr="00F54559">
        <w:rPr>
          <w:rFonts w:cstheme="minorHAnsi"/>
          <w:sz w:val="24"/>
        </w:rPr>
        <w:t xml:space="preserve">, and is reported in separate financial statements as the Foundation reports its financial results under Financial Accounting Standards Board standards rather than GASB standards. Contributions and additions to </w:t>
      </w:r>
      <w:r w:rsidR="00EB11D3">
        <w:rPr>
          <w:rFonts w:cstheme="minorHAnsi"/>
          <w:sz w:val="24"/>
        </w:rPr>
        <w:t xml:space="preserve">the Foundation’s </w:t>
      </w:r>
      <w:r w:rsidRPr="00F54559">
        <w:rPr>
          <w:rFonts w:cstheme="minorHAnsi"/>
          <w:sz w:val="24"/>
        </w:rPr>
        <w:t xml:space="preserve">endowments with donor restrictions were </w:t>
      </w:r>
      <w:r w:rsidRPr="00D479C4">
        <w:rPr>
          <w:rFonts w:cstheme="minorHAnsi"/>
          <w:sz w:val="24"/>
        </w:rPr>
        <w:t>$</w:t>
      </w:r>
      <w:r w:rsidR="00E2631F" w:rsidRPr="00954D00">
        <w:rPr>
          <w:rFonts w:cstheme="minorHAnsi"/>
          <w:sz w:val="24"/>
        </w:rPr>
        <w:t>16,580</w:t>
      </w:r>
      <w:r w:rsidRPr="00954D00">
        <w:rPr>
          <w:rFonts w:cstheme="minorHAnsi"/>
          <w:sz w:val="24"/>
        </w:rPr>
        <w:t xml:space="preserve"> </w:t>
      </w:r>
      <w:r w:rsidRPr="00F54559">
        <w:rPr>
          <w:rFonts w:cstheme="minorHAnsi"/>
          <w:sz w:val="24"/>
        </w:rPr>
        <w:t>for FY</w:t>
      </w:r>
      <w:r>
        <w:rPr>
          <w:rFonts w:cstheme="minorHAnsi"/>
          <w:sz w:val="24"/>
        </w:rPr>
        <w:t>21</w:t>
      </w:r>
      <w:r w:rsidRPr="00F54559">
        <w:rPr>
          <w:rFonts w:cstheme="minorHAnsi"/>
          <w:sz w:val="24"/>
        </w:rPr>
        <w:t xml:space="preserve"> and $</w:t>
      </w:r>
      <w:r>
        <w:rPr>
          <w:rFonts w:cstheme="minorHAnsi"/>
          <w:sz w:val="24"/>
        </w:rPr>
        <w:t>7,082</w:t>
      </w:r>
      <w:r w:rsidRPr="00F54559">
        <w:rPr>
          <w:rFonts w:cstheme="minorHAnsi"/>
          <w:sz w:val="24"/>
        </w:rPr>
        <w:t xml:space="preserve"> for FY</w:t>
      </w:r>
      <w:r>
        <w:rPr>
          <w:rFonts w:cstheme="minorHAnsi"/>
          <w:sz w:val="24"/>
        </w:rPr>
        <w:t>20</w:t>
      </w:r>
      <w:r w:rsidRPr="00F54559">
        <w:rPr>
          <w:rFonts w:cstheme="minorHAnsi"/>
          <w:sz w:val="24"/>
        </w:rPr>
        <w:t>.</w:t>
      </w:r>
    </w:p>
    <w:p w14:paraId="1EE77481" w14:textId="77777777" w:rsidR="00051D7E" w:rsidRPr="00F54559" w:rsidRDefault="00051D7E" w:rsidP="00051D7E">
      <w:pPr>
        <w:ind w:left="810"/>
        <w:rPr>
          <w:rFonts w:cstheme="minorHAnsi"/>
          <w:sz w:val="24"/>
          <w:highlight w:val="yellow"/>
        </w:rPr>
      </w:pPr>
    </w:p>
    <w:p w14:paraId="306D3854" w14:textId="35EE6DBB" w:rsidR="00051D7E" w:rsidRPr="00F54559" w:rsidRDefault="00051D7E" w:rsidP="00051D7E">
      <w:pPr>
        <w:rPr>
          <w:rFonts w:cstheme="minorHAnsi"/>
          <w:sz w:val="24"/>
        </w:rPr>
      </w:pPr>
      <w:r w:rsidRPr="00F54559">
        <w:rPr>
          <w:rFonts w:cstheme="minorHAnsi"/>
          <w:sz w:val="24"/>
        </w:rPr>
        <w:t xml:space="preserve">The Foundation asset category, long-term investments, endowment, comprised </w:t>
      </w:r>
      <w:r w:rsidR="00D47E1C" w:rsidRPr="00954D00">
        <w:rPr>
          <w:rFonts w:cstheme="minorHAnsi"/>
          <w:sz w:val="24"/>
        </w:rPr>
        <w:t>84</w:t>
      </w:r>
      <w:r w:rsidRPr="00F54559">
        <w:rPr>
          <w:rFonts w:cstheme="minorHAnsi"/>
          <w:sz w:val="24"/>
        </w:rPr>
        <w:t>% and 8</w:t>
      </w:r>
      <w:r>
        <w:rPr>
          <w:rFonts w:cstheme="minorHAnsi"/>
          <w:sz w:val="24"/>
        </w:rPr>
        <w:t>1</w:t>
      </w:r>
      <w:r w:rsidRPr="00F54559">
        <w:rPr>
          <w:rFonts w:cstheme="minorHAnsi"/>
          <w:sz w:val="24"/>
        </w:rPr>
        <w:t>% of the Foundation’s total assets as of June 30, 20</w:t>
      </w:r>
      <w:r>
        <w:rPr>
          <w:rFonts w:cstheme="minorHAnsi"/>
          <w:sz w:val="24"/>
        </w:rPr>
        <w:t>21</w:t>
      </w:r>
      <w:r w:rsidRPr="00F54559">
        <w:rPr>
          <w:rFonts w:cstheme="minorHAnsi"/>
          <w:sz w:val="24"/>
        </w:rPr>
        <w:t xml:space="preserve"> and 20</w:t>
      </w:r>
      <w:r>
        <w:rPr>
          <w:rFonts w:cstheme="minorHAnsi"/>
          <w:sz w:val="24"/>
        </w:rPr>
        <w:t>20</w:t>
      </w:r>
      <w:r w:rsidRPr="00F54559">
        <w:rPr>
          <w:rFonts w:cstheme="minorHAnsi"/>
          <w:sz w:val="24"/>
        </w:rPr>
        <w:t>, respectively.  Remaining disclosures in this note relate to this asset group.</w:t>
      </w:r>
    </w:p>
    <w:p w14:paraId="6916C295" w14:textId="77777777" w:rsidR="00051D7E" w:rsidRPr="00F54559" w:rsidRDefault="00051D7E" w:rsidP="00051D7E">
      <w:pPr>
        <w:pStyle w:val="AFR4"/>
        <w:rPr>
          <w:rFonts w:cstheme="minorHAnsi"/>
        </w:rPr>
      </w:pPr>
      <w:r w:rsidRPr="00F54559">
        <w:rPr>
          <w:rFonts w:cstheme="minorHAnsi"/>
        </w:rPr>
        <w:t>Long-term investments, endowment</w:t>
      </w:r>
    </w:p>
    <w:p w14:paraId="2933C6B1" w14:textId="77777777" w:rsidR="00051D7E" w:rsidRPr="00F54559" w:rsidRDefault="00051D7E" w:rsidP="00051D7E">
      <w:pPr>
        <w:rPr>
          <w:rFonts w:cstheme="minorHAnsi"/>
          <w:sz w:val="24"/>
        </w:rPr>
      </w:pPr>
      <w:r w:rsidRPr="00F54559">
        <w:rPr>
          <w:rFonts w:cstheme="minorHAnsi"/>
          <w:sz w:val="24"/>
        </w:rPr>
        <w:t>The Foundation maintains a general pool of investments for its endowments. These investment securities are stated at fair value based on quoted market prices within active markets. The fair values of alternative investments are determined from information supplied by the investment managers based on the market values of underlying investments on a net asset value basis. Investment income is reflected in the Statements of Activities as “without donor restrictions” or “with donor restrictions” based upon the existence and nature of any donor-imposed restrictions.</w:t>
      </w:r>
    </w:p>
    <w:p w14:paraId="425A31BE" w14:textId="77777777" w:rsidR="00051D7E" w:rsidRPr="00F54559" w:rsidRDefault="00051D7E" w:rsidP="00051D7E">
      <w:pPr>
        <w:ind w:left="810"/>
        <w:rPr>
          <w:rFonts w:cstheme="minorHAnsi"/>
          <w:sz w:val="24"/>
          <w:highlight w:val="yellow"/>
        </w:rPr>
      </w:pPr>
    </w:p>
    <w:p w14:paraId="19331DC4" w14:textId="77777777" w:rsidR="00051D7E" w:rsidRDefault="00051D7E" w:rsidP="00051D7E">
      <w:pPr>
        <w:rPr>
          <w:rFonts w:cstheme="minorHAnsi"/>
          <w:sz w:val="24"/>
        </w:rPr>
      </w:pPr>
      <w:r w:rsidRPr="00F54559">
        <w:rPr>
          <w:rFonts w:cstheme="minorHAnsi"/>
          <w:sz w:val="24"/>
        </w:rPr>
        <w:t xml:space="preserve">The Foundation has established a specific set of investment objectives and guidelines for investment managers that attempt to provide a predictable stream of income while seeking to maintain the purchasing power of the endowment assets over the long-term. The investment policy establishes an achievable return objective and seeks to manage risk through diversification of asset classes. The current long-term return objective is to </w:t>
      </w:r>
      <w:r w:rsidRPr="00D479C4">
        <w:rPr>
          <w:rFonts w:cstheme="minorHAnsi"/>
          <w:sz w:val="24"/>
        </w:rPr>
        <w:t xml:space="preserve">return </w:t>
      </w:r>
      <w:r w:rsidRPr="00954D00">
        <w:rPr>
          <w:rFonts w:cstheme="minorHAnsi"/>
          <w:sz w:val="24"/>
        </w:rPr>
        <w:t>7.25</w:t>
      </w:r>
      <w:r w:rsidRPr="00D47E1C">
        <w:rPr>
          <w:rFonts w:cstheme="minorHAnsi"/>
          <w:sz w:val="24"/>
        </w:rPr>
        <w:t>%</w:t>
      </w:r>
      <w:r w:rsidRPr="00F54559">
        <w:rPr>
          <w:rFonts w:cstheme="minorHAnsi"/>
          <w:sz w:val="24"/>
        </w:rPr>
        <w:t xml:space="preserve"> in 20</w:t>
      </w:r>
      <w:r>
        <w:rPr>
          <w:rFonts w:cstheme="minorHAnsi"/>
          <w:sz w:val="24"/>
        </w:rPr>
        <w:t>21</w:t>
      </w:r>
      <w:r w:rsidRPr="00F54559">
        <w:rPr>
          <w:rFonts w:cstheme="minorHAnsi"/>
          <w:sz w:val="24"/>
        </w:rPr>
        <w:t xml:space="preserve"> and 20</w:t>
      </w:r>
      <w:r>
        <w:rPr>
          <w:rFonts w:cstheme="minorHAnsi"/>
          <w:sz w:val="24"/>
        </w:rPr>
        <w:t>20</w:t>
      </w:r>
      <w:r w:rsidRPr="00F54559">
        <w:rPr>
          <w:rFonts w:cstheme="minorHAnsi"/>
          <w:sz w:val="24"/>
        </w:rPr>
        <w:t>. Actual returns in any given year may vary from these amounts.</w:t>
      </w:r>
    </w:p>
    <w:p w14:paraId="64AE2574" w14:textId="77777777" w:rsidR="00051D7E" w:rsidRPr="00F54559" w:rsidRDefault="00051D7E" w:rsidP="00051D7E">
      <w:pPr>
        <w:rPr>
          <w:rFonts w:cstheme="minorHAnsi"/>
          <w:i/>
          <w:sz w:val="16"/>
          <w:u w:val="single"/>
        </w:rPr>
      </w:pPr>
    </w:p>
    <w:p w14:paraId="1681231C" w14:textId="77777777" w:rsidR="000D6B08" w:rsidRDefault="000D6B08" w:rsidP="00051D7E">
      <w:pPr>
        <w:pStyle w:val="AFR4"/>
        <w:spacing w:after="240"/>
        <w:rPr>
          <w:rFonts w:eastAsiaTheme="majorEastAsia" w:cstheme="minorHAnsi"/>
          <w:i/>
          <w:iCs/>
          <w:smallCaps/>
          <w:noProof/>
          <w:color w:val="000000" w:themeColor="text1"/>
          <w:sz w:val="26"/>
          <w:szCs w:val="26"/>
          <w:u w:val="none" w:color="5B9BD5"/>
        </w:rPr>
      </w:pPr>
      <w:r>
        <w:rPr>
          <w:rFonts w:eastAsiaTheme="majorEastAsia" w:cstheme="minorHAnsi"/>
          <w:i/>
          <w:iCs/>
          <w:smallCaps/>
          <w:noProof/>
          <w:color w:val="000000" w:themeColor="text1"/>
          <w:sz w:val="26"/>
          <w:szCs w:val="26"/>
          <w:u w:val="none" w:color="5B9BD5"/>
        </w:rPr>
        <w:br w:type="page"/>
      </w:r>
    </w:p>
    <w:p w14:paraId="07DFBD3E" w14:textId="2B7A865B" w:rsidR="00051D7E" w:rsidRPr="00F54559" w:rsidRDefault="00051D7E" w:rsidP="00051D7E">
      <w:pPr>
        <w:pStyle w:val="AFR4"/>
        <w:spacing w:after="240"/>
        <w:rPr>
          <w:rFonts w:eastAsiaTheme="majorEastAsia" w:cstheme="minorHAnsi"/>
          <w:i/>
          <w:iCs/>
          <w:smallCaps/>
          <w:noProof/>
          <w:color w:val="000000" w:themeColor="text1"/>
          <w:sz w:val="26"/>
          <w:szCs w:val="26"/>
          <w:u w:val="none" w:color="5B9BD5"/>
        </w:rPr>
      </w:pPr>
      <w:r w:rsidRPr="00F54559">
        <w:rPr>
          <w:rFonts w:eastAsiaTheme="majorEastAsia" w:cstheme="minorHAnsi"/>
          <w:i/>
          <w:iCs/>
          <w:smallCaps/>
          <w:noProof/>
          <w:color w:val="000000" w:themeColor="text1"/>
          <w:sz w:val="26"/>
          <w:szCs w:val="26"/>
          <w:u w:val="none" w:color="5B9BD5"/>
        </w:rPr>
        <w:lastRenderedPageBreak/>
        <w:t>16. COMPONENT UNITS - CONTINUED</w:t>
      </w:r>
    </w:p>
    <w:p w14:paraId="2D6BAECB" w14:textId="77777777" w:rsidR="00051D7E" w:rsidRPr="00F54559" w:rsidRDefault="00051D7E" w:rsidP="00051D7E">
      <w:pPr>
        <w:pStyle w:val="AFR4"/>
        <w:rPr>
          <w:rFonts w:cstheme="minorHAnsi"/>
        </w:rPr>
      </w:pPr>
      <w:r w:rsidRPr="00F54559">
        <w:rPr>
          <w:rFonts w:cstheme="minorHAnsi"/>
        </w:rPr>
        <w:t>Endowment spending policy</w:t>
      </w:r>
    </w:p>
    <w:p w14:paraId="171D6F3A" w14:textId="77777777" w:rsidR="00051D7E" w:rsidRPr="00F54559" w:rsidRDefault="00051D7E" w:rsidP="00051D7E">
      <w:pPr>
        <w:rPr>
          <w:rFonts w:cstheme="minorHAnsi"/>
          <w:sz w:val="24"/>
        </w:rPr>
      </w:pPr>
      <w:r w:rsidRPr="00F54559">
        <w:rPr>
          <w:rFonts w:cstheme="minorHAnsi"/>
          <w:sz w:val="24"/>
        </w:rPr>
        <w:t xml:space="preserve">The Foundation utilizes a spending policy for its pooled endowment in order to provide for the current and long-term needs of endowment recipients. The spending policy determines the endowment income to be distributed. </w:t>
      </w:r>
      <w:r>
        <w:rPr>
          <w:rFonts w:cstheme="minorHAnsi"/>
          <w:sz w:val="24"/>
        </w:rPr>
        <w:t xml:space="preserve">For the years ended June 30, 2021 and 2020 the spending policy </w:t>
      </w:r>
      <w:r w:rsidRPr="00E2631F">
        <w:rPr>
          <w:rFonts w:cstheme="minorHAnsi"/>
          <w:sz w:val="24"/>
        </w:rPr>
        <w:t xml:space="preserve">was </w:t>
      </w:r>
      <w:r w:rsidRPr="00954D00">
        <w:rPr>
          <w:rFonts w:cstheme="minorHAnsi"/>
          <w:sz w:val="24"/>
        </w:rPr>
        <w:t>4.5</w:t>
      </w:r>
      <w:r w:rsidRPr="00E2631F">
        <w:rPr>
          <w:rFonts w:cstheme="minorHAnsi"/>
          <w:sz w:val="24"/>
        </w:rPr>
        <w:t>% of the average</w:t>
      </w:r>
      <w:r w:rsidRPr="00113126">
        <w:rPr>
          <w:rFonts w:cstheme="minorHAnsi"/>
          <w:sz w:val="24"/>
        </w:rPr>
        <w:t xml:space="preserve"> market value for the twelve previous quarters ending September 30.</w:t>
      </w:r>
      <w:r>
        <w:rPr>
          <w:rFonts w:cstheme="minorHAnsi"/>
          <w:sz w:val="24"/>
        </w:rPr>
        <w:t xml:space="preserve"> </w:t>
      </w:r>
    </w:p>
    <w:p w14:paraId="5F40B080" w14:textId="77777777" w:rsidR="00051D7E" w:rsidRPr="00F54559" w:rsidRDefault="00051D7E" w:rsidP="00051D7E">
      <w:pPr>
        <w:ind w:left="810"/>
        <w:rPr>
          <w:rFonts w:cstheme="minorHAnsi"/>
          <w:sz w:val="24"/>
          <w:highlight w:val="yellow"/>
        </w:rPr>
      </w:pPr>
    </w:p>
    <w:p w14:paraId="4FC013B0" w14:textId="16F46FEF" w:rsidR="00051D7E" w:rsidRPr="00F54559" w:rsidRDefault="00051D7E" w:rsidP="00051D7E">
      <w:pPr>
        <w:rPr>
          <w:rFonts w:cstheme="minorHAnsi"/>
          <w:sz w:val="24"/>
        </w:rPr>
      </w:pPr>
      <w:r w:rsidRPr="00F54559">
        <w:rPr>
          <w:rFonts w:cstheme="minorHAnsi"/>
          <w:sz w:val="24"/>
        </w:rPr>
        <w:t>Endowment spending is contingent upon a fund’s market value exceeding its historic dollar value (principal). In accordance with the Uniform Prudent Management of Institutional Funds Act, a prudent expenditure may be allowed unless the donor has explicitly prohibited expenditure of principal. During the years ended June 30, 20</w:t>
      </w:r>
      <w:r>
        <w:rPr>
          <w:rFonts w:cstheme="minorHAnsi"/>
          <w:sz w:val="24"/>
        </w:rPr>
        <w:t>21</w:t>
      </w:r>
      <w:r w:rsidRPr="00F54559">
        <w:rPr>
          <w:rFonts w:cstheme="minorHAnsi"/>
          <w:sz w:val="24"/>
        </w:rPr>
        <w:t xml:space="preserve"> and 20</w:t>
      </w:r>
      <w:r>
        <w:rPr>
          <w:rFonts w:cstheme="minorHAnsi"/>
          <w:sz w:val="24"/>
        </w:rPr>
        <w:t>20</w:t>
      </w:r>
      <w:r w:rsidRPr="00F54559">
        <w:rPr>
          <w:rFonts w:cstheme="minorHAnsi"/>
          <w:sz w:val="24"/>
        </w:rPr>
        <w:t xml:space="preserve">, the Foundation distributed </w:t>
      </w:r>
      <w:r w:rsidRPr="003D0FD8">
        <w:rPr>
          <w:rFonts w:cstheme="minorHAnsi"/>
          <w:sz w:val="24"/>
        </w:rPr>
        <w:t>$</w:t>
      </w:r>
      <w:r w:rsidR="00E2631F" w:rsidRPr="00954D00">
        <w:rPr>
          <w:rFonts w:cstheme="minorHAnsi"/>
          <w:sz w:val="24"/>
        </w:rPr>
        <w:t>14,184</w:t>
      </w:r>
      <w:r w:rsidR="00243FDE" w:rsidRPr="00954D00">
        <w:rPr>
          <w:rFonts w:cstheme="minorHAnsi"/>
          <w:sz w:val="24"/>
        </w:rPr>
        <w:t xml:space="preserve"> </w:t>
      </w:r>
      <w:r w:rsidRPr="00F54559">
        <w:rPr>
          <w:rFonts w:cstheme="minorHAnsi"/>
          <w:sz w:val="24"/>
        </w:rPr>
        <w:t>and $</w:t>
      </w:r>
      <w:r>
        <w:rPr>
          <w:rFonts w:cstheme="minorHAnsi"/>
          <w:sz w:val="24"/>
        </w:rPr>
        <w:t>13,596</w:t>
      </w:r>
      <w:r w:rsidRPr="00F54559">
        <w:rPr>
          <w:rFonts w:cstheme="minorHAnsi"/>
          <w:sz w:val="24"/>
        </w:rPr>
        <w:t>, respectively, to the System for both restricted and unrestricted purposes.</w:t>
      </w:r>
    </w:p>
    <w:p w14:paraId="16C02414" w14:textId="77777777" w:rsidR="00051D7E" w:rsidRPr="00F54559" w:rsidRDefault="00051D7E" w:rsidP="00051D7E">
      <w:pPr>
        <w:pStyle w:val="AFR4"/>
        <w:rPr>
          <w:rFonts w:cstheme="minorHAnsi"/>
        </w:rPr>
      </w:pPr>
      <w:r w:rsidRPr="00F54559">
        <w:rPr>
          <w:rFonts w:cstheme="minorHAnsi"/>
        </w:rPr>
        <w:t>Fair value measurements</w:t>
      </w:r>
    </w:p>
    <w:p w14:paraId="6434BE46" w14:textId="77777777" w:rsidR="00051D7E" w:rsidRPr="00F54559" w:rsidRDefault="00051D7E" w:rsidP="00051D7E">
      <w:pPr>
        <w:rPr>
          <w:rFonts w:cstheme="minorHAnsi"/>
          <w:sz w:val="24"/>
        </w:rPr>
      </w:pPr>
      <w:r w:rsidRPr="00F54559">
        <w:rPr>
          <w:rFonts w:cstheme="minorHAnsi"/>
          <w:sz w:val="24"/>
        </w:rPr>
        <w:t>Fair value is defined as the price that would be received to sell an asset or paid to transfer a liability (i.e., the “exit price”) in an orderly transaction between market participants at the measurement date.</w:t>
      </w:r>
    </w:p>
    <w:p w14:paraId="5674674F" w14:textId="77777777" w:rsidR="00051D7E" w:rsidRPr="00F54559" w:rsidRDefault="00051D7E" w:rsidP="00051D7E">
      <w:pPr>
        <w:ind w:left="810"/>
        <w:rPr>
          <w:rFonts w:cstheme="minorHAnsi"/>
          <w:sz w:val="24"/>
        </w:rPr>
      </w:pPr>
    </w:p>
    <w:p w14:paraId="4AAC2069" w14:textId="77777777" w:rsidR="00051D7E" w:rsidRPr="00F54559" w:rsidRDefault="00051D7E" w:rsidP="00051D7E">
      <w:pPr>
        <w:spacing w:after="240"/>
        <w:rPr>
          <w:rFonts w:cstheme="minorHAnsi"/>
          <w:sz w:val="24"/>
        </w:rPr>
      </w:pPr>
      <w:r w:rsidRPr="00F54559">
        <w:rPr>
          <w:rFonts w:cstheme="minorHAnsi"/>
          <w:sz w:val="24"/>
        </w:rPr>
        <w:t>A fair value hierarchy for inputs is used in measuring fair value that maximizes the use of observable inputs and minimizes the use of unobservable inputs by requiring that the most observable inputs be used when available. Observable inputs are those that market participants would use in pricing the asset or liability based on market data obtained from sources independent of the Foundation. Unobservable inputs reflect assumptions about the inputs market participants would use in pricing the asset or liability developed based on the best information available in the circumstances. The fair value hierarchy is categorized into three levels based on the inputs as follows:</w:t>
      </w:r>
    </w:p>
    <w:p w14:paraId="48642666" w14:textId="77777777" w:rsidR="00051D7E" w:rsidRPr="00F54559" w:rsidRDefault="00051D7E" w:rsidP="00051D7E">
      <w:pPr>
        <w:numPr>
          <w:ilvl w:val="0"/>
          <w:numId w:val="10"/>
        </w:numPr>
        <w:spacing w:after="160"/>
        <w:ind w:left="1350" w:hanging="1080"/>
        <w:rPr>
          <w:rFonts w:eastAsia="Times New Roman" w:cstheme="minorHAnsi"/>
          <w:sz w:val="24"/>
          <w:szCs w:val="24"/>
        </w:rPr>
      </w:pPr>
      <w:r w:rsidRPr="00F54559">
        <w:rPr>
          <w:rFonts w:eastAsia="Times New Roman" w:cstheme="minorHAnsi"/>
          <w:sz w:val="24"/>
          <w:szCs w:val="24"/>
        </w:rPr>
        <w:t>Valuations based on unadjusted quoted prices in active markets for identical assets or liabilities that the Fund has the ability to access. Valuation adjustments and block discounts are not applied to Level 1 securities. Since valuations are based on quoted prices that are readily and regularly available in an active market, valuation of these securities does not entail a significant degree of judgment.</w:t>
      </w:r>
    </w:p>
    <w:p w14:paraId="4521F11E" w14:textId="77777777" w:rsidR="00051D7E" w:rsidRPr="00F54559" w:rsidRDefault="00051D7E" w:rsidP="00051D7E">
      <w:pPr>
        <w:numPr>
          <w:ilvl w:val="0"/>
          <w:numId w:val="10"/>
        </w:numPr>
        <w:spacing w:after="160"/>
        <w:ind w:left="1350" w:hanging="1080"/>
        <w:rPr>
          <w:rFonts w:eastAsia="Times New Roman" w:cstheme="minorHAnsi"/>
          <w:sz w:val="24"/>
          <w:szCs w:val="24"/>
        </w:rPr>
      </w:pPr>
      <w:r w:rsidRPr="00F54559">
        <w:rPr>
          <w:rFonts w:eastAsia="Times New Roman" w:cstheme="minorHAnsi"/>
          <w:sz w:val="24"/>
          <w:szCs w:val="24"/>
        </w:rPr>
        <w:t>Valuations based on quoted prices in markets that are not active or for which all significant inputs are observable, either directly or indirectly.</w:t>
      </w:r>
    </w:p>
    <w:p w14:paraId="422BF27A" w14:textId="77777777" w:rsidR="00051D7E" w:rsidRDefault="00051D7E" w:rsidP="00051D7E">
      <w:pPr>
        <w:numPr>
          <w:ilvl w:val="0"/>
          <w:numId w:val="10"/>
        </w:numPr>
        <w:ind w:left="1350" w:hanging="1080"/>
        <w:contextualSpacing/>
        <w:rPr>
          <w:rFonts w:eastAsia="Times New Roman" w:cstheme="minorHAnsi"/>
          <w:sz w:val="24"/>
          <w:szCs w:val="24"/>
        </w:rPr>
      </w:pPr>
      <w:r w:rsidRPr="00F54559">
        <w:rPr>
          <w:rFonts w:eastAsia="Times New Roman" w:cstheme="minorHAnsi"/>
          <w:sz w:val="24"/>
          <w:szCs w:val="24"/>
        </w:rPr>
        <w:t>Valuations based on inputs that are unobservable and significant to the overall fair value measurement.</w:t>
      </w:r>
    </w:p>
    <w:p w14:paraId="3B392970" w14:textId="77777777" w:rsidR="000D6B08" w:rsidRDefault="000D6B08" w:rsidP="00051D7E">
      <w:pPr>
        <w:pStyle w:val="AFR4"/>
        <w:spacing w:after="240"/>
        <w:rPr>
          <w:rFonts w:eastAsiaTheme="majorEastAsia" w:cstheme="minorHAnsi"/>
          <w:i/>
          <w:iCs/>
          <w:smallCaps/>
          <w:noProof/>
          <w:color w:val="000000" w:themeColor="text1"/>
          <w:sz w:val="26"/>
          <w:szCs w:val="26"/>
          <w:u w:val="none" w:color="5B9BD5"/>
        </w:rPr>
      </w:pPr>
      <w:r>
        <w:rPr>
          <w:rFonts w:eastAsiaTheme="majorEastAsia" w:cstheme="minorHAnsi"/>
          <w:i/>
          <w:iCs/>
          <w:smallCaps/>
          <w:noProof/>
          <w:color w:val="000000" w:themeColor="text1"/>
          <w:sz w:val="26"/>
          <w:szCs w:val="26"/>
          <w:u w:val="none" w:color="5B9BD5"/>
        </w:rPr>
        <w:br w:type="page"/>
      </w:r>
    </w:p>
    <w:p w14:paraId="53F8A2C3" w14:textId="145C7D21" w:rsidR="00051D7E" w:rsidRPr="00F54559" w:rsidRDefault="00051D7E" w:rsidP="00051D7E">
      <w:pPr>
        <w:pStyle w:val="AFR4"/>
        <w:spacing w:after="240"/>
        <w:rPr>
          <w:rFonts w:eastAsiaTheme="majorEastAsia" w:cstheme="minorHAnsi"/>
          <w:i/>
          <w:iCs/>
          <w:smallCaps/>
          <w:noProof/>
          <w:color w:val="000000" w:themeColor="text1"/>
          <w:sz w:val="26"/>
          <w:szCs w:val="26"/>
          <w:u w:val="none" w:color="5B9BD5"/>
        </w:rPr>
      </w:pPr>
      <w:r w:rsidRPr="00F54559">
        <w:rPr>
          <w:rFonts w:eastAsiaTheme="majorEastAsia" w:cstheme="minorHAnsi"/>
          <w:i/>
          <w:iCs/>
          <w:smallCaps/>
          <w:noProof/>
          <w:color w:val="000000" w:themeColor="text1"/>
          <w:sz w:val="26"/>
          <w:szCs w:val="26"/>
          <w:u w:val="none" w:color="5B9BD5"/>
        </w:rPr>
        <w:lastRenderedPageBreak/>
        <w:t>16. COMPONENT UNITS - CONTINUED</w:t>
      </w:r>
    </w:p>
    <w:p w14:paraId="0488EDBB" w14:textId="7E36BF3C" w:rsidR="00051D7E" w:rsidRDefault="00051D7E" w:rsidP="00051D7E">
      <w:pPr>
        <w:rPr>
          <w:rFonts w:cstheme="minorHAnsi"/>
          <w:spacing w:val="-3"/>
          <w:sz w:val="24"/>
        </w:rPr>
      </w:pPr>
      <w:r>
        <w:rPr>
          <w:rFonts w:cstheme="minorHAnsi"/>
          <w:spacing w:val="-3"/>
          <w:sz w:val="24"/>
        </w:rPr>
        <w:t>The Foundation’s short-term investments</w:t>
      </w:r>
      <w:r w:rsidRPr="00EB4F53">
        <w:rPr>
          <w:rFonts w:cstheme="minorHAnsi"/>
          <w:spacing w:val="-3"/>
          <w:sz w:val="24"/>
        </w:rPr>
        <w:t xml:space="preserve"> </w:t>
      </w:r>
      <w:r>
        <w:rPr>
          <w:rFonts w:cstheme="minorHAnsi"/>
          <w:spacing w:val="-3"/>
          <w:sz w:val="24"/>
        </w:rPr>
        <w:t>measured at fair value valuations based on unadjusted quoted prices in active markets for identical assets or liabilities (Level 1) as of June 30, 2021 and 2020 were $</w:t>
      </w:r>
      <w:r w:rsidR="00AE402F" w:rsidRPr="00954D00">
        <w:rPr>
          <w:rFonts w:cstheme="minorHAnsi"/>
          <w:spacing w:val="-3"/>
          <w:sz w:val="24"/>
        </w:rPr>
        <w:t>25,130</w:t>
      </w:r>
      <w:r w:rsidR="00243FDE" w:rsidRPr="00954D00">
        <w:rPr>
          <w:rFonts w:cstheme="minorHAnsi"/>
          <w:spacing w:val="-3"/>
          <w:sz w:val="24"/>
        </w:rPr>
        <w:t xml:space="preserve"> </w:t>
      </w:r>
      <w:r>
        <w:rPr>
          <w:rFonts w:cstheme="minorHAnsi"/>
          <w:spacing w:val="-3"/>
          <w:sz w:val="24"/>
        </w:rPr>
        <w:t>and $23,481, respectively. These investments include money markets, certificates of deposit, U.S. government obligations and bonds.</w:t>
      </w:r>
    </w:p>
    <w:p w14:paraId="1414DF13" w14:textId="77777777" w:rsidR="00051D7E" w:rsidRDefault="00051D7E" w:rsidP="00051D7E">
      <w:pPr>
        <w:rPr>
          <w:rFonts w:cstheme="minorHAnsi"/>
          <w:spacing w:val="-3"/>
          <w:sz w:val="24"/>
        </w:rPr>
      </w:pPr>
    </w:p>
    <w:p w14:paraId="7FBEA1F5" w14:textId="77777777" w:rsidR="00051D7E" w:rsidRDefault="00051D7E" w:rsidP="00051D7E">
      <w:pPr>
        <w:spacing w:after="240"/>
        <w:rPr>
          <w:rFonts w:cstheme="minorHAnsi"/>
          <w:spacing w:val="-3"/>
          <w:sz w:val="24"/>
        </w:rPr>
      </w:pPr>
      <w:r w:rsidRPr="00F54559">
        <w:rPr>
          <w:rFonts w:cstheme="minorHAnsi"/>
          <w:spacing w:val="-3"/>
          <w:sz w:val="24"/>
        </w:rPr>
        <w:t>The following table summarizes the Foundation's long-term endowment investments by class in the fair value hierarchy as of June 30:</w:t>
      </w:r>
      <w:r>
        <w:rPr>
          <w:rFonts w:cstheme="minorHAnsi"/>
          <w:spacing w:val="-3"/>
          <w:sz w:val="24"/>
        </w:rPr>
        <w:t xml:space="preserve"> </w:t>
      </w:r>
    </w:p>
    <w:p w14:paraId="4F582DD6" w14:textId="77777777" w:rsidR="00051D7E" w:rsidRDefault="00051D7E" w:rsidP="00051D7E">
      <w:pPr>
        <w:jc w:val="center"/>
        <w:rPr>
          <w:rFonts w:cstheme="minorHAnsi"/>
          <w:color w:val="FF0000"/>
          <w:spacing w:val="-3"/>
          <w:sz w:val="24"/>
        </w:rPr>
      </w:pPr>
      <w:r>
        <w:rPr>
          <w:rFonts w:ascii="Calibri" w:eastAsia="Times New Roman" w:hAnsi="Calibri" w:cs="Calibri"/>
          <w:b/>
          <w:bCs/>
          <w:color w:val="0D0D0D"/>
        </w:rPr>
        <w:fldChar w:fldCharType="begin"/>
      </w:r>
      <w:r>
        <w:rPr>
          <w:rFonts w:ascii="Calibri" w:eastAsia="Times New Roman" w:hAnsi="Calibri" w:cs="Calibri"/>
          <w:b/>
          <w:bCs/>
          <w:color w:val="0D0D0D"/>
        </w:rPr>
        <w:fldChar w:fldCharType="end"/>
      </w:r>
      <w:r w:rsidRPr="00D35BDD">
        <w:rPr>
          <w:rFonts w:ascii="Calibri" w:eastAsia="Times New Roman" w:hAnsi="Calibri" w:cs="Calibri"/>
          <w:b/>
          <w:bCs/>
          <w:color w:val="0D0D0D"/>
        </w:rPr>
        <w:t>202</w:t>
      </w:r>
      <w:r>
        <w:rPr>
          <w:rFonts w:ascii="Calibri" w:eastAsia="Times New Roman" w:hAnsi="Calibri" w:cs="Calibri"/>
          <w:b/>
          <w:bCs/>
          <w:color w:val="0D0D0D"/>
        </w:rPr>
        <w:t>1</w:t>
      </w:r>
    </w:p>
    <w:tbl>
      <w:tblPr>
        <w:tblW w:w="9450" w:type="dxa"/>
        <w:tblLayout w:type="fixed"/>
        <w:tblCellMar>
          <w:left w:w="72" w:type="dxa"/>
          <w:right w:w="72" w:type="dxa"/>
        </w:tblCellMar>
        <w:tblLook w:val="04A0" w:firstRow="1" w:lastRow="0" w:firstColumn="1" w:lastColumn="0" w:noHBand="0" w:noVBand="1"/>
      </w:tblPr>
      <w:tblGrid>
        <w:gridCol w:w="2593"/>
        <w:gridCol w:w="1007"/>
        <w:gridCol w:w="990"/>
        <w:gridCol w:w="630"/>
        <w:gridCol w:w="630"/>
        <w:gridCol w:w="990"/>
        <w:gridCol w:w="2610"/>
      </w:tblGrid>
      <w:tr w:rsidR="00275495" w:rsidRPr="00D35BDD" w14:paraId="47820F01" w14:textId="77777777" w:rsidTr="006232A1">
        <w:trPr>
          <w:trHeight w:val="600"/>
          <w:tblHeader/>
        </w:trPr>
        <w:tc>
          <w:tcPr>
            <w:tcW w:w="2593" w:type="dxa"/>
            <w:tcBorders>
              <w:top w:val="nil"/>
              <w:left w:val="nil"/>
              <w:bottom w:val="single" w:sz="12" w:space="0" w:color="00688D"/>
              <w:right w:val="nil"/>
            </w:tcBorders>
            <w:shd w:val="clear" w:color="000000" w:fill="FFFFFF"/>
            <w:noWrap/>
            <w:vAlign w:val="bottom"/>
            <w:hideMark/>
          </w:tcPr>
          <w:p w14:paraId="04E35212" w14:textId="77777777" w:rsidR="00275495" w:rsidRPr="00D35BDD" w:rsidRDefault="00275495" w:rsidP="007531FB">
            <w:pPr>
              <w:rPr>
                <w:rFonts w:ascii="Calibri" w:eastAsia="Times New Roman" w:hAnsi="Calibri" w:cs="Calibri"/>
                <w:b/>
                <w:bCs/>
                <w:color w:val="0D0D0D"/>
              </w:rPr>
            </w:pPr>
            <w:r w:rsidRPr="00D35BDD">
              <w:rPr>
                <w:rFonts w:ascii="Calibri" w:eastAsia="Times New Roman" w:hAnsi="Calibri" w:cs="Calibri"/>
                <w:b/>
                <w:bCs/>
                <w:color w:val="0D0D0D"/>
              </w:rPr>
              <w:t> </w:t>
            </w:r>
          </w:p>
        </w:tc>
        <w:tc>
          <w:tcPr>
            <w:tcW w:w="1007" w:type="dxa"/>
            <w:tcBorders>
              <w:top w:val="nil"/>
              <w:left w:val="nil"/>
              <w:bottom w:val="single" w:sz="12" w:space="0" w:color="00688D"/>
              <w:right w:val="nil"/>
            </w:tcBorders>
            <w:shd w:val="clear" w:color="000000" w:fill="FFFFFF"/>
            <w:vAlign w:val="bottom"/>
            <w:hideMark/>
          </w:tcPr>
          <w:p w14:paraId="1FD04286" w14:textId="77777777" w:rsidR="00275495" w:rsidRPr="00D35BDD" w:rsidRDefault="00275495" w:rsidP="007531FB">
            <w:pPr>
              <w:jc w:val="center"/>
              <w:rPr>
                <w:rFonts w:ascii="Calibri" w:eastAsia="Times New Roman" w:hAnsi="Calibri" w:cs="Calibri"/>
                <w:b/>
                <w:bCs/>
                <w:color w:val="0D0D0D"/>
              </w:rPr>
            </w:pPr>
            <w:r w:rsidRPr="00D35BDD">
              <w:rPr>
                <w:rFonts w:ascii="Calibri" w:eastAsia="Times New Roman" w:hAnsi="Calibri" w:cs="Calibri"/>
                <w:b/>
                <w:bCs/>
                <w:color w:val="0D0D0D"/>
              </w:rPr>
              <w:t>NAV</w:t>
            </w:r>
          </w:p>
        </w:tc>
        <w:tc>
          <w:tcPr>
            <w:tcW w:w="990" w:type="dxa"/>
            <w:tcBorders>
              <w:top w:val="nil"/>
              <w:left w:val="nil"/>
              <w:bottom w:val="single" w:sz="12" w:space="0" w:color="00688D"/>
              <w:right w:val="nil"/>
            </w:tcBorders>
            <w:shd w:val="clear" w:color="000000" w:fill="FFFFFF"/>
            <w:vAlign w:val="bottom"/>
            <w:hideMark/>
          </w:tcPr>
          <w:p w14:paraId="1394DB2F" w14:textId="77777777" w:rsidR="00275495" w:rsidRPr="00D35BDD" w:rsidRDefault="00275495" w:rsidP="007531FB">
            <w:pPr>
              <w:jc w:val="center"/>
              <w:rPr>
                <w:rFonts w:ascii="Calibri" w:eastAsia="Times New Roman" w:hAnsi="Calibri" w:cs="Calibri"/>
                <w:b/>
                <w:bCs/>
                <w:color w:val="0D0D0D"/>
              </w:rPr>
            </w:pPr>
            <w:r w:rsidRPr="00D35BDD">
              <w:rPr>
                <w:rFonts w:ascii="Calibri" w:eastAsia="Times New Roman" w:hAnsi="Calibri" w:cs="Calibri"/>
                <w:b/>
                <w:bCs/>
                <w:color w:val="0D0D0D"/>
              </w:rPr>
              <w:t>Level 1</w:t>
            </w:r>
          </w:p>
        </w:tc>
        <w:tc>
          <w:tcPr>
            <w:tcW w:w="630" w:type="dxa"/>
            <w:tcBorders>
              <w:top w:val="nil"/>
              <w:left w:val="nil"/>
              <w:bottom w:val="single" w:sz="12" w:space="0" w:color="00688D"/>
              <w:right w:val="nil"/>
            </w:tcBorders>
            <w:shd w:val="clear" w:color="000000" w:fill="FFFFFF"/>
            <w:vAlign w:val="bottom"/>
            <w:hideMark/>
          </w:tcPr>
          <w:p w14:paraId="244CEA1B" w14:textId="77777777" w:rsidR="00275495" w:rsidRPr="00D35BDD" w:rsidRDefault="00275495" w:rsidP="007531FB">
            <w:pPr>
              <w:jc w:val="center"/>
              <w:rPr>
                <w:rFonts w:ascii="Calibri" w:eastAsia="Times New Roman" w:hAnsi="Calibri" w:cs="Calibri"/>
                <w:b/>
                <w:bCs/>
                <w:color w:val="0D0D0D"/>
              </w:rPr>
            </w:pPr>
            <w:r w:rsidRPr="00D35BDD">
              <w:rPr>
                <w:rFonts w:ascii="Calibri" w:eastAsia="Times New Roman" w:hAnsi="Calibri" w:cs="Calibri"/>
                <w:b/>
                <w:bCs/>
                <w:color w:val="0D0D0D"/>
              </w:rPr>
              <w:t>Level 2</w:t>
            </w:r>
          </w:p>
        </w:tc>
        <w:tc>
          <w:tcPr>
            <w:tcW w:w="630" w:type="dxa"/>
            <w:tcBorders>
              <w:top w:val="nil"/>
              <w:left w:val="nil"/>
              <w:bottom w:val="single" w:sz="12" w:space="0" w:color="00688D"/>
              <w:right w:val="nil"/>
            </w:tcBorders>
            <w:shd w:val="clear" w:color="000000" w:fill="FFFFFF"/>
            <w:vAlign w:val="bottom"/>
            <w:hideMark/>
          </w:tcPr>
          <w:p w14:paraId="35BDE699" w14:textId="77777777" w:rsidR="00275495" w:rsidRPr="00D35BDD" w:rsidRDefault="00275495" w:rsidP="007531FB">
            <w:pPr>
              <w:jc w:val="center"/>
              <w:rPr>
                <w:rFonts w:ascii="Calibri" w:eastAsia="Times New Roman" w:hAnsi="Calibri" w:cs="Calibri"/>
                <w:b/>
                <w:bCs/>
                <w:color w:val="0D0D0D"/>
              </w:rPr>
            </w:pPr>
            <w:r w:rsidRPr="00D35BDD">
              <w:rPr>
                <w:rFonts w:ascii="Calibri" w:eastAsia="Times New Roman" w:hAnsi="Calibri" w:cs="Calibri"/>
                <w:b/>
                <w:bCs/>
                <w:color w:val="0D0D0D"/>
              </w:rPr>
              <w:t>Level 3</w:t>
            </w:r>
          </w:p>
        </w:tc>
        <w:tc>
          <w:tcPr>
            <w:tcW w:w="990" w:type="dxa"/>
            <w:tcBorders>
              <w:top w:val="nil"/>
              <w:left w:val="nil"/>
              <w:bottom w:val="single" w:sz="12" w:space="0" w:color="00688D"/>
              <w:right w:val="nil"/>
            </w:tcBorders>
            <w:shd w:val="clear" w:color="000000" w:fill="FFFFFF"/>
            <w:vAlign w:val="bottom"/>
            <w:hideMark/>
          </w:tcPr>
          <w:p w14:paraId="51445EC9" w14:textId="77777777" w:rsidR="00275495" w:rsidRPr="00D35BDD" w:rsidRDefault="00275495" w:rsidP="007531FB">
            <w:pPr>
              <w:jc w:val="center"/>
              <w:rPr>
                <w:rFonts w:ascii="Calibri" w:eastAsia="Times New Roman" w:hAnsi="Calibri" w:cs="Calibri"/>
                <w:b/>
                <w:bCs/>
                <w:color w:val="0D0D0D"/>
              </w:rPr>
            </w:pPr>
            <w:r w:rsidRPr="00D35BDD">
              <w:rPr>
                <w:rFonts w:ascii="Calibri" w:eastAsia="Times New Roman" w:hAnsi="Calibri" w:cs="Calibri"/>
                <w:b/>
                <w:bCs/>
                <w:color w:val="0D0D0D"/>
              </w:rPr>
              <w:t>Total</w:t>
            </w:r>
          </w:p>
        </w:tc>
        <w:tc>
          <w:tcPr>
            <w:tcW w:w="2610" w:type="dxa"/>
            <w:tcBorders>
              <w:top w:val="nil"/>
              <w:left w:val="nil"/>
              <w:bottom w:val="single" w:sz="12" w:space="0" w:color="00688D"/>
              <w:right w:val="nil"/>
            </w:tcBorders>
            <w:shd w:val="clear" w:color="000000" w:fill="FFFFFF"/>
            <w:vAlign w:val="bottom"/>
            <w:hideMark/>
          </w:tcPr>
          <w:p w14:paraId="46F531BE" w14:textId="77777777" w:rsidR="00275495" w:rsidRPr="00D35BDD" w:rsidRDefault="00275495" w:rsidP="007531FB">
            <w:pPr>
              <w:jc w:val="center"/>
              <w:rPr>
                <w:rFonts w:ascii="Calibri" w:eastAsia="Times New Roman" w:hAnsi="Calibri" w:cs="Calibri"/>
                <w:b/>
                <w:bCs/>
                <w:color w:val="0D0D0D"/>
              </w:rPr>
            </w:pPr>
            <w:r w:rsidRPr="00D35BDD">
              <w:rPr>
                <w:rFonts w:ascii="Calibri" w:eastAsia="Times New Roman" w:hAnsi="Calibri" w:cs="Calibri"/>
                <w:b/>
                <w:bCs/>
                <w:color w:val="0D0D0D"/>
              </w:rPr>
              <w:t>Liquidity</w:t>
            </w:r>
          </w:p>
        </w:tc>
      </w:tr>
      <w:tr w:rsidR="00275495" w:rsidRPr="00D35BDD" w14:paraId="2757E91A" w14:textId="77777777" w:rsidTr="006232A1">
        <w:trPr>
          <w:trHeight w:val="300"/>
        </w:trPr>
        <w:tc>
          <w:tcPr>
            <w:tcW w:w="2593" w:type="dxa"/>
            <w:tcBorders>
              <w:top w:val="nil"/>
              <w:left w:val="nil"/>
              <w:bottom w:val="nil"/>
              <w:right w:val="nil"/>
            </w:tcBorders>
            <w:shd w:val="clear" w:color="000000" w:fill="FFFFFF"/>
            <w:noWrap/>
            <w:vAlign w:val="bottom"/>
            <w:hideMark/>
          </w:tcPr>
          <w:p w14:paraId="6386700E" w14:textId="77777777" w:rsidR="00275495" w:rsidRPr="00D35BDD" w:rsidRDefault="00275495" w:rsidP="007531FB">
            <w:pPr>
              <w:rPr>
                <w:rFonts w:ascii="Calibri" w:eastAsia="Times New Roman" w:hAnsi="Calibri" w:cs="Calibri"/>
                <w:color w:val="0D0D0D"/>
              </w:rPr>
            </w:pPr>
            <w:r w:rsidRPr="00D35BDD">
              <w:rPr>
                <w:rFonts w:ascii="Calibri" w:eastAsia="Times New Roman" w:hAnsi="Calibri" w:cs="Calibri"/>
                <w:color w:val="0D0D0D"/>
              </w:rPr>
              <w:t>U.S. equities</w:t>
            </w:r>
          </w:p>
        </w:tc>
        <w:tc>
          <w:tcPr>
            <w:tcW w:w="1007" w:type="dxa"/>
            <w:tcBorders>
              <w:top w:val="nil"/>
              <w:left w:val="nil"/>
              <w:bottom w:val="nil"/>
              <w:right w:val="nil"/>
            </w:tcBorders>
            <w:shd w:val="clear" w:color="000000" w:fill="FFFFFF"/>
            <w:noWrap/>
            <w:vAlign w:val="bottom"/>
            <w:hideMark/>
          </w:tcPr>
          <w:p w14:paraId="3785A8FF" w14:textId="04B18AC3" w:rsidR="00275495" w:rsidRPr="00954D00" w:rsidRDefault="00975D6E" w:rsidP="006232A1">
            <w:pPr>
              <w:jc w:val="right"/>
              <w:rPr>
                <w:rFonts w:ascii="Calibri" w:eastAsia="Times New Roman" w:hAnsi="Calibri" w:cs="Calibri"/>
              </w:rPr>
            </w:pPr>
            <w:r>
              <w:rPr>
                <w:rFonts w:ascii="Calibri" w:eastAsia="Times New Roman" w:hAnsi="Calibri" w:cs="Calibri"/>
              </w:rPr>
              <w:t>$</w:t>
            </w:r>
            <w:r w:rsidR="00767BCC">
              <w:rPr>
                <w:rFonts w:ascii="Calibri" w:eastAsia="Times New Roman" w:hAnsi="Calibri" w:cs="Calibri"/>
              </w:rPr>
              <w:t xml:space="preserve">  </w:t>
            </w:r>
            <w:r>
              <w:rPr>
                <w:rFonts w:ascii="Calibri" w:eastAsia="Times New Roman" w:hAnsi="Calibri" w:cs="Calibri"/>
              </w:rPr>
              <w:t>8</w:t>
            </w:r>
            <w:r w:rsidR="00074BAF">
              <w:rPr>
                <w:rFonts w:ascii="Calibri" w:eastAsia="Times New Roman" w:hAnsi="Calibri" w:cs="Calibri"/>
              </w:rPr>
              <w:t>1,542</w:t>
            </w:r>
          </w:p>
        </w:tc>
        <w:tc>
          <w:tcPr>
            <w:tcW w:w="990" w:type="dxa"/>
            <w:tcBorders>
              <w:top w:val="nil"/>
              <w:left w:val="nil"/>
              <w:bottom w:val="nil"/>
              <w:right w:val="nil"/>
            </w:tcBorders>
            <w:shd w:val="clear" w:color="000000" w:fill="FFFFFF"/>
            <w:noWrap/>
            <w:vAlign w:val="bottom"/>
            <w:hideMark/>
          </w:tcPr>
          <w:p w14:paraId="1DB1054C" w14:textId="0809D66D" w:rsidR="00275495" w:rsidRPr="00954D00" w:rsidRDefault="00275495" w:rsidP="006232A1">
            <w:pPr>
              <w:jc w:val="right"/>
              <w:rPr>
                <w:rFonts w:ascii="Calibri" w:eastAsia="Times New Roman" w:hAnsi="Calibri" w:cs="Calibri"/>
              </w:rPr>
            </w:pPr>
            <w:r w:rsidRPr="00954D00">
              <w:rPr>
                <w:rFonts w:ascii="Calibri" w:eastAsia="Times New Roman" w:hAnsi="Calibri" w:cs="Calibri"/>
              </w:rPr>
              <w:t xml:space="preserve">$  </w:t>
            </w:r>
            <w:r w:rsidR="00074BAF">
              <w:rPr>
                <w:rFonts w:ascii="Calibri" w:eastAsia="Times New Roman" w:hAnsi="Calibri" w:cs="Calibri"/>
              </w:rPr>
              <w:t>15,241</w:t>
            </w:r>
          </w:p>
        </w:tc>
        <w:tc>
          <w:tcPr>
            <w:tcW w:w="630" w:type="dxa"/>
            <w:tcBorders>
              <w:top w:val="nil"/>
              <w:left w:val="nil"/>
              <w:bottom w:val="nil"/>
              <w:right w:val="nil"/>
            </w:tcBorders>
            <w:shd w:val="clear" w:color="000000" w:fill="FFFFFF"/>
            <w:noWrap/>
            <w:vAlign w:val="bottom"/>
            <w:hideMark/>
          </w:tcPr>
          <w:p w14:paraId="5DFFD213" w14:textId="77777777" w:rsidR="00275495" w:rsidRPr="00954D00" w:rsidRDefault="00275495" w:rsidP="007531FB">
            <w:pPr>
              <w:jc w:val="right"/>
              <w:rPr>
                <w:rFonts w:ascii="Calibri" w:eastAsia="Times New Roman" w:hAnsi="Calibri" w:cs="Calibri"/>
              </w:rPr>
            </w:pPr>
            <w:r w:rsidRPr="00954D00">
              <w:rPr>
                <w:rFonts w:ascii="Calibri" w:eastAsia="Times New Roman" w:hAnsi="Calibri" w:cs="Calibri"/>
              </w:rPr>
              <w:t>$    -</w:t>
            </w:r>
          </w:p>
        </w:tc>
        <w:tc>
          <w:tcPr>
            <w:tcW w:w="630" w:type="dxa"/>
            <w:tcBorders>
              <w:top w:val="nil"/>
              <w:left w:val="nil"/>
              <w:bottom w:val="nil"/>
              <w:right w:val="nil"/>
            </w:tcBorders>
            <w:shd w:val="clear" w:color="000000" w:fill="FFFFFF"/>
            <w:noWrap/>
            <w:vAlign w:val="bottom"/>
            <w:hideMark/>
          </w:tcPr>
          <w:p w14:paraId="3A2B01D6" w14:textId="77777777" w:rsidR="00275495" w:rsidRPr="00954D00" w:rsidRDefault="00275495" w:rsidP="007531FB">
            <w:pPr>
              <w:jc w:val="right"/>
              <w:rPr>
                <w:rFonts w:ascii="Calibri" w:eastAsia="Times New Roman" w:hAnsi="Calibri" w:cs="Calibri"/>
              </w:rPr>
            </w:pPr>
            <w:r w:rsidRPr="00954D00">
              <w:rPr>
                <w:rFonts w:ascii="Calibri" w:eastAsia="Times New Roman" w:hAnsi="Calibri" w:cs="Calibri"/>
              </w:rPr>
              <w:t>$      -</w:t>
            </w:r>
          </w:p>
        </w:tc>
        <w:tc>
          <w:tcPr>
            <w:tcW w:w="990" w:type="dxa"/>
            <w:tcBorders>
              <w:top w:val="nil"/>
              <w:left w:val="nil"/>
              <w:bottom w:val="nil"/>
              <w:right w:val="nil"/>
            </w:tcBorders>
            <w:shd w:val="clear" w:color="000000" w:fill="FFFFFF"/>
            <w:noWrap/>
            <w:vAlign w:val="bottom"/>
            <w:hideMark/>
          </w:tcPr>
          <w:p w14:paraId="1EF24DE7" w14:textId="381F4CF5" w:rsidR="00275495" w:rsidRPr="00954D00" w:rsidRDefault="00275495">
            <w:pPr>
              <w:jc w:val="right"/>
              <w:rPr>
                <w:rFonts w:ascii="Calibri" w:eastAsia="Times New Roman" w:hAnsi="Calibri" w:cs="Calibri"/>
              </w:rPr>
            </w:pPr>
            <w:r w:rsidRPr="00954D00">
              <w:rPr>
                <w:rFonts w:ascii="Calibri" w:eastAsia="Times New Roman" w:hAnsi="Calibri" w:cs="Calibri"/>
              </w:rPr>
              <w:t xml:space="preserve">$  </w:t>
            </w:r>
            <w:r w:rsidR="00937200" w:rsidRPr="00954D00">
              <w:rPr>
                <w:rFonts w:ascii="Calibri" w:eastAsia="Times New Roman" w:hAnsi="Calibri" w:cs="Calibri"/>
              </w:rPr>
              <w:t>96,783</w:t>
            </w:r>
          </w:p>
        </w:tc>
        <w:tc>
          <w:tcPr>
            <w:tcW w:w="2610" w:type="dxa"/>
            <w:tcBorders>
              <w:top w:val="nil"/>
              <w:left w:val="nil"/>
              <w:bottom w:val="nil"/>
              <w:right w:val="nil"/>
            </w:tcBorders>
            <w:shd w:val="clear" w:color="000000" w:fill="FFFFFF"/>
            <w:vAlign w:val="bottom"/>
            <w:hideMark/>
          </w:tcPr>
          <w:p w14:paraId="50A3649E" w14:textId="77777777" w:rsidR="00275495" w:rsidRPr="00D35BDD" w:rsidRDefault="00275495" w:rsidP="007531FB">
            <w:pPr>
              <w:rPr>
                <w:rFonts w:ascii="Calibri" w:eastAsia="Times New Roman" w:hAnsi="Calibri" w:cs="Calibri"/>
                <w:color w:val="0D0D0D"/>
              </w:rPr>
            </w:pPr>
            <w:r w:rsidRPr="00D35BDD">
              <w:rPr>
                <w:rFonts w:ascii="Calibri" w:eastAsia="Times New Roman" w:hAnsi="Calibri" w:cs="Calibri"/>
                <w:color w:val="0D0D0D"/>
              </w:rPr>
              <w:t>Daily/Monthly</w:t>
            </w:r>
          </w:p>
        </w:tc>
      </w:tr>
      <w:tr w:rsidR="00275495" w:rsidRPr="00D35BDD" w14:paraId="1639C9D7" w14:textId="77777777" w:rsidTr="006232A1">
        <w:trPr>
          <w:trHeight w:val="288"/>
        </w:trPr>
        <w:tc>
          <w:tcPr>
            <w:tcW w:w="2593" w:type="dxa"/>
            <w:tcBorders>
              <w:top w:val="nil"/>
              <w:left w:val="nil"/>
              <w:bottom w:val="nil"/>
              <w:right w:val="nil"/>
            </w:tcBorders>
            <w:shd w:val="clear" w:color="000000" w:fill="FFFFFF"/>
            <w:noWrap/>
            <w:vAlign w:val="bottom"/>
            <w:hideMark/>
          </w:tcPr>
          <w:p w14:paraId="72964CE7" w14:textId="0EED251D" w:rsidR="00275495" w:rsidRPr="00D35BDD" w:rsidRDefault="000438AF" w:rsidP="007531FB">
            <w:pPr>
              <w:rPr>
                <w:rFonts w:ascii="Calibri" w:eastAsia="Times New Roman" w:hAnsi="Calibri" w:cs="Calibri"/>
                <w:color w:val="0D0D0D"/>
              </w:rPr>
            </w:pPr>
            <w:r w:rsidRPr="00D35BDD">
              <w:rPr>
                <w:rFonts w:ascii="Calibri" w:eastAsia="Times New Roman" w:hAnsi="Calibri" w:cs="Calibri"/>
                <w:color w:val="0D0D0D"/>
              </w:rPr>
              <w:t>Non-U.S.</w:t>
            </w:r>
            <w:r w:rsidR="00275495" w:rsidRPr="00D35BDD">
              <w:rPr>
                <w:rFonts w:ascii="Calibri" w:eastAsia="Times New Roman" w:hAnsi="Calibri" w:cs="Calibri"/>
                <w:color w:val="0D0D0D"/>
              </w:rPr>
              <w:t xml:space="preserve"> equities</w:t>
            </w:r>
          </w:p>
        </w:tc>
        <w:tc>
          <w:tcPr>
            <w:tcW w:w="1007" w:type="dxa"/>
            <w:tcBorders>
              <w:top w:val="nil"/>
              <w:left w:val="nil"/>
              <w:bottom w:val="nil"/>
              <w:right w:val="nil"/>
            </w:tcBorders>
            <w:shd w:val="clear" w:color="000000" w:fill="FFFFFF"/>
            <w:noWrap/>
            <w:vAlign w:val="bottom"/>
            <w:hideMark/>
          </w:tcPr>
          <w:p w14:paraId="0B113E8B" w14:textId="5CE9ECC4" w:rsidR="00275495" w:rsidRPr="00954D00" w:rsidRDefault="00074BAF" w:rsidP="007531FB">
            <w:pPr>
              <w:jc w:val="right"/>
              <w:rPr>
                <w:rFonts w:ascii="Calibri" w:eastAsia="Times New Roman" w:hAnsi="Calibri" w:cs="Calibri"/>
              </w:rPr>
            </w:pPr>
            <w:r>
              <w:rPr>
                <w:rFonts w:ascii="Calibri" w:eastAsia="Times New Roman" w:hAnsi="Calibri" w:cs="Calibri"/>
              </w:rPr>
              <w:t>25,056</w:t>
            </w:r>
          </w:p>
        </w:tc>
        <w:tc>
          <w:tcPr>
            <w:tcW w:w="990" w:type="dxa"/>
            <w:tcBorders>
              <w:top w:val="nil"/>
              <w:left w:val="nil"/>
              <w:bottom w:val="nil"/>
              <w:right w:val="nil"/>
            </w:tcBorders>
            <w:shd w:val="clear" w:color="000000" w:fill="FFFFFF"/>
            <w:noWrap/>
            <w:vAlign w:val="bottom"/>
            <w:hideMark/>
          </w:tcPr>
          <w:p w14:paraId="2F992174" w14:textId="56132112" w:rsidR="00275495" w:rsidRPr="00954D00" w:rsidRDefault="00074BAF" w:rsidP="007531FB">
            <w:pPr>
              <w:jc w:val="right"/>
              <w:rPr>
                <w:rFonts w:ascii="Calibri" w:eastAsia="Times New Roman" w:hAnsi="Calibri" w:cs="Calibri"/>
              </w:rPr>
            </w:pPr>
            <w:r>
              <w:rPr>
                <w:rFonts w:ascii="Calibri" w:eastAsia="Times New Roman" w:hAnsi="Calibri" w:cs="Calibri"/>
              </w:rPr>
              <w:t>35,463</w:t>
            </w:r>
          </w:p>
        </w:tc>
        <w:tc>
          <w:tcPr>
            <w:tcW w:w="630" w:type="dxa"/>
            <w:tcBorders>
              <w:top w:val="nil"/>
              <w:left w:val="nil"/>
              <w:bottom w:val="nil"/>
              <w:right w:val="nil"/>
            </w:tcBorders>
            <w:shd w:val="clear" w:color="000000" w:fill="FFFFFF"/>
            <w:noWrap/>
            <w:vAlign w:val="bottom"/>
            <w:hideMark/>
          </w:tcPr>
          <w:p w14:paraId="60D17E2E" w14:textId="77777777" w:rsidR="00275495" w:rsidRPr="00954D00" w:rsidRDefault="00275495" w:rsidP="007531FB">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5FE2A1EC" w14:textId="77777777" w:rsidR="00275495" w:rsidRPr="00954D00" w:rsidRDefault="00275495" w:rsidP="007531FB">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146AB434" w14:textId="33ADF523" w:rsidR="00275495" w:rsidRPr="00954D00" w:rsidRDefault="00937200" w:rsidP="007531FB">
            <w:pPr>
              <w:jc w:val="right"/>
              <w:rPr>
                <w:rFonts w:ascii="Calibri" w:eastAsia="Times New Roman" w:hAnsi="Calibri" w:cs="Calibri"/>
              </w:rPr>
            </w:pPr>
            <w:r w:rsidRPr="00954D00">
              <w:rPr>
                <w:rFonts w:ascii="Calibri" w:eastAsia="Times New Roman" w:hAnsi="Calibri" w:cs="Calibri"/>
              </w:rPr>
              <w:t>60,519</w:t>
            </w:r>
          </w:p>
        </w:tc>
        <w:tc>
          <w:tcPr>
            <w:tcW w:w="2610" w:type="dxa"/>
            <w:tcBorders>
              <w:top w:val="nil"/>
              <w:left w:val="nil"/>
              <w:bottom w:val="nil"/>
              <w:right w:val="nil"/>
            </w:tcBorders>
            <w:shd w:val="clear" w:color="000000" w:fill="FFFFFF"/>
            <w:vAlign w:val="bottom"/>
            <w:hideMark/>
          </w:tcPr>
          <w:p w14:paraId="5C8FDDB8" w14:textId="77777777" w:rsidR="00275495" w:rsidRPr="00D35BDD" w:rsidRDefault="00275495" w:rsidP="007531FB">
            <w:pPr>
              <w:rPr>
                <w:rFonts w:ascii="Calibri" w:eastAsia="Times New Roman" w:hAnsi="Calibri" w:cs="Calibri"/>
                <w:color w:val="0D0D0D"/>
              </w:rPr>
            </w:pPr>
            <w:r w:rsidRPr="00D35BDD">
              <w:rPr>
                <w:rFonts w:ascii="Calibri" w:eastAsia="Times New Roman" w:hAnsi="Calibri" w:cs="Calibri"/>
                <w:color w:val="0D0D0D"/>
              </w:rPr>
              <w:t>Daily/Monthly/Quarterly</w:t>
            </w:r>
          </w:p>
        </w:tc>
      </w:tr>
      <w:tr w:rsidR="00074BAF" w:rsidRPr="00D35BDD" w14:paraId="6BA07343" w14:textId="77777777" w:rsidTr="006232A1">
        <w:trPr>
          <w:trHeight w:val="288"/>
        </w:trPr>
        <w:tc>
          <w:tcPr>
            <w:tcW w:w="2593" w:type="dxa"/>
            <w:tcBorders>
              <w:top w:val="nil"/>
              <w:left w:val="nil"/>
              <w:bottom w:val="nil"/>
              <w:right w:val="nil"/>
            </w:tcBorders>
            <w:shd w:val="clear" w:color="000000" w:fill="FFFFFF"/>
            <w:noWrap/>
            <w:vAlign w:val="bottom"/>
            <w:hideMark/>
          </w:tcPr>
          <w:p w14:paraId="42010975" w14:textId="77777777" w:rsidR="00074BAF" w:rsidRPr="00D35BDD" w:rsidRDefault="00074BAF" w:rsidP="00074BAF">
            <w:pPr>
              <w:rPr>
                <w:rFonts w:ascii="Calibri" w:eastAsia="Times New Roman" w:hAnsi="Calibri" w:cs="Calibri"/>
                <w:color w:val="0D0D0D"/>
              </w:rPr>
            </w:pPr>
            <w:r w:rsidRPr="00D35BDD">
              <w:rPr>
                <w:rFonts w:ascii="Calibri" w:eastAsia="Times New Roman" w:hAnsi="Calibri" w:cs="Calibri"/>
                <w:color w:val="0D0D0D"/>
              </w:rPr>
              <w:t>Global equities</w:t>
            </w:r>
          </w:p>
        </w:tc>
        <w:tc>
          <w:tcPr>
            <w:tcW w:w="1007" w:type="dxa"/>
            <w:tcBorders>
              <w:top w:val="nil"/>
              <w:left w:val="nil"/>
              <w:bottom w:val="nil"/>
              <w:right w:val="nil"/>
            </w:tcBorders>
            <w:shd w:val="clear" w:color="000000" w:fill="FFFFFF"/>
            <w:noWrap/>
            <w:vAlign w:val="bottom"/>
            <w:hideMark/>
          </w:tcPr>
          <w:p w14:paraId="3CD4AADD" w14:textId="22C12925" w:rsidR="00074BAF" w:rsidRPr="00954D00" w:rsidRDefault="00074BAF" w:rsidP="00074BAF">
            <w:pPr>
              <w:jc w:val="right"/>
              <w:rPr>
                <w:rFonts w:ascii="Calibri" w:eastAsia="Times New Roman" w:hAnsi="Calibri" w:cs="Calibri"/>
              </w:rPr>
            </w:pPr>
            <w:r>
              <w:rPr>
                <w:rFonts w:ascii="Calibri" w:eastAsia="Times New Roman" w:hAnsi="Calibri" w:cs="Calibri"/>
              </w:rPr>
              <w:t>41,908</w:t>
            </w:r>
          </w:p>
        </w:tc>
        <w:tc>
          <w:tcPr>
            <w:tcW w:w="990" w:type="dxa"/>
            <w:tcBorders>
              <w:top w:val="nil"/>
              <w:left w:val="nil"/>
              <w:bottom w:val="nil"/>
              <w:right w:val="nil"/>
            </w:tcBorders>
            <w:shd w:val="clear" w:color="000000" w:fill="FFFFFF"/>
            <w:noWrap/>
            <w:vAlign w:val="bottom"/>
            <w:hideMark/>
          </w:tcPr>
          <w:p w14:paraId="45ABC690" w14:textId="619A1BBD"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67CCDFE2"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39B5CA14"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0E16271A" w14:textId="6CF78B8A"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41,908</w:t>
            </w:r>
          </w:p>
        </w:tc>
        <w:tc>
          <w:tcPr>
            <w:tcW w:w="2610" w:type="dxa"/>
            <w:tcBorders>
              <w:top w:val="nil"/>
              <w:left w:val="nil"/>
              <w:bottom w:val="nil"/>
              <w:right w:val="nil"/>
            </w:tcBorders>
            <w:shd w:val="clear" w:color="000000" w:fill="FFFFFF"/>
            <w:vAlign w:val="bottom"/>
            <w:hideMark/>
          </w:tcPr>
          <w:p w14:paraId="02E6CF04" w14:textId="77777777" w:rsidR="00074BAF" w:rsidRPr="00D35BDD" w:rsidRDefault="00074BAF" w:rsidP="00074BAF">
            <w:pPr>
              <w:rPr>
                <w:rFonts w:ascii="Calibri" w:eastAsia="Times New Roman" w:hAnsi="Calibri" w:cs="Calibri"/>
                <w:color w:val="0D0D0D"/>
              </w:rPr>
            </w:pPr>
            <w:r w:rsidRPr="00D35BDD">
              <w:rPr>
                <w:rFonts w:ascii="Calibri" w:eastAsia="Times New Roman" w:hAnsi="Calibri" w:cs="Calibri"/>
                <w:color w:val="0D0D0D"/>
              </w:rPr>
              <w:t>Monthly/Quarterly</w:t>
            </w:r>
          </w:p>
        </w:tc>
      </w:tr>
      <w:tr w:rsidR="00074BAF" w:rsidRPr="00D35BDD" w14:paraId="48B87F59" w14:textId="77777777" w:rsidTr="006232A1">
        <w:trPr>
          <w:trHeight w:val="288"/>
        </w:trPr>
        <w:tc>
          <w:tcPr>
            <w:tcW w:w="2593" w:type="dxa"/>
            <w:tcBorders>
              <w:top w:val="nil"/>
              <w:left w:val="nil"/>
              <w:bottom w:val="nil"/>
              <w:right w:val="nil"/>
            </w:tcBorders>
            <w:shd w:val="clear" w:color="000000" w:fill="FFFFFF"/>
            <w:noWrap/>
            <w:vAlign w:val="bottom"/>
            <w:hideMark/>
          </w:tcPr>
          <w:p w14:paraId="0572D4FF" w14:textId="77777777" w:rsidR="00074BAF" w:rsidRPr="00D35BDD" w:rsidRDefault="00074BAF" w:rsidP="00074BAF">
            <w:pPr>
              <w:rPr>
                <w:rFonts w:ascii="Calibri" w:eastAsia="Times New Roman" w:hAnsi="Calibri" w:cs="Calibri"/>
                <w:color w:val="0D0D0D"/>
              </w:rPr>
            </w:pPr>
            <w:r w:rsidRPr="00D35BDD">
              <w:rPr>
                <w:rFonts w:ascii="Calibri" w:eastAsia="Times New Roman" w:hAnsi="Calibri" w:cs="Calibri"/>
                <w:color w:val="0D0D0D"/>
              </w:rPr>
              <w:t>U.S. fixed income</w:t>
            </w:r>
          </w:p>
        </w:tc>
        <w:tc>
          <w:tcPr>
            <w:tcW w:w="1007" w:type="dxa"/>
            <w:tcBorders>
              <w:top w:val="nil"/>
              <w:left w:val="nil"/>
              <w:bottom w:val="nil"/>
              <w:right w:val="nil"/>
            </w:tcBorders>
            <w:shd w:val="clear" w:color="000000" w:fill="FFFFFF"/>
            <w:noWrap/>
            <w:vAlign w:val="bottom"/>
            <w:hideMark/>
          </w:tcPr>
          <w:p w14:paraId="2161E439"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437D3147" w14:textId="6FB12311"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35,361</w:t>
            </w:r>
          </w:p>
        </w:tc>
        <w:tc>
          <w:tcPr>
            <w:tcW w:w="630" w:type="dxa"/>
            <w:tcBorders>
              <w:top w:val="nil"/>
              <w:left w:val="nil"/>
              <w:bottom w:val="nil"/>
              <w:right w:val="nil"/>
            </w:tcBorders>
            <w:shd w:val="clear" w:color="000000" w:fill="FFFFFF"/>
            <w:noWrap/>
            <w:vAlign w:val="bottom"/>
            <w:hideMark/>
          </w:tcPr>
          <w:p w14:paraId="674652AA"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0FDE3235"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5A38C4B0" w14:textId="799B3FC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35,361</w:t>
            </w:r>
          </w:p>
        </w:tc>
        <w:tc>
          <w:tcPr>
            <w:tcW w:w="2610" w:type="dxa"/>
            <w:tcBorders>
              <w:top w:val="nil"/>
              <w:left w:val="nil"/>
              <w:bottom w:val="nil"/>
              <w:right w:val="nil"/>
            </w:tcBorders>
            <w:shd w:val="clear" w:color="000000" w:fill="FFFFFF"/>
            <w:vAlign w:val="bottom"/>
            <w:hideMark/>
          </w:tcPr>
          <w:p w14:paraId="4EDE7EEF" w14:textId="77777777" w:rsidR="00074BAF" w:rsidRPr="00D35BDD" w:rsidRDefault="00074BAF" w:rsidP="00074BAF">
            <w:pPr>
              <w:rPr>
                <w:rFonts w:ascii="Calibri" w:eastAsia="Times New Roman" w:hAnsi="Calibri" w:cs="Calibri"/>
                <w:color w:val="0D0D0D"/>
              </w:rPr>
            </w:pPr>
            <w:r w:rsidRPr="00D35BDD">
              <w:rPr>
                <w:rFonts w:ascii="Calibri" w:eastAsia="Times New Roman" w:hAnsi="Calibri" w:cs="Calibri"/>
                <w:color w:val="0D0D0D"/>
              </w:rPr>
              <w:t>Daily</w:t>
            </w:r>
          </w:p>
        </w:tc>
      </w:tr>
      <w:tr w:rsidR="00074BAF" w:rsidRPr="00D35BDD" w14:paraId="317B03C5" w14:textId="77777777" w:rsidTr="006232A1">
        <w:trPr>
          <w:trHeight w:val="288"/>
        </w:trPr>
        <w:tc>
          <w:tcPr>
            <w:tcW w:w="2593" w:type="dxa"/>
            <w:tcBorders>
              <w:top w:val="nil"/>
              <w:left w:val="nil"/>
              <w:bottom w:val="nil"/>
              <w:right w:val="nil"/>
            </w:tcBorders>
            <w:shd w:val="clear" w:color="000000" w:fill="FFFFFF"/>
            <w:noWrap/>
            <w:vAlign w:val="bottom"/>
            <w:hideMark/>
          </w:tcPr>
          <w:p w14:paraId="68FA6214" w14:textId="77777777" w:rsidR="00074BAF" w:rsidRPr="00D35BDD" w:rsidRDefault="00074BAF" w:rsidP="00074BAF">
            <w:pPr>
              <w:rPr>
                <w:rFonts w:ascii="Calibri" w:eastAsia="Times New Roman" w:hAnsi="Calibri" w:cs="Calibri"/>
                <w:color w:val="0D0D0D"/>
              </w:rPr>
            </w:pPr>
            <w:r w:rsidRPr="00D35BDD">
              <w:rPr>
                <w:rFonts w:ascii="Calibri" w:eastAsia="Times New Roman" w:hAnsi="Calibri" w:cs="Calibri"/>
                <w:color w:val="0D0D0D"/>
              </w:rPr>
              <w:t>Total private investments</w:t>
            </w:r>
          </w:p>
        </w:tc>
        <w:tc>
          <w:tcPr>
            <w:tcW w:w="1007" w:type="dxa"/>
            <w:tcBorders>
              <w:top w:val="nil"/>
              <w:left w:val="nil"/>
              <w:bottom w:val="nil"/>
              <w:right w:val="nil"/>
            </w:tcBorders>
            <w:shd w:val="clear" w:color="000000" w:fill="FFFFFF"/>
            <w:noWrap/>
            <w:vAlign w:val="bottom"/>
            <w:hideMark/>
          </w:tcPr>
          <w:p w14:paraId="689196EB" w14:textId="53EAB831"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36,161</w:t>
            </w:r>
          </w:p>
        </w:tc>
        <w:tc>
          <w:tcPr>
            <w:tcW w:w="990" w:type="dxa"/>
            <w:tcBorders>
              <w:top w:val="nil"/>
              <w:left w:val="nil"/>
              <w:bottom w:val="nil"/>
              <w:right w:val="nil"/>
            </w:tcBorders>
            <w:shd w:val="clear" w:color="000000" w:fill="FFFFFF"/>
            <w:noWrap/>
            <w:vAlign w:val="bottom"/>
            <w:hideMark/>
          </w:tcPr>
          <w:p w14:paraId="3457A6AA"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5D95471F"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42D64648"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3152FFB7" w14:textId="6EA9163A"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36,161</w:t>
            </w:r>
          </w:p>
        </w:tc>
        <w:tc>
          <w:tcPr>
            <w:tcW w:w="2610" w:type="dxa"/>
            <w:tcBorders>
              <w:top w:val="nil"/>
              <w:left w:val="nil"/>
              <w:bottom w:val="nil"/>
              <w:right w:val="nil"/>
            </w:tcBorders>
            <w:shd w:val="clear" w:color="000000" w:fill="FFFFFF"/>
            <w:vAlign w:val="bottom"/>
            <w:hideMark/>
          </w:tcPr>
          <w:p w14:paraId="5828D4DD" w14:textId="77777777" w:rsidR="00074BAF" w:rsidRPr="00D35BDD" w:rsidRDefault="00074BAF" w:rsidP="00074BAF">
            <w:pPr>
              <w:rPr>
                <w:rFonts w:ascii="Calibri" w:eastAsia="Times New Roman" w:hAnsi="Calibri" w:cs="Calibri"/>
                <w:color w:val="0D0D0D"/>
              </w:rPr>
            </w:pPr>
            <w:r w:rsidRPr="00D35BDD">
              <w:rPr>
                <w:rFonts w:ascii="Calibri" w:eastAsia="Times New Roman" w:hAnsi="Calibri" w:cs="Calibri"/>
                <w:color w:val="0D0D0D"/>
              </w:rPr>
              <w:t>Illiquid</w:t>
            </w:r>
          </w:p>
        </w:tc>
      </w:tr>
      <w:tr w:rsidR="00074BAF" w:rsidRPr="00D35BDD" w14:paraId="7B468BE1" w14:textId="77777777" w:rsidTr="006232A1">
        <w:trPr>
          <w:trHeight w:val="576"/>
        </w:trPr>
        <w:tc>
          <w:tcPr>
            <w:tcW w:w="2593" w:type="dxa"/>
            <w:tcBorders>
              <w:top w:val="nil"/>
              <w:left w:val="nil"/>
              <w:bottom w:val="nil"/>
              <w:right w:val="nil"/>
            </w:tcBorders>
            <w:shd w:val="clear" w:color="000000" w:fill="FFFFFF"/>
            <w:noWrap/>
            <w:vAlign w:val="bottom"/>
            <w:hideMark/>
          </w:tcPr>
          <w:p w14:paraId="574C5C1B" w14:textId="77777777" w:rsidR="00074BAF" w:rsidRPr="00D35BDD" w:rsidRDefault="00074BAF" w:rsidP="00074BAF">
            <w:pPr>
              <w:rPr>
                <w:rFonts w:ascii="Calibri" w:eastAsia="Times New Roman" w:hAnsi="Calibri" w:cs="Calibri"/>
                <w:color w:val="0D0D0D"/>
              </w:rPr>
            </w:pPr>
            <w:r w:rsidRPr="00D35BDD">
              <w:rPr>
                <w:rFonts w:ascii="Calibri" w:eastAsia="Times New Roman" w:hAnsi="Calibri" w:cs="Calibri"/>
                <w:color w:val="0D0D0D"/>
              </w:rPr>
              <w:t>Alternative investments</w:t>
            </w:r>
          </w:p>
        </w:tc>
        <w:tc>
          <w:tcPr>
            <w:tcW w:w="1007" w:type="dxa"/>
            <w:tcBorders>
              <w:top w:val="nil"/>
              <w:left w:val="nil"/>
              <w:bottom w:val="nil"/>
              <w:right w:val="nil"/>
            </w:tcBorders>
            <w:shd w:val="clear" w:color="000000" w:fill="FFFFFF"/>
            <w:noWrap/>
            <w:vAlign w:val="bottom"/>
            <w:hideMark/>
          </w:tcPr>
          <w:p w14:paraId="277652D9" w14:textId="67C69485"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39,237</w:t>
            </w:r>
          </w:p>
        </w:tc>
        <w:tc>
          <w:tcPr>
            <w:tcW w:w="990" w:type="dxa"/>
            <w:tcBorders>
              <w:top w:val="nil"/>
              <w:left w:val="nil"/>
              <w:bottom w:val="nil"/>
              <w:right w:val="nil"/>
            </w:tcBorders>
            <w:shd w:val="clear" w:color="000000" w:fill="FFFFFF"/>
            <w:noWrap/>
            <w:vAlign w:val="bottom"/>
            <w:hideMark/>
          </w:tcPr>
          <w:p w14:paraId="01551CE9"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74944296"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76CB6E66"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75572D45" w14:textId="483CB06C"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39,237</w:t>
            </w:r>
          </w:p>
        </w:tc>
        <w:tc>
          <w:tcPr>
            <w:tcW w:w="2610" w:type="dxa"/>
            <w:tcBorders>
              <w:top w:val="nil"/>
              <w:left w:val="nil"/>
              <w:bottom w:val="nil"/>
              <w:right w:val="nil"/>
            </w:tcBorders>
            <w:shd w:val="clear" w:color="000000" w:fill="FFFFFF"/>
            <w:vAlign w:val="bottom"/>
            <w:hideMark/>
          </w:tcPr>
          <w:p w14:paraId="2C70B7C3" w14:textId="77777777" w:rsidR="00074BAF" w:rsidRPr="00D35BDD" w:rsidRDefault="00074BAF" w:rsidP="00074BAF">
            <w:pPr>
              <w:rPr>
                <w:rFonts w:ascii="Calibri" w:eastAsia="Times New Roman" w:hAnsi="Calibri" w:cs="Calibri"/>
                <w:color w:val="0D0D0D"/>
              </w:rPr>
            </w:pPr>
            <w:r w:rsidRPr="00D35BDD">
              <w:rPr>
                <w:rFonts w:ascii="Calibri" w:eastAsia="Times New Roman" w:hAnsi="Calibri" w:cs="Calibri"/>
                <w:color w:val="0D0D0D"/>
              </w:rPr>
              <w:t>Illiquid/Monthly/Quarterly/Semi-Annually/Annually</w:t>
            </w:r>
          </w:p>
        </w:tc>
      </w:tr>
      <w:tr w:rsidR="00074BAF" w:rsidRPr="00D35BDD" w14:paraId="28D8C7DE" w14:textId="77777777" w:rsidTr="006232A1">
        <w:trPr>
          <w:trHeight w:val="288"/>
        </w:trPr>
        <w:tc>
          <w:tcPr>
            <w:tcW w:w="2593" w:type="dxa"/>
            <w:tcBorders>
              <w:top w:val="nil"/>
              <w:left w:val="nil"/>
              <w:bottom w:val="nil"/>
              <w:right w:val="nil"/>
            </w:tcBorders>
            <w:shd w:val="clear" w:color="000000" w:fill="FFFFFF"/>
            <w:noWrap/>
            <w:vAlign w:val="bottom"/>
            <w:hideMark/>
          </w:tcPr>
          <w:p w14:paraId="5C7120FC" w14:textId="77777777" w:rsidR="00074BAF" w:rsidRPr="00D35BDD" w:rsidRDefault="00074BAF" w:rsidP="00074BAF">
            <w:pPr>
              <w:rPr>
                <w:rFonts w:ascii="Calibri" w:eastAsia="Times New Roman" w:hAnsi="Calibri" w:cs="Calibri"/>
                <w:color w:val="0D0D0D"/>
              </w:rPr>
            </w:pPr>
            <w:r w:rsidRPr="00D35BDD">
              <w:rPr>
                <w:rFonts w:ascii="Calibri" w:eastAsia="Times New Roman" w:hAnsi="Calibri" w:cs="Calibri"/>
                <w:color w:val="0D0D0D"/>
              </w:rPr>
              <w:t>Cash</w:t>
            </w:r>
          </w:p>
        </w:tc>
        <w:tc>
          <w:tcPr>
            <w:tcW w:w="1007" w:type="dxa"/>
            <w:tcBorders>
              <w:top w:val="nil"/>
              <w:left w:val="nil"/>
              <w:bottom w:val="nil"/>
              <w:right w:val="nil"/>
            </w:tcBorders>
            <w:shd w:val="clear" w:color="000000" w:fill="FFFFFF"/>
            <w:noWrap/>
            <w:vAlign w:val="bottom"/>
            <w:hideMark/>
          </w:tcPr>
          <w:p w14:paraId="7B0B5343"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7C862ADF" w14:textId="5B48ED9C"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87</w:t>
            </w:r>
          </w:p>
        </w:tc>
        <w:tc>
          <w:tcPr>
            <w:tcW w:w="630" w:type="dxa"/>
            <w:tcBorders>
              <w:top w:val="nil"/>
              <w:left w:val="nil"/>
              <w:bottom w:val="nil"/>
              <w:right w:val="nil"/>
            </w:tcBorders>
            <w:shd w:val="clear" w:color="000000" w:fill="FFFFFF"/>
            <w:noWrap/>
            <w:vAlign w:val="bottom"/>
            <w:hideMark/>
          </w:tcPr>
          <w:p w14:paraId="2C199CEC"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6DA5D8A2" w14:textId="77777777"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0E74A2F6" w14:textId="17D0535D" w:rsidR="00074BAF" w:rsidRPr="00954D00" w:rsidRDefault="00074BAF" w:rsidP="00074BAF">
            <w:pPr>
              <w:jc w:val="right"/>
              <w:rPr>
                <w:rFonts w:ascii="Calibri" w:eastAsia="Times New Roman" w:hAnsi="Calibri" w:cs="Calibri"/>
              </w:rPr>
            </w:pPr>
            <w:r w:rsidRPr="00954D00">
              <w:rPr>
                <w:rFonts w:ascii="Calibri" w:eastAsia="Times New Roman" w:hAnsi="Calibri" w:cs="Calibri"/>
              </w:rPr>
              <w:t>87</w:t>
            </w:r>
          </w:p>
        </w:tc>
        <w:tc>
          <w:tcPr>
            <w:tcW w:w="2610" w:type="dxa"/>
            <w:tcBorders>
              <w:top w:val="nil"/>
              <w:left w:val="nil"/>
              <w:bottom w:val="nil"/>
              <w:right w:val="nil"/>
            </w:tcBorders>
            <w:shd w:val="clear" w:color="000000" w:fill="FFFFFF"/>
            <w:vAlign w:val="bottom"/>
            <w:hideMark/>
          </w:tcPr>
          <w:p w14:paraId="2B9C5E42" w14:textId="77777777" w:rsidR="00074BAF" w:rsidRPr="00D35BDD" w:rsidRDefault="00074BAF" w:rsidP="00074BAF">
            <w:pPr>
              <w:rPr>
                <w:rFonts w:ascii="Calibri" w:eastAsia="Times New Roman" w:hAnsi="Calibri" w:cs="Calibri"/>
                <w:color w:val="0D0D0D"/>
              </w:rPr>
            </w:pPr>
            <w:r w:rsidRPr="00D35BDD">
              <w:rPr>
                <w:rFonts w:ascii="Calibri" w:eastAsia="Times New Roman" w:hAnsi="Calibri" w:cs="Calibri"/>
                <w:color w:val="0D0D0D"/>
              </w:rPr>
              <w:t>Daily</w:t>
            </w:r>
          </w:p>
        </w:tc>
      </w:tr>
      <w:tr w:rsidR="00074BAF" w:rsidRPr="00D35BDD" w14:paraId="7965D928" w14:textId="77777777" w:rsidTr="006232A1">
        <w:trPr>
          <w:trHeight w:val="588"/>
        </w:trPr>
        <w:tc>
          <w:tcPr>
            <w:tcW w:w="2593" w:type="dxa"/>
            <w:tcBorders>
              <w:top w:val="single" w:sz="4" w:space="0" w:color="00688D"/>
              <w:left w:val="nil"/>
              <w:bottom w:val="double" w:sz="6" w:space="0" w:color="00688D"/>
              <w:right w:val="nil"/>
            </w:tcBorders>
            <w:shd w:val="clear" w:color="000000" w:fill="FFFFFF"/>
            <w:vAlign w:val="bottom"/>
            <w:hideMark/>
          </w:tcPr>
          <w:p w14:paraId="1F786AD7" w14:textId="77777777" w:rsidR="00074BAF" w:rsidRPr="00D35BDD" w:rsidRDefault="00074BAF" w:rsidP="00074BAF">
            <w:pPr>
              <w:rPr>
                <w:rFonts w:ascii="Calibri" w:eastAsia="Times New Roman" w:hAnsi="Calibri" w:cs="Calibri"/>
                <w:b/>
                <w:bCs/>
                <w:color w:val="0D0D0D"/>
              </w:rPr>
            </w:pPr>
            <w:r w:rsidRPr="00D35BDD">
              <w:rPr>
                <w:rFonts w:ascii="Calibri" w:eastAsia="Times New Roman" w:hAnsi="Calibri" w:cs="Calibri"/>
                <w:b/>
                <w:bCs/>
                <w:color w:val="0D0D0D"/>
              </w:rPr>
              <w:t>Total long-term investments, endowment</w:t>
            </w:r>
          </w:p>
        </w:tc>
        <w:tc>
          <w:tcPr>
            <w:tcW w:w="1007" w:type="dxa"/>
            <w:tcBorders>
              <w:top w:val="single" w:sz="4" w:space="0" w:color="00688D"/>
              <w:left w:val="nil"/>
              <w:bottom w:val="double" w:sz="6" w:space="0" w:color="00688D"/>
              <w:right w:val="nil"/>
            </w:tcBorders>
            <w:shd w:val="clear" w:color="000000" w:fill="FFFFFF"/>
            <w:noWrap/>
            <w:vAlign w:val="bottom"/>
            <w:hideMark/>
          </w:tcPr>
          <w:p w14:paraId="69A76FC0" w14:textId="3E65E094" w:rsidR="00074BAF" w:rsidRPr="00954D00" w:rsidRDefault="00074BAF" w:rsidP="006232A1">
            <w:pPr>
              <w:jc w:val="right"/>
              <w:rPr>
                <w:rFonts w:ascii="Calibri" w:eastAsia="Times New Roman" w:hAnsi="Calibri" w:cs="Calibri"/>
                <w:b/>
                <w:bCs/>
              </w:rPr>
            </w:pPr>
            <w:r w:rsidRPr="00954D00">
              <w:rPr>
                <w:rFonts w:ascii="Calibri" w:eastAsia="Times New Roman" w:hAnsi="Calibri" w:cs="Calibri"/>
                <w:b/>
                <w:bCs/>
              </w:rPr>
              <w:t>$</w:t>
            </w:r>
            <w:r>
              <w:rPr>
                <w:rFonts w:ascii="Calibri" w:eastAsia="Times New Roman" w:hAnsi="Calibri" w:cs="Calibri"/>
                <w:b/>
                <w:bCs/>
              </w:rPr>
              <w:t>223,904</w:t>
            </w:r>
          </w:p>
        </w:tc>
        <w:tc>
          <w:tcPr>
            <w:tcW w:w="990" w:type="dxa"/>
            <w:tcBorders>
              <w:top w:val="single" w:sz="4" w:space="0" w:color="00688D"/>
              <w:left w:val="nil"/>
              <w:bottom w:val="double" w:sz="6" w:space="0" w:color="00688D"/>
              <w:right w:val="nil"/>
            </w:tcBorders>
            <w:shd w:val="clear" w:color="000000" w:fill="FFFFFF"/>
            <w:noWrap/>
            <w:vAlign w:val="bottom"/>
            <w:hideMark/>
          </w:tcPr>
          <w:p w14:paraId="57771B0D" w14:textId="5FC0A7B8" w:rsidR="00074BAF" w:rsidRPr="00954D00" w:rsidRDefault="00074BAF" w:rsidP="006232A1">
            <w:pPr>
              <w:jc w:val="right"/>
              <w:rPr>
                <w:rFonts w:ascii="Calibri" w:eastAsia="Times New Roman" w:hAnsi="Calibri" w:cs="Calibri"/>
                <w:b/>
                <w:bCs/>
              </w:rPr>
            </w:pPr>
            <w:r w:rsidRPr="00954D00">
              <w:rPr>
                <w:rFonts w:ascii="Calibri" w:eastAsia="Times New Roman" w:hAnsi="Calibri" w:cs="Calibri"/>
                <w:b/>
                <w:bCs/>
              </w:rPr>
              <w:t>$</w:t>
            </w:r>
            <w:r>
              <w:rPr>
                <w:rFonts w:ascii="Calibri" w:eastAsia="Times New Roman" w:hAnsi="Calibri" w:cs="Calibri"/>
                <w:b/>
                <w:bCs/>
              </w:rPr>
              <w:t>86,152</w:t>
            </w:r>
          </w:p>
        </w:tc>
        <w:tc>
          <w:tcPr>
            <w:tcW w:w="630" w:type="dxa"/>
            <w:tcBorders>
              <w:top w:val="single" w:sz="4" w:space="0" w:color="00688D"/>
              <w:left w:val="nil"/>
              <w:bottom w:val="double" w:sz="6" w:space="0" w:color="00688D"/>
              <w:right w:val="nil"/>
            </w:tcBorders>
            <w:shd w:val="clear" w:color="000000" w:fill="FFFFFF"/>
            <w:noWrap/>
            <w:vAlign w:val="bottom"/>
            <w:hideMark/>
          </w:tcPr>
          <w:p w14:paraId="74741E0A" w14:textId="77777777" w:rsidR="00074BAF" w:rsidRPr="00954D00" w:rsidRDefault="00074BAF" w:rsidP="00074BAF">
            <w:pPr>
              <w:jc w:val="right"/>
              <w:rPr>
                <w:rFonts w:ascii="Calibri" w:eastAsia="Times New Roman" w:hAnsi="Calibri" w:cs="Calibri"/>
                <w:b/>
                <w:bCs/>
              </w:rPr>
            </w:pPr>
            <w:r w:rsidRPr="00954D00">
              <w:rPr>
                <w:rFonts w:ascii="Calibri" w:eastAsia="Times New Roman" w:hAnsi="Calibri" w:cs="Calibri"/>
                <w:b/>
                <w:bCs/>
              </w:rPr>
              <w:t>$    -</w:t>
            </w:r>
          </w:p>
        </w:tc>
        <w:tc>
          <w:tcPr>
            <w:tcW w:w="630" w:type="dxa"/>
            <w:tcBorders>
              <w:top w:val="single" w:sz="4" w:space="0" w:color="00688D"/>
              <w:left w:val="nil"/>
              <w:bottom w:val="double" w:sz="6" w:space="0" w:color="00688D"/>
              <w:right w:val="nil"/>
            </w:tcBorders>
            <w:shd w:val="clear" w:color="000000" w:fill="FFFFFF"/>
            <w:noWrap/>
            <w:vAlign w:val="bottom"/>
            <w:hideMark/>
          </w:tcPr>
          <w:p w14:paraId="25B1683C" w14:textId="77777777" w:rsidR="00074BAF" w:rsidRPr="00954D00" w:rsidRDefault="00074BAF" w:rsidP="00074BAF">
            <w:pPr>
              <w:jc w:val="right"/>
              <w:rPr>
                <w:rFonts w:ascii="Calibri" w:eastAsia="Times New Roman" w:hAnsi="Calibri" w:cs="Calibri"/>
                <w:b/>
                <w:bCs/>
              </w:rPr>
            </w:pPr>
            <w:r w:rsidRPr="00954D00">
              <w:rPr>
                <w:rFonts w:ascii="Calibri" w:eastAsia="Times New Roman" w:hAnsi="Calibri" w:cs="Calibri"/>
                <w:b/>
                <w:bCs/>
              </w:rPr>
              <w:t>$      -</w:t>
            </w:r>
          </w:p>
        </w:tc>
        <w:tc>
          <w:tcPr>
            <w:tcW w:w="990" w:type="dxa"/>
            <w:tcBorders>
              <w:top w:val="single" w:sz="4" w:space="0" w:color="00688D"/>
              <w:left w:val="nil"/>
              <w:bottom w:val="double" w:sz="6" w:space="0" w:color="00688D"/>
              <w:right w:val="nil"/>
            </w:tcBorders>
            <w:shd w:val="clear" w:color="000000" w:fill="FFFFFF"/>
            <w:noWrap/>
            <w:vAlign w:val="bottom"/>
            <w:hideMark/>
          </w:tcPr>
          <w:p w14:paraId="21F8905A" w14:textId="00DD94C2" w:rsidR="00074BAF" w:rsidRPr="00954D00" w:rsidRDefault="00074BAF" w:rsidP="00074BAF">
            <w:pPr>
              <w:jc w:val="right"/>
              <w:rPr>
                <w:rFonts w:ascii="Calibri" w:eastAsia="Times New Roman" w:hAnsi="Calibri" w:cs="Calibri"/>
                <w:b/>
                <w:bCs/>
              </w:rPr>
            </w:pPr>
            <w:r w:rsidRPr="00954D00">
              <w:rPr>
                <w:rFonts w:ascii="Calibri" w:eastAsia="Times New Roman" w:hAnsi="Calibri" w:cs="Calibri"/>
                <w:b/>
                <w:bCs/>
              </w:rPr>
              <w:t>$310,056</w:t>
            </w:r>
          </w:p>
        </w:tc>
        <w:tc>
          <w:tcPr>
            <w:tcW w:w="2610" w:type="dxa"/>
            <w:tcBorders>
              <w:top w:val="single" w:sz="4" w:space="0" w:color="00688D"/>
              <w:left w:val="nil"/>
              <w:bottom w:val="double" w:sz="6" w:space="0" w:color="00688D"/>
              <w:right w:val="nil"/>
            </w:tcBorders>
            <w:shd w:val="clear" w:color="000000" w:fill="FFFFFF"/>
            <w:noWrap/>
            <w:vAlign w:val="bottom"/>
            <w:hideMark/>
          </w:tcPr>
          <w:p w14:paraId="57C69C45" w14:textId="77777777" w:rsidR="00074BAF" w:rsidRPr="00D35BDD" w:rsidRDefault="00074BAF" w:rsidP="00074BAF">
            <w:pPr>
              <w:rPr>
                <w:rFonts w:ascii="Calibri" w:eastAsia="Times New Roman" w:hAnsi="Calibri" w:cs="Calibri"/>
                <w:b/>
                <w:bCs/>
                <w:color w:val="0D0D0D"/>
              </w:rPr>
            </w:pPr>
            <w:r w:rsidRPr="00D35BDD">
              <w:rPr>
                <w:rFonts w:ascii="Calibri" w:eastAsia="Times New Roman" w:hAnsi="Calibri" w:cs="Calibri"/>
                <w:b/>
                <w:bCs/>
                <w:color w:val="0D0D0D"/>
              </w:rPr>
              <w:t> </w:t>
            </w:r>
          </w:p>
        </w:tc>
      </w:tr>
    </w:tbl>
    <w:p w14:paraId="5348C86B" w14:textId="77777777" w:rsidR="00051D7E" w:rsidRDefault="00051D7E" w:rsidP="00051D7E"/>
    <w:p w14:paraId="2A3D9880" w14:textId="77777777" w:rsidR="00051D7E" w:rsidRDefault="00051D7E" w:rsidP="00051D7E">
      <w:pPr>
        <w:spacing w:before="240"/>
        <w:jc w:val="center"/>
      </w:pPr>
      <w:r w:rsidRPr="00D35BDD">
        <w:rPr>
          <w:rFonts w:ascii="Calibri" w:eastAsia="Times New Roman" w:hAnsi="Calibri" w:cs="Calibri"/>
          <w:b/>
          <w:bCs/>
          <w:color w:val="0D0D0D"/>
        </w:rPr>
        <w:t>20</w:t>
      </w:r>
      <w:r>
        <w:rPr>
          <w:rFonts w:ascii="Calibri" w:eastAsia="Times New Roman" w:hAnsi="Calibri" w:cs="Calibri"/>
          <w:b/>
          <w:bCs/>
          <w:color w:val="0D0D0D"/>
        </w:rPr>
        <w:t>20</w:t>
      </w:r>
    </w:p>
    <w:tbl>
      <w:tblPr>
        <w:tblW w:w="9493" w:type="dxa"/>
        <w:tblLayout w:type="fixed"/>
        <w:tblCellMar>
          <w:left w:w="72" w:type="dxa"/>
          <w:right w:w="72" w:type="dxa"/>
        </w:tblCellMar>
        <w:tblLook w:val="04A0" w:firstRow="1" w:lastRow="0" w:firstColumn="1" w:lastColumn="0" w:noHBand="0" w:noVBand="1"/>
      </w:tblPr>
      <w:tblGrid>
        <w:gridCol w:w="2593"/>
        <w:gridCol w:w="12"/>
        <w:gridCol w:w="995"/>
        <w:gridCol w:w="892"/>
        <w:gridCol w:w="20"/>
        <w:gridCol w:w="618"/>
        <w:gridCol w:w="23"/>
        <w:gridCol w:w="607"/>
        <w:gridCol w:w="26"/>
        <w:gridCol w:w="964"/>
        <w:gridCol w:w="30"/>
        <w:gridCol w:w="2670"/>
        <w:gridCol w:w="43"/>
      </w:tblGrid>
      <w:tr w:rsidR="00051D7E" w:rsidRPr="00D35BDD" w14:paraId="35200BE4" w14:textId="77777777" w:rsidTr="00E04E32">
        <w:trPr>
          <w:trHeight w:val="615"/>
          <w:tblHeader/>
        </w:trPr>
        <w:tc>
          <w:tcPr>
            <w:tcW w:w="2605" w:type="dxa"/>
            <w:gridSpan w:val="2"/>
            <w:tcBorders>
              <w:top w:val="nil"/>
              <w:left w:val="nil"/>
              <w:bottom w:val="single" w:sz="12" w:space="0" w:color="00688D"/>
              <w:right w:val="nil"/>
            </w:tcBorders>
            <w:shd w:val="clear" w:color="000000" w:fill="FFFFFF"/>
            <w:noWrap/>
            <w:vAlign w:val="bottom"/>
            <w:hideMark/>
          </w:tcPr>
          <w:p w14:paraId="181021FF" w14:textId="77777777" w:rsidR="00051D7E" w:rsidRPr="00D35BDD" w:rsidRDefault="00051D7E" w:rsidP="007531FB">
            <w:pPr>
              <w:rPr>
                <w:rFonts w:ascii="Calibri" w:eastAsia="Times New Roman" w:hAnsi="Calibri" w:cs="Calibri"/>
                <w:b/>
                <w:bCs/>
                <w:color w:val="0D0D0D"/>
              </w:rPr>
            </w:pPr>
            <w:r w:rsidRPr="00D35BDD">
              <w:rPr>
                <w:rFonts w:ascii="Calibri" w:eastAsia="Times New Roman" w:hAnsi="Calibri" w:cs="Calibri"/>
                <w:b/>
                <w:bCs/>
                <w:color w:val="0D0D0D"/>
              </w:rPr>
              <w:t> </w:t>
            </w:r>
          </w:p>
        </w:tc>
        <w:tc>
          <w:tcPr>
            <w:tcW w:w="995" w:type="dxa"/>
            <w:tcBorders>
              <w:top w:val="nil"/>
              <w:left w:val="nil"/>
              <w:bottom w:val="single" w:sz="12" w:space="0" w:color="00688D"/>
              <w:right w:val="nil"/>
            </w:tcBorders>
            <w:shd w:val="clear" w:color="000000" w:fill="FFFFFF"/>
            <w:vAlign w:val="bottom"/>
            <w:hideMark/>
          </w:tcPr>
          <w:p w14:paraId="3DF4EFA8" w14:textId="77777777" w:rsidR="00051D7E" w:rsidRPr="00D35BDD" w:rsidRDefault="00051D7E" w:rsidP="007531FB">
            <w:pPr>
              <w:jc w:val="center"/>
              <w:rPr>
                <w:rFonts w:ascii="Calibri" w:eastAsia="Times New Roman" w:hAnsi="Calibri" w:cs="Calibri"/>
                <w:b/>
                <w:bCs/>
                <w:color w:val="0D0D0D"/>
              </w:rPr>
            </w:pPr>
            <w:r w:rsidRPr="00D35BDD">
              <w:rPr>
                <w:rFonts w:ascii="Calibri" w:eastAsia="Times New Roman" w:hAnsi="Calibri" w:cs="Calibri"/>
                <w:b/>
                <w:bCs/>
                <w:color w:val="0D0D0D"/>
              </w:rPr>
              <w:t>NAV</w:t>
            </w:r>
          </w:p>
        </w:tc>
        <w:tc>
          <w:tcPr>
            <w:tcW w:w="912" w:type="dxa"/>
            <w:gridSpan w:val="2"/>
            <w:tcBorders>
              <w:top w:val="nil"/>
              <w:left w:val="nil"/>
              <w:bottom w:val="single" w:sz="12" w:space="0" w:color="00688D"/>
              <w:right w:val="nil"/>
            </w:tcBorders>
            <w:shd w:val="clear" w:color="000000" w:fill="FFFFFF"/>
            <w:vAlign w:val="bottom"/>
            <w:hideMark/>
          </w:tcPr>
          <w:p w14:paraId="789AC676" w14:textId="77777777" w:rsidR="00051D7E" w:rsidRPr="00D35BDD" w:rsidRDefault="00051D7E" w:rsidP="007531FB">
            <w:pPr>
              <w:jc w:val="center"/>
              <w:rPr>
                <w:rFonts w:ascii="Calibri" w:eastAsia="Times New Roman" w:hAnsi="Calibri" w:cs="Calibri"/>
                <w:b/>
                <w:bCs/>
                <w:color w:val="0D0D0D"/>
              </w:rPr>
            </w:pPr>
            <w:r w:rsidRPr="00D35BDD">
              <w:rPr>
                <w:rFonts w:ascii="Calibri" w:eastAsia="Times New Roman" w:hAnsi="Calibri" w:cs="Calibri"/>
                <w:b/>
                <w:bCs/>
                <w:color w:val="0D0D0D"/>
              </w:rPr>
              <w:t>Level 1</w:t>
            </w:r>
          </w:p>
        </w:tc>
        <w:tc>
          <w:tcPr>
            <w:tcW w:w="641" w:type="dxa"/>
            <w:gridSpan w:val="2"/>
            <w:tcBorders>
              <w:top w:val="nil"/>
              <w:left w:val="nil"/>
              <w:bottom w:val="single" w:sz="12" w:space="0" w:color="00688D"/>
              <w:right w:val="nil"/>
            </w:tcBorders>
            <w:shd w:val="clear" w:color="000000" w:fill="FFFFFF"/>
            <w:vAlign w:val="bottom"/>
            <w:hideMark/>
          </w:tcPr>
          <w:p w14:paraId="64BC932D" w14:textId="77777777" w:rsidR="00051D7E" w:rsidRPr="00D35BDD" w:rsidRDefault="00051D7E" w:rsidP="007531FB">
            <w:pPr>
              <w:jc w:val="center"/>
              <w:rPr>
                <w:rFonts w:ascii="Calibri" w:eastAsia="Times New Roman" w:hAnsi="Calibri" w:cs="Calibri"/>
                <w:b/>
                <w:bCs/>
                <w:color w:val="0D0D0D"/>
              </w:rPr>
            </w:pPr>
            <w:r w:rsidRPr="00D35BDD">
              <w:rPr>
                <w:rFonts w:ascii="Calibri" w:eastAsia="Times New Roman" w:hAnsi="Calibri" w:cs="Calibri"/>
                <w:b/>
                <w:bCs/>
                <w:color w:val="0D0D0D"/>
              </w:rPr>
              <w:t>Level 2</w:t>
            </w:r>
          </w:p>
        </w:tc>
        <w:tc>
          <w:tcPr>
            <w:tcW w:w="633" w:type="dxa"/>
            <w:gridSpan w:val="2"/>
            <w:tcBorders>
              <w:top w:val="nil"/>
              <w:left w:val="nil"/>
              <w:bottom w:val="single" w:sz="12" w:space="0" w:color="00688D"/>
              <w:right w:val="nil"/>
            </w:tcBorders>
            <w:shd w:val="clear" w:color="000000" w:fill="FFFFFF"/>
            <w:vAlign w:val="bottom"/>
            <w:hideMark/>
          </w:tcPr>
          <w:p w14:paraId="31671E5C" w14:textId="77777777" w:rsidR="00051D7E" w:rsidRPr="00D35BDD" w:rsidRDefault="00051D7E" w:rsidP="007531FB">
            <w:pPr>
              <w:jc w:val="center"/>
              <w:rPr>
                <w:rFonts w:ascii="Calibri" w:eastAsia="Times New Roman" w:hAnsi="Calibri" w:cs="Calibri"/>
                <w:b/>
                <w:bCs/>
                <w:color w:val="0D0D0D"/>
              </w:rPr>
            </w:pPr>
            <w:r w:rsidRPr="00D35BDD">
              <w:rPr>
                <w:rFonts w:ascii="Calibri" w:eastAsia="Times New Roman" w:hAnsi="Calibri" w:cs="Calibri"/>
                <w:b/>
                <w:bCs/>
                <w:color w:val="0D0D0D"/>
              </w:rPr>
              <w:t>Level 3</w:t>
            </w:r>
          </w:p>
        </w:tc>
        <w:tc>
          <w:tcPr>
            <w:tcW w:w="994" w:type="dxa"/>
            <w:gridSpan w:val="2"/>
            <w:tcBorders>
              <w:top w:val="nil"/>
              <w:left w:val="nil"/>
              <w:bottom w:val="single" w:sz="12" w:space="0" w:color="00688D"/>
              <w:right w:val="nil"/>
            </w:tcBorders>
            <w:shd w:val="clear" w:color="000000" w:fill="FFFFFF"/>
            <w:vAlign w:val="bottom"/>
            <w:hideMark/>
          </w:tcPr>
          <w:p w14:paraId="5C04704F" w14:textId="77777777" w:rsidR="00051D7E" w:rsidRPr="00D35BDD" w:rsidRDefault="00051D7E" w:rsidP="007531FB">
            <w:pPr>
              <w:jc w:val="center"/>
              <w:rPr>
                <w:rFonts w:ascii="Calibri" w:eastAsia="Times New Roman" w:hAnsi="Calibri" w:cs="Calibri"/>
                <w:b/>
                <w:bCs/>
                <w:color w:val="0D0D0D"/>
              </w:rPr>
            </w:pPr>
            <w:r w:rsidRPr="00D35BDD">
              <w:rPr>
                <w:rFonts w:ascii="Calibri" w:eastAsia="Times New Roman" w:hAnsi="Calibri" w:cs="Calibri"/>
                <w:b/>
                <w:bCs/>
                <w:color w:val="0D0D0D"/>
              </w:rPr>
              <w:t>Total</w:t>
            </w:r>
          </w:p>
        </w:tc>
        <w:tc>
          <w:tcPr>
            <w:tcW w:w="2713" w:type="dxa"/>
            <w:gridSpan w:val="2"/>
            <w:tcBorders>
              <w:top w:val="nil"/>
              <w:left w:val="nil"/>
              <w:bottom w:val="single" w:sz="12" w:space="0" w:color="00688D"/>
              <w:right w:val="nil"/>
            </w:tcBorders>
            <w:shd w:val="clear" w:color="000000" w:fill="FFFFFF"/>
            <w:vAlign w:val="bottom"/>
            <w:hideMark/>
          </w:tcPr>
          <w:p w14:paraId="31556C14" w14:textId="77777777" w:rsidR="00051D7E" w:rsidRPr="00D35BDD" w:rsidRDefault="00051D7E" w:rsidP="007531FB">
            <w:pPr>
              <w:jc w:val="center"/>
              <w:rPr>
                <w:rFonts w:ascii="Calibri" w:eastAsia="Times New Roman" w:hAnsi="Calibri" w:cs="Calibri"/>
                <w:b/>
                <w:bCs/>
                <w:color w:val="0D0D0D"/>
              </w:rPr>
            </w:pPr>
            <w:r w:rsidRPr="00D35BDD">
              <w:rPr>
                <w:rFonts w:ascii="Calibri" w:eastAsia="Times New Roman" w:hAnsi="Calibri" w:cs="Calibri"/>
                <w:b/>
                <w:bCs/>
                <w:color w:val="0D0D0D"/>
              </w:rPr>
              <w:t>Liquidity</w:t>
            </w:r>
          </w:p>
        </w:tc>
      </w:tr>
      <w:tr w:rsidR="00051D7E" w:rsidRPr="00D35BDD" w14:paraId="3E0DD32A" w14:textId="77777777" w:rsidTr="00E04E32">
        <w:trPr>
          <w:trHeight w:val="307"/>
        </w:trPr>
        <w:tc>
          <w:tcPr>
            <w:tcW w:w="2605" w:type="dxa"/>
            <w:gridSpan w:val="2"/>
            <w:tcBorders>
              <w:top w:val="nil"/>
              <w:left w:val="nil"/>
              <w:bottom w:val="nil"/>
              <w:right w:val="nil"/>
            </w:tcBorders>
            <w:shd w:val="clear" w:color="000000" w:fill="FFFFFF"/>
            <w:noWrap/>
            <w:vAlign w:val="bottom"/>
            <w:hideMark/>
          </w:tcPr>
          <w:p w14:paraId="2974EE64" w14:textId="77777777" w:rsidR="00051D7E" w:rsidRPr="00D35BDD" w:rsidRDefault="00051D7E" w:rsidP="007531FB">
            <w:pPr>
              <w:rPr>
                <w:rFonts w:ascii="Calibri" w:eastAsia="Times New Roman" w:hAnsi="Calibri" w:cs="Calibri"/>
                <w:color w:val="0D0D0D"/>
              </w:rPr>
            </w:pPr>
            <w:r w:rsidRPr="00D35BDD">
              <w:rPr>
                <w:rFonts w:ascii="Calibri" w:eastAsia="Times New Roman" w:hAnsi="Calibri" w:cs="Calibri"/>
                <w:color w:val="0D0D0D"/>
              </w:rPr>
              <w:t>U.S. equities</w:t>
            </w:r>
          </w:p>
        </w:tc>
        <w:tc>
          <w:tcPr>
            <w:tcW w:w="995" w:type="dxa"/>
            <w:tcBorders>
              <w:top w:val="nil"/>
              <w:left w:val="nil"/>
              <w:bottom w:val="nil"/>
              <w:right w:val="nil"/>
            </w:tcBorders>
            <w:shd w:val="clear" w:color="000000" w:fill="FFFFFF"/>
            <w:noWrap/>
            <w:vAlign w:val="bottom"/>
            <w:hideMark/>
          </w:tcPr>
          <w:p w14:paraId="05EA2D86" w14:textId="47DC5DF6" w:rsidR="00051D7E" w:rsidRPr="00D53A89" w:rsidRDefault="003A68E2">
            <w:pPr>
              <w:jc w:val="right"/>
              <w:rPr>
                <w:rFonts w:ascii="Calibri" w:eastAsia="Times New Roman" w:hAnsi="Calibri" w:cs="Calibri"/>
              </w:rPr>
            </w:pPr>
            <w:r>
              <w:rPr>
                <w:rFonts w:ascii="Calibri" w:eastAsia="Times New Roman" w:hAnsi="Calibri" w:cs="Calibri"/>
              </w:rPr>
              <w:t>$</w:t>
            </w:r>
            <w:r w:rsidR="00767BCC">
              <w:rPr>
                <w:rFonts w:ascii="Calibri" w:eastAsia="Times New Roman" w:hAnsi="Calibri" w:cs="Calibri"/>
              </w:rPr>
              <w:t xml:space="preserve"> </w:t>
            </w:r>
            <w:r>
              <w:rPr>
                <w:rFonts w:ascii="Calibri" w:eastAsia="Times New Roman" w:hAnsi="Calibri" w:cs="Calibri"/>
              </w:rPr>
              <w:t>53,031</w:t>
            </w:r>
          </w:p>
        </w:tc>
        <w:tc>
          <w:tcPr>
            <w:tcW w:w="912" w:type="dxa"/>
            <w:gridSpan w:val="2"/>
            <w:tcBorders>
              <w:top w:val="nil"/>
              <w:left w:val="nil"/>
              <w:bottom w:val="nil"/>
              <w:right w:val="nil"/>
            </w:tcBorders>
            <w:shd w:val="clear" w:color="000000" w:fill="FFFFFF"/>
            <w:noWrap/>
            <w:vAlign w:val="bottom"/>
            <w:hideMark/>
          </w:tcPr>
          <w:p w14:paraId="03E13431" w14:textId="2381CD41" w:rsidR="00051D7E" w:rsidRPr="00D53A89" w:rsidRDefault="00051D7E" w:rsidP="003A68E2">
            <w:pPr>
              <w:jc w:val="right"/>
              <w:rPr>
                <w:rFonts w:ascii="Calibri" w:eastAsia="Times New Roman" w:hAnsi="Calibri" w:cs="Calibri"/>
              </w:rPr>
            </w:pPr>
            <w:r w:rsidRPr="00D53A89">
              <w:rPr>
                <w:rFonts w:ascii="Calibri" w:eastAsia="Times New Roman" w:hAnsi="Calibri" w:cs="Calibri"/>
              </w:rPr>
              <w:t xml:space="preserve">$  </w:t>
            </w:r>
            <w:r w:rsidR="003A68E2">
              <w:rPr>
                <w:rFonts w:ascii="Calibri" w:eastAsia="Times New Roman" w:hAnsi="Calibri" w:cs="Calibri"/>
              </w:rPr>
              <w:t>7,603</w:t>
            </w:r>
          </w:p>
        </w:tc>
        <w:tc>
          <w:tcPr>
            <w:tcW w:w="641" w:type="dxa"/>
            <w:gridSpan w:val="2"/>
            <w:tcBorders>
              <w:top w:val="nil"/>
              <w:left w:val="nil"/>
              <w:bottom w:val="nil"/>
              <w:right w:val="nil"/>
            </w:tcBorders>
            <w:shd w:val="clear" w:color="000000" w:fill="FFFFFF"/>
            <w:noWrap/>
            <w:vAlign w:val="bottom"/>
            <w:hideMark/>
          </w:tcPr>
          <w:p w14:paraId="719BEC5A"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    -</w:t>
            </w:r>
          </w:p>
        </w:tc>
        <w:tc>
          <w:tcPr>
            <w:tcW w:w="633" w:type="dxa"/>
            <w:gridSpan w:val="2"/>
            <w:tcBorders>
              <w:top w:val="nil"/>
              <w:left w:val="nil"/>
              <w:bottom w:val="nil"/>
              <w:right w:val="nil"/>
            </w:tcBorders>
            <w:shd w:val="clear" w:color="000000" w:fill="FFFFFF"/>
            <w:noWrap/>
            <w:vAlign w:val="bottom"/>
            <w:hideMark/>
          </w:tcPr>
          <w:p w14:paraId="05C72D83"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      -</w:t>
            </w:r>
          </w:p>
        </w:tc>
        <w:tc>
          <w:tcPr>
            <w:tcW w:w="994" w:type="dxa"/>
            <w:gridSpan w:val="2"/>
            <w:tcBorders>
              <w:top w:val="nil"/>
              <w:left w:val="nil"/>
              <w:bottom w:val="nil"/>
              <w:right w:val="nil"/>
            </w:tcBorders>
            <w:shd w:val="clear" w:color="000000" w:fill="FFFFFF"/>
            <w:noWrap/>
            <w:vAlign w:val="bottom"/>
            <w:hideMark/>
          </w:tcPr>
          <w:p w14:paraId="4529B4F6"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  60,634</w:t>
            </w:r>
          </w:p>
        </w:tc>
        <w:tc>
          <w:tcPr>
            <w:tcW w:w="2713" w:type="dxa"/>
            <w:gridSpan w:val="2"/>
            <w:tcBorders>
              <w:top w:val="nil"/>
              <w:left w:val="nil"/>
              <w:bottom w:val="nil"/>
              <w:right w:val="nil"/>
            </w:tcBorders>
            <w:shd w:val="clear" w:color="000000" w:fill="FFFFFF"/>
            <w:vAlign w:val="bottom"/>
            <w:hideMark/>
          </w:tcPr>
          <w:p w14:paraId="6C1007F3" w14:textId="77777777" w:rsidR="00051D7E" w:rsidRPr="00D35BDD" w:rsidRDefault="00051D7E" w:rsidP="007531FB">
            <w:pPr>
              <w:rPr>
                <w:rFonts w:ascii="Calibri" w:eastAsia="Times New Roman" w:hAnsi="Calibri" w:cs="Calibri"/>
                <w:color w:val="0D0D0D"/>
              </w:rPr>
            </w:pPr>
            <w:r w:rsidRPr="00D35BDD">
              <w:rPr>
                <w:rFonts w:ascii="Calibri" w:eastAsia="Times New Roman" w:hAnsi="Calibri" w:cs="Calibri"/>
                <w:color w:val="0D0D0D"/>
              </w:rPr>
              <w:t>Daily/Monthly</w:t>
            </w:r>
          </w:p>
        </w:tc>
      </w:tr>
      <w:tr w:rsidR="00051D7E" w:rsidRPr="00D35BDD" w14:paraId="2D917C4C" w14:textId="77777777" w:rsidTr="00E04E32">
        <w:trPr>
          <w:trHeight w:val="295"/>
        </w:trPr>
        <w:tc>
          <w:tcPr>
            <w:tcW w:w="2605" w:type="dxa"/>
            <w:gridSpan w:val="2"/>
            <w:tcBorders>
              <w:top w:val="nil"/>
              <w:left w:val="nil"/>
              <w:bottom w:val="nil"/>
              <w:right w:val="nil"/>
            </w:tcBorders>
            <w:shd w:val="clear" w:color="000000" w:fill="FFFFFF"/>
            <w:noWrap/>
            <w:vAlign w:val="bottom"/>
            <w:hideMark/>
          </w:tcPr>
          <w:p w14:paraId="336ABCAA" w14:textId="3AB593F1" w:rsidR="00051D7E" w:rsidRPr="00D35BDD" w:rsidRDefault="000438AF" w:rsidP="007531FB">
            <w:pPr>
              <w:rPr>
                <w:rFonts w:ascii="Calibri" w:eastAsia="Times New Roman" w:hAnsi="Calibri" w:cs="Calibri"/>
                <w:color w:val="0D0D0D"/>
              </w:rPr>
            </w:pPr>
            <w:r w:rsidRPr="00D35BDD">
              <w:rPr>
                <w:rFonts w:ascii="Calibri" w:eastAsia="Times New Roman" w:hAnsi="Calibri" w:cs="Calibri"/>
                <w:color w:val="0D0D0D"/>
              </w:rPr>
              <w:t>Non-U.S.</w:t>
            </w:r>
            <w:r w:rsidR="00051D7E" w:rsidRPr="00D35BDD">
              <w:rPr>
                <w:rFonts w:ascii="Calibri" w:eastAsia="Times New Roman" w:hAnsi="Calibri" w:cs="Calibri"/>
                <w:color w:val="0D0D0D"/>
              </w:rPr>
              <w:t xml:space="preserve"> equities</w:t>
            </w:r>
          </w:p>
        </w:tc>
        <w:tc>
          <w:tcPr>
            <w:tcW w:w="995" w:type="dxa"/>
            <w:tcBorders>
              <w:top w:val="nil"/>
              <w:left w:val="nil"/>
              <w:bottom w:val="nil"/>
              <w:right w:val="nil"/>
            </w:tcBorders>
            <w:shd w:val="clear" w:color="000000" w:fill="FFFFFF"/>
            <w:noWrap/>
            <w:vAlign w:val="bottom"/>
            <w:hideMark/>
          </w:tcPr>
          <w:p w14:paraId="20D48766" w14:textId="08F0D1DC" w:rsidR="00051D7E" w:rsidRPr="00D53A89" w:rsidRDefault="003A68E2" w:rsidP="007531FB">
            <w:pPr>
              <w:jc w:val="right"/>
              <w:rPr>
                <w:rFonts w:ascii="Calibri" w:eastAsia="Times New Roman" w:hAnsi="Calibri" w:cs="Calibri"/>
              </w:rPr>
            </w:pPr>
            <w:r>
              <w:rPr>
                <w:rFonts w:ascii="Calibri" w:eastAsia="Times New Roman" w:hAnsi="Calibri" w:cs="Calibri"/>
              </w:rPr>
              <w:t>61,518</w:t>
            </w:r>
          </w:p>
        </w:tc>
        <w:tc>
          <w:tcPr>
            <w:tcW w:w="912" w:type="dxa"/>
            <w:gridSpan w:val="2"/>
            <w:tcBorders>
              <w:top w:val="nil"/>
              <w:left w:val="nil"/>
              <w:bottom w:val="nil"/>
              <w:right w:val="nil"/>
            </w:tcBorders>
            <w:shd w:val="clear" w:color="000000" w:fill="FFFFFF"/>
            <w:noWrap/>
            <w:vAlign w:val="bottom"/>
            <w:hideMark/>
          </w:tcPr>
          <w:p w14:paraId="145B0C07" w14:textId="03D6CBF4" w:rsidR="00051D7E" w:rsidRPr="00D53A89" w:rsidRDefault="003A68E2" w:rsidP="007531FB">
            <w:pPr>
              <w:jc w:val="right"/>
              <w:rPr>
                <w:rFonts w:ascii="Calibri" w:eastAsia="Times New Roman" w:hAnsi="Calibri" w:cs="Calibri"/>
              </w:rPr>
            </w:pPr>
            <w:r>
              <w:rPr>
                <w:rFonts w:ascii="Calibri" w:eastAsia="Times New Roman" w:hAnsi="Calibri" w:cs="Calibri"/>
              </w:rPr>
              <w:t>18</w:t>
            </w:r>
          </w:p>
        </w:tc>
        <w:tc>
          <w:tcPr>
            <w:tcW w:w="641" w:type="dxa"/>
            <w:gridSpan w:val="2"/>
            <w:tcBorders>
              <w:top w:val="nil"/>
              <w:left w:val="nil"/>
              <w:bottom w:val="nil"/>
              <w:right w:val="nil"/>
            </w:tcBorders>
            <w:shd w:val="clear" w:color="000000" w:fill="FFFFFF"/>
            <w:noWrap/>
            <w:vAlign w:val="bottom"/>
            <w:hideMark/>
          </w:tcPr>
          <w:p w14:paraId="03E93653"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24D5B019"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34D16D6C"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61,536</w:t>
            </w:r>
          </w:p>
        </w:tc>
        <w:tc>
          <w:tcPr>
            <w:tcW w:w="2713" w:type="dxa"/>
            <w:gridSpan w:val="2"/>
            <w:tcBorders>
              <w:top w:val="nil"/>
              <w:left w:val="nil"/>
              <w:bottom w:val="nil"/>
              <w:right w:val="nil"/>
            </w:tcBorders>
            <w:shd w:val="clear" w:color="000000" w:fill="FFFFFF"/>
            <w:vAlign w:val="bottom"/>
            <w:hideMark/>
          </w:tcPr>
          <w:p w14:paraId="615FA6DE" w14:textId="77777777" w:rsidR="00051D7E" w:rsidRPr="00D35BDD" w:rsidRDefault="00051D7E" w:rsidP="007531FB">
            <w:pPr>
              <w:rPr>
                <w:rFonts w:ascii="Calibri" w:eastAsia="Times New Roman" w:hAnsi="Calibri" w:cs="Calibri"/>
                <w:color w:val="0D0D0D"/>
              </w:rPr>
            </w:pPr>
            <w:r w:rsidRPr="00D35BDD">
              <w:rPr>
                <w:rFonts w:ascii="Calibri" w:eastAsia="Times New Roman" w:hAnsi="Calibri" w:cs="Calibri"/>
                <w:color w:val="0D0D0D"/>
              </w:rPr>
              <w:t>Daily/Monthly/Quarterly</w:t>
            </w:r>
          </w:p>
        </w:tc>
      </w:tr>
      <w:tr w:rsidR="00051D7E" w:rsidRPr="00D35BDD" w14:paraId="390FDE61" w14:textId="77777777" w:rsidTr="00E04E32">
        <w:trPr>
          <w:trHeight w:val="295"/>
        </w:trPr>
        <w:tc>
          <w:tcPr>
            <w:tcW w:w="2605" w:type="dxa"/>
            <w:gridSpan w:val="2"/>
            <w:tcBorders>
              <w:top w:val="nil"/>
              <w:left w:val="nil"/>
              <w:bottom w:val="nil"/>
              <w:right w:val="nil"/>
            </w:tcBorders>
            <w:shd w:val="clear" w:color="000000" w:fill="FFFFFF"/>
            <w:noWrap/>
            <w:vAlign w:val="bottom"/>
            <w:hideMark/>
          </w:tcPr>
          <w:p w14:paraId="415A4DCB" w14:textId="77777777" w:rsidR="00051D7E" w:rsidRPr="00D35BDD" w:rsidRDefault="00051D7E" w:rsidP="007531FB">
            <w:pPr>
              <w:rPr>
                <w:rFonts w:ascii="Calibri" w:eastAsia="Times New Roman" w:hAnsi="Calibri" w:cs="Calibri"/>
                <w:color w:val="0D0D0D"/>
              </w:rPr>
            </w:pPr>
            <w:r w:rsidRPr="00D35BDD">
              <w:rPr>
                <w:rFonts w:ascii="Calibri" w:eastAsia="Times New Roman" w:hAnsi="Calibri" w:cs="Calibri"/>
                <w:color w:val="0D0D0D"/>
              </w:rPr>
              <w:t>Global equities</w:t>
            </w:r>
          </w:p>
        </w:tc>
        <w:tc>
          <w:tcPr>
            <w:tcW w:w="995" w:type="dxa"/>
            <w:tcBorders>
              <w:top w:val="nil"/>
              <w:left w:val="nil"/>
              <w:bottom w:val="nil"/>
              <w:right w:val="nil"/>
            </w:tcBorders>
            <w:shd w:val="clear" w:color="000000" w:fill="FFFFFF"/>
            <w:noWrap/>
            <w:vAlign w:val="bottom"/>
            <w:hideMark/>
          </w:tcPr>
          <w:p w14:paraId="40674AF3" w14:textId="41F90AE5" w:rsidR="00051D7E" w:rsidRPr="00D53A89" w:rsidRDefault="003A68E2" w:rsidP="007531FB">
            <w:pPr>
              <w:jc w:val="right"/>
              <w:rPr>
                <w:rFonts w:ascii="Calibri" w:eastAsia="Times New Roman" w:hAnsi="Calibri" w:cs="Calibri"/>
              </w:rPr>
            </w:pPr>
            <w:r>
              <w:rPr>
                <w:rFonts w:ascii="Calibri" w:eastAsia="Times New Roman" w:hAnsi="Calibri" w:cs="Calibri"/>
              </w:rPr>
              <w:t>20,371</w:t>
            </w:r>
          </w:p>
        </w:tc>
        <w:tc>
          <w:tcPr>
            <w:tcW w:w="912" w:type="dxa"/>
            <w:gridSpan w:val="2"/>
            <w:tcBorders>
              <w:top w:val="nil"/>
              <w:left w:val="nil"/>
              <w:bottom w:val="nil"/>
              <w:right w:val="nil"/>
            </w:tcBorders>
            <w:shd w:val="clear" w:color="000000" w:fill="FFFFFF"/>
            <w:noWrap/>
            <w:vAlign w:val="bottom"/>
            <w:hideMark/>
          </w:tcPr>
          <w:p w14:paraId="55B31CD3" w14:textId="3CC84488" w:rsidR="00051D7E" w:rsidRPr="00D53A89" w:rsidRDefault="003A68E2" w:rsidP="007531FB">
            <w:pPr>
              <w:jc w:val="right"/>
              <w:rPr>
                <w:rFonts w:ascii="Calibri" w:eastAsia="Times New Roman" w:hAnsi="Calibri" w:cs="Calibri"/>
              </w:rPr>
            </w:pPr>
            <w:r w:rsidRPr="00D53A89">
              <w:rPr>
                <w:rFonts w:ascii="Calibri" w:eastAsia="Times New Roman" w:hAnsi="Calibri" w:cs="Calibri"/>
              </w:rPr>
              <w:t>-</w:t>
            </w:r>
          </w:p>
        </w:tc>
        <w:tc>
          <w:tcPr>
            <w:tcW w:w="641" w:type="dxa"/>
            <w:gridSpan w:val="2"/>
            <w:tcBorders>
              <w:top w:val="nil"/>
              <w:left w:val="nil"/>
              <w:bottom w:val="nil"/>
              <w:right w:val="nil"/>
            </w:tcBorders>
            <w:shd w:val="clear" w:color="000000" w:fill="FFFFFF"/>
            <w:noWrap/>
            <w:vAlign w:val="bottom"/>
            <w:hideMark/>
          </w:tcPr>
          <w:p w14:paraId="5365AE9B"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7EE855FC"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3237910B"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20,371</w:t>
            </w:r>
          </w:p>
        </w:tc>
        <w:tc>
          <w:tcPr>
            <w:tcW w:w="2713" w:type="dxa"/>
            <w:gridSpan w:val="2"/>
            <w:tcBorders>
              <w:top w:val="nil"/>
              <w:left w:val="nil"/>
              <w:bottom w:val="nil"/>
              <w:right w:val="nil"/>
            </w:tcBorders>
            <w:shd w:val="clear" w:color="000000" w:fill="FFFFFF"/>
            <w:vAlign w:val="bottom"/>
            <w:hideMark/>
          </w:tcPr>
          <w:p w14:paraId="18C42D70" w14:textId="77777777" w:rsidR="00051D7E" w:rsidRPr="00D35BDD" w:rsidRDefault="00051D7E" w:rsidP="007531FB">
            <w:pPr>
              <w:rPr>
                <w:rFonts w:ascii="Calibri" w:eastAsia="Times New Roman" w:hAnsi="Calibri" w:cs="Calibri"/>
                <w:color w:val="0D0D0D"/>
              </w:rPr>
            </w:pPr>
            <w:r w:rsidRPr="00D35BDD">
              <w:rPr>
                <w:rFonts w:ascii="Calibri" w:eastAsia="Times New Roman" w:hAnsi="Calibri" w:cs="Calibri"/>
                <w:color w:val="0D0D0D"/>
              </w:rPr>
              <w:t>Monthly/Quarterly</w:t>
            </w:r>
          </w:p>
        </w:tc>
      </w:tr>
      <w:tr w:rsidR="00051D7E" w:rsidRPr="00D35BDD" w14:paraId="015E16DE" w14:textId="77777777" w:rsidTr="00E04E32">
        <w:trPr>
          <w:trHeight w:val="295"/>
        </w:trPr>
        <w:tc>
          <w:tcPr>
            <w:tcW w:w="2605" w:type="dxa"/>
            <w:gridSpan w:val="2"/>
            <w:tcBorders>
              <w:top w:val="nil"/>
              <w:left w:val="nil"/>
              <w:bottom w:val="nil"/>
              <w:right w:val="nil"/>
            </w:tcBorders>
            <w:shd w:val="clear" w:color="000000" w:fill="FFFFFF"/>
            <w:noWrap/>
            <w:vAlign w:val="bottom"/>
            <w:hideMark/>
          </w:tcPr>
          <w:p w14:paraId="30D30E06" w14:textId="77777777" w:rsidR="00051D7E" w:rsidRPr="00D35BDD" w:rsidRDefault="00051D7E" w:rsidP="007531FB">
            <w:pPr>
              <w:rPr>
                <w:rFonts w:ascii="Calibri" w:eastAsia="Times New Roman" w:hAnsi="Calibri" w:cs="Calibri"/>
                <w:color w:val="0D0D0D"/>
              </w:rPr>
            </w:pPr>
            <w:r w:rsidRPr="00D35BDD">
              <w:rPr>
                <w:rFonts w:ascii="Calibri" w:eastAsia="Times New Roman" w:hAnsi="Calibri" w:cs="Calibri"/>
                <w:color w:val="0D0D0D"/>
              </w:rPr>
              <w:t>U.S. fixed income</w:t>
            </w:r>
          </w:p>
        </w:tc>
        <w:tc>
          <w:tcPr>
            <w:tcW w:w="995" w:type="dxa"/>
            <w:tcBorders>
              <w:top w:val="nil"/>
              <w:left w:val="nil"/>
              <w:bottom w:val="nil"/>
              <w:right w:val="nil"/>
            </w:tcBorders>
            <w:shd w:val="clear" w:color="000000" w:fill="FFFFFF"/>
            <w:noWrap/>
            <w:vAlign w:val="bottom"/>
            <w:hideMark/>
          </w:tcPr>
          <w:p w14:paraId="2BCDCD67"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912" w:type="dxa"/>
            <w:gridSpan w:val="2"/>
            <w:tcBorders>
              <w:top w:val="nil"/>
              <w:left w:val="nil"/>
              <w:bottom w:val="nil"/>
              <w:right w:val="nil"/>
            </w:tcBorders>
            <w:shd w:val="clear" w:color="000000" w:fill="FFFFFF"/>
            <w:noWrap/>
            <w:vAlign w:val="bottom"/>
            <w:hideMark/>
          </w:tcPr>
          <w:p w14:paraId="114DBE5D"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28,412</w:t>
            </w:r>
          </w:p>
        </w:tc>
        <w:tc>
          <w:tcPr>
            <w:tcW w:w="641" w:type="dxa"/>
            <w:gridSpan w:val="2"/>
            <w:tcBorders>
              <w:top w:val="nil"/>
              <w:left w:val="nil"/>
              <w:bottom w:val="nil"/>
              <w:right w:val="nil"/>
            </w:tcBorders>
            <w:shd w:val="clear" w:color="000000" w:fill="FFFFFF"/>
            <w:noWrap/>
            <w:vAlign w:val="bottom"/>
            <w:hideMark/>
          </w:tcPr>
          <w:p w14:paraId="6E8CB65F"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273D4A62"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755B4C6B"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28,412</w:t>
            </w:r>
          </w:p>
        </w:tc>
        <w:tc>
          <w:tcPr>
            <w:tcW w:w="2713" w:type="dxa"/>
            <w:gridSpan w:val="2"/>
            <w:tcBorders>
              <w:top w:val="nil"/>
              <w:left w:val="nil"/>
              <w:bottom w:val="nil"/>
              <w:right w:val="nil"/>
            </w:tcBorders>
            <w:shd w:val="clear" w:color="000000" w:fill="FFFFFF"/>
            <w:vAlign w:val="bottom"/>
            <w:hideMark/>
          </w:tcPr>
          <w:p w14:paraId="4A8F9543" w14:textId="77777777" w:rsidR="00051D7E" w:rsidRPr="00D35BDD" w:rsidRDefault="00051D7E" w:rsidP="007531FB">
            <w:pPr>
              <w:rPr>
                <w:rFonts w:ascii="Calibri" w:eastAsia="Times New Roman" w:hAnsi="Calibri" w:cs="Calibri"/>
                <w:color w:val="0D0D0D"/>
              </w:rPr>
            </w:pPr>
            <w:r w:rsidRPr="00D35BDD">
              <w:rPr>
                <w:rFonts w:ascii="Calibri" w:eastAsia="Times New Roman" w:hAnsi="Calibri" w:cs="Calibri"/>
                <w:color w:val="0D0D0D"/>
              </w:rPr>
              <w:t>Daily</w:t>
            </w:r>
          </w:p>
        </w:tc>
      </w:tr>
      <w:tr w:rsidR="00051D7E" w:rsidRPr="00D35BDD" w14:paraId="592D6118" w14:textId="77777777" w:rsidTr="00E04E32">
        <w:trPr>
          <w:trHeight w:val="590"/>
        </w:trPr>
        <w:tc>
          <w:tcPr>
            <w:tcW w:w="2605" w:type="dxa"/>
            <w:gridSpan w:val="2"/>
            <w:tcBorders>
              <w:top w:val="nil"/>
              <w:left w:val="nil"/>
              <w:bottom w:val="nil"/>
              <w:right w:val="nil"/>
            </w:tcBorders>
            <w:shd w:val="clear" w:color="000000" w:fill="FFFFFF"/>
            <w:noWrap/>
            <w:vAlign w:val="bottom"/>
            <w:hideMark/>
          </w:tcPr>
          <w:p w14:paraId="119FE8DD" w14:textId="77777777" w:rsidR="00051D7E" w:rsidRPr="00D35BDD" w:rsidRDefault="00051D7E" w:rsidP="007531FB">
            <w:pPr>
              <w:rPr>
                <w:rFonts w:ascii="Calibri" w:eastAsia="Times New Roman" w:hAnsi="Calibri" w:cs="Calibri"/>
                <w:color w:val="0D0D0D"/>
              </w:rPr>
            </w:pPr>
            <w:r w:rsidRPr="00D35BDD">
              <w:rPr>
                <w:rFonts w:ascii="Calibri" w:eastAsia="Times New Roman" w:hAnsi="Calibri" w:cs="Calibri"/>
                <w:color w:val="0D0D0D"/>
              </w:rPr>
              <w:t>Total private investments</w:t>
            </w:r>
          </w:p>
        </w:tc>
        <w:tc>
          <w:tcPr>
            <w:tcW w:w="995" w:type="dxa"/>
            <w:tcBorders>
              <w:top w:val="nil"/>
              <w:left w:val="nil"/>
              <w:bottom w:val="nil"/>
              <w:right w:val="nil"/>
            </w:tcBorders>
            <w:shd w:val="clear" w:color="000000" w:fill="FFFFFF"/>
            <w:noWrap/>
            <w:vAlign w:val="bottom"/>
            <w:hideMark/>
          </w:tcPr>
          <w:p w14:paraId="3EB53230"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14,149</w:t>
            </w:r>
          </w:p>
        </w:tc>
        <w:tc>
          <w:tcPr>
            <w:tcW w:w="912" w:type="dxa"/>
            <w:gridSpan w:val="2"/>
            <w:tcBorders>
              <w:top w:val="nil"/>
              <w:left w:val="nil"/>
              <w:bottom w:val="nil"/>
              <w:right w:val="nil"/>
            </w:tcBorders>
            <w:shd w:val="clear" w:color="000000" w:fill="FFFFFF"/>
            <w:noWrap/>
            <w:vAlign w:val="bottom"/>
            <w:hideMark/>
          </w:tcPr>
          <w:p w14:paraId="485340DA"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641" w:type="dxa"/>
            <w:gridSpan w:val="2"/>
            <w:tcBorders>
              <w:top w:val="nil"/>
              <w:left w:val="nil"/>
              <w:bottom w:val="nil"/>
              <w:right w:val="nil"/>
            </w:tcBorders>
            <w:shd w:val="clear" w:color="000000" w:fill="FFFFFF"/>
            <w:noWrap/>
            <w:vAlign w:val="bottom"/>
            <w:hideMark/>
          </w:tcPr>
          <w:p w14:paraId="3CEBD272"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3DF544CB"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055CF05F"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14,149</w:t>
            </w:r>
          </w:p>
        </w:tc>
        <w:tc>
          <w:tcPr>
            <w:tcW w:w="2713" w:type="dxa"/>
            <w:gridSpan w:val="2"/>
            <w:tcBorders>
              <w:top w:val="nil"/>
              <w:left w:val="nil"/>
              <w:bottom w:val="nil"/>
              <w:right w:val="nil"/>
            </w:tcBorders>
            <w:shd w:val="clear" w:color="000000" w:fill="FFFFFF"/>
            <w:vAlign w:val="bottom"/>
            <w:hideMark/>
          </w:tcPr>
          <w:p w14:paraId="597E3112" w14:textId="77777777" w:rsidR="00051D7E" w:rsidRPr="00D35BDD" w:rsidRDefault="00051D7E" w:rsidP="007531FB">
            <w:pPr>
              <w:rPr>
                <w:rFonts w:ascii="Calibri" w:eastAsia="Times New Roman" w:hAnsi="Calibri" w:cs="Calibri"/>
                <w:color w:val="0D0D0D"/>
              </w:rPr>
            </w:pPr>
            <w:r w:rsidRPr="00D35BDD">
              <w:rPr>
                <w:rFonts w:ascii="Calibri" w:eastAsia="Times New Roman" w:hAnsi="Calibri" w:cs="Calibri"/>
                <w:color w:val="0D0D0D"/>
              </w:rPr>
              <w:t>Illiquid</w:t>
            </w:r>
          </w:p>
        </w:tc>
      </w:tr>
      <w:tr w:rsidR="00051D7E" w:rsidRPr="00D35BDD" w14:paraId="661347AD" w14:textId="77777777" w:rsidTr="00E04E32">
        <w:trPr>
          <w:trHeight w:val="295"/>
        </w:trPr>
        <w:tc>
          <w:tcPr>
            <w:tcW w:w="2605" w:type="dxa"/>
            <w:gridSpan w:val="2"/>
            <w:tcBorders>
              <w:top w:val="nil"/>
              <w:left w:val="nil"/>
              <w:bottom w:val="nil"/>
              <w:right w:val="nil"/>
            </w:tcBorders>
            <w:shd w:val="clear" w:color="000000" w:fill="FFFFFF"/>
            <w:noWrap/>
            <w:vAlign w:val="bottom"/>
            <w:hideMark/>
          </w:tcPr>
          <w:p w14:paraId="3CF2C297" w14:textId="77777777" w:rsidR="00051D7E" w:rsidRPr="00D35BDD" w:rsidRDefault="00051D7E" w:rsidP="007531FB">
            <w:pPr>
              <w:rPr>
                <w:rFonts w:ascii="Calibri" w:eastAsia="Times New Roman" w:hAnsi="Calibri" w:cs="Calibri"/>
                <w:color w:val="0D0D0D"/>
              </w:rPr>
            </w:pPr>
            <w:r w:rsidRPr="00D35BDD">
              <w:rPr>
                <w:rFonts w:ascii="Calibri" w:eastAsia="Times New Roman" w:hAnsi="Calibri" w:cs="Calibri"/>
                <w:color w:val="0D0D0D"/>
              </w:rPr>
              <w:t>Alternative investments</w:t>
            </w:r>
          </w:p>
        </w:tc>
        <w:tc>
          <w:tcPr>
            <w:tcW w:w="995" w:type="dxa"/>
            <w:tcBorders>
              <w:top w:val="nil"/>
              <w:left w:val="nil"/>
              <w:bottom w:val="nil"/>
              <w:right w:val="nil"/>
            </w:tcBorders>
            <w:shd w:val="clear" w:color="000000" w:fill="FFFFFF"/>
            <w:noWrap/>
            <w:vAlign w:val="bottom"/>
            <w:hideMark/>
          </w:tcPr>
          <w:p w14:paraId="481FF1C6" w14:textId="4F66944E" w:rsidR="00051D7E" w:rsidRPr="00D53A89" w:rsidRDefault="00051D7E">
            <w:pPr>
              <w:jc w:val="right"/>
              <w:rPr>
                <w:rFonts w:ascii="Calibri" w:eastAsia="Times New Roman" w:hAnsi="Calibri" w:cs="Calibri"/>
              </w:rPr>
            </w:pPr>
            <w:r w:rsidRPr="00D53A89">
              <w:rPr>
                <w:rFonts w:ascii="Calibri" w:eastAsia="Times New Roman" w:hAnsi="Calibri" w:cs="Calibri"/>
              </w:rPr>
              <w:t>42,</w:t>
            </w:r>
            <w:r w:rsidR="003A68E2">
              <w:rPr>
                <w:rFonts w:ascii="Calibri" w:eastAsia="Times New Roman" w:hAnsi="Calibri" w:cs="Calibri"/>
              </w:rPr>
              <w:t>444</w:t>
            </w:r>
          </w:p>
        </w:tc>
        <w:tc>
          <w:tcPr>
            <w:tcW w:w="912" w:type="dxa"/>
            <w:gridSpan w:val="2"/>
            <w:tcBorders>
              <w:top w:val="nil"/>
              <w:left w:val="nil"/>
              <w:bottom w:val="nil"/>
              <w:right w:val="nil"/>
            </w:tcBorders>
            <w:shd w:val="clear" w:color="000000" w:fill="FFFFFF"/>
            <w:noWrap/>
            <w:vAlign w:val="bottom"/>
            <w:hideMark/>
          </w:tcPr>
          <w:p w14:paraId="0C8B0762" w14:textId="3C68CF36" w:rsidR="00051D7E" w:rsidRPr="00D53A89" w:rsidRDefault="003A68E2" w:rsidP="007531FB">
            <w:pPr>
              <w:jc w:val="right"/>
              <w:rPr>
                <w:rFonts w:ascii="Calibri" w:eastAsia="Times New Roman" w:hAnsi="Calibri" w:cs="Calibri"/>
              </w:rPr>
            </w:pPr>
            <w:r>
              <w:rPr>
                <w:rFonts w:ascii="Calibri" w:eastAsia="Times New Roman" w:hAnsi="Calibri" w:cs="Calibri"/>
              </w:rPr>
              <w:t>25</w:t>
            </w:r>
          </w:p>
        </w:tc>
        <w:tc>
          <w:tcPr>
            <w:tcW w:w="641" w:type="dxa"/>
            <w:gridSpan w:val="2"/>
            <w:tcBorders>
              <w:top w:val="nil"/>
              <w:left w:val="nil"/>
              <w:bottom w:val="nil"/>
              <w:right w:val="nil"/>
            </w:tcBorders>
            <w:shd w:val="clear" w:color="000000" w:fill="FFFFFF"/>
            <w:noWrap/>
            <w:vAlign w:val="bottom"/>
            <w:hideMark/>
          </w:tcPr>
          <w:p w14:paraId="4CA6F4E5"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3C0DDB2B"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7A9DE2A0"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42,469</w:t>
            </w:r>
          </w:p>
        </w:tc>
        <w:tc>
          <w:tcPr>
            <w:tcW w:w="2713" w:type="dxa"/>
            <w:gridSpan w:val="2"/>
            <w:tcBorders>
              <w:top w:val="nil"/>
              <w:left w:val="nil"/>
              <w:bottom w:val="nil"/>
              <w:right w:val="nil"/>
            </w:tcBorders>
            <w:shd w:val="clear" w:color="000000" w:fill="FFFFFF"/>
            <w:vAlign w:val="bottom"/>
            <w:hideMark/>
          </w:tcPr>
          <w:p w14:paraId="160C0472" w14:textId="77777777" w:rsidR="00051D7E" w:rsidRPr="00D35BDD" w:rsidRDefault="00051D7E" w:rsidP="007531FB">
            <w:pPr>
              <w:rPr>
                <w:rFonts w:ascii="Calibri" w:eastAsia="Times New Roman" w:hAnsi="Calibri" w:cs="Calibri"/>
                <w:color w:val="0D0D0D"/>
              </w:rPr>
            </w:pPr>
            <w:r w:rsidRPr="00D35BDD">
              <w:rPr>
                <w:rFonts w:ascii="Calibri" w:eastAsia="Times New Roman" w:hAnsi="Calibri" w:cs="Calibri"/>
                <w:color w:val="0D0D0D"/>
              </w:rPr>
              <w:t>Illiquid/Monthly/Quarterly/Semi-Annually/Annually</w:t>
            </w:r>
          </w:p>
        </w:tc>
      </w:tr>
      <w:tr w:rsidR="00051D7E" w:rsidRPr="00D35BDD" w14:paraId="570C9292" w14:textId="77777777" w:rsidTr="00E04E32">
        <w:trPr>
          <w:trHeight w:val="295"/>
        </w:trPr>
        <w:tc>
          <w:tcPr>
            <w:tcW w:w="2605" w:type="dxa"/>
            <w:gridSpan w:val="2"/>
            <w:tcBorders>
              <w:top w:val="nil"/>
              <w:left w:val="nil"/>
              <w:bottom w:val="nil"/>
              <w:right w:val="nil"/>
            </w:tcBorders>
            <w:shd w:val="clear" w:color="000000" w:fill="FFFFFF"/>
            <w:noWrap/>
            <w:vAlign w:val="bottom"/>
          </w:tcPr>
          <w:p w14:paraId="0CB1B5E1" w14:textId="77777777" w:rsidR="00051D7E" w:rsidRPr="00D35BDD" w:rsidRDefault="00051D7E" w:rsidP="007531FB">
            <w:pPr>
              <w:rPr>
                <w:rFonts w:ascii="Calibri" w:eastAsia="Times New Roman" w:hAnsi="Calibri" w:cs="Calibri"/>
                <w:color w:val="0D0D0D"/>
              </w:rPr>
            </w:pPr>
            <w:r w:rsidRPr="00D35BDD">
              <w:rPr>
                <w:rFonts w:ascii="Calibri" w:eastAsia="Times New Roman" w:hAnsi="Calibri" w:cs="Calibri"/>
                <w:color w:val="0D0D0D"/>
              </w:rPr>
              <w:t>Cash</w:t>
            </w:r>
          </w:p>
        </w:tc>
        <w:tc>
          <w:tcPr>
            <w:tcW w:w="995" w:type="dxa"/>
            <w:tcBorders>
              <w:top w:val="nil"/>
              <w:left w:val="nil"/>
              <w:bottom w:val="nil"/>
              <w:right w:val="nil"/>
            </w:tcBorders>
            <w:shd w:val="clear" w:color="000000" w:fill="FFFFFF"/>
            <w:noWrap/>
            <w:vAlign w:val="bottom"/>
          </w:tcPr>
          <w:p w14:paraId="189B4026"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912" w:type="dxa"/>
            <w:gridSpan w:val="2"/>
            <w:tcBorders>
              <w:top w:val="nil"/>
              <w:left w:val="nil"/>
              <w:bottom w:val="nil"/>
              <w:right w:val="nil"/>
            </w:tcBorders>
            <w:shd w:val="clear" w:color="000000" w:fill="FFFFFF"/>
            <w:noWrap/>
            <w:vAlign w:val="bottom"/>
          </w:tcPr>
          <w:p w14:paraId="16F8A941"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546</w:t>
            </w:r>
          </w:p>
        </w:tc>
        <w:tc>
          <w:tcPr>
            <w:tcW w:w="641" w:type="dxa"/>
            <w:gridSpan w:val="2"/>
            <w:tcBorders>
              <w:top w:val="nil"/>
              <w:left w:val="nil"/>
              <w:bottom w:val="nil"/>
              <w:right w:val="nil"/>
            </w:tcBorders>
            <w:shd w:val="clear" w:color="000000" w:fill="FFFFFF"/>
            <w:noWrap/>
            <w:vAlign w:val="bottom"/>
          </w:tcPr>
          <w:p w14:paraId="5C81E5F9"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tcPr>
          <w:p w14:paraId="7E60669B"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tcPr>
          <w:p w14:paraId="534D50C1" w14:textId="77777777" w:rsidR="00051D7E" w:rsidRPr="00D53A89" w:rsidRDefault="00051D7E" w:rsidP="007531FB">
            <w:pPr>
              <w:jc w:val="right"/>
              <w:rPr>
                <w:rFonts w:ascii="Calibri" w:eastAsia="Times New Roman" w:hAnsi="Calibri" w:cs="Calibri"/>
              </w:rPr>
            </w:pPr>
            <w:r w:rsidRPr="00D53A89">
              <w:rPr>
                <w:rFonts w:ascii="Calibri" w:eastAsia="Times New Roman" w:hAnsi="Calibri" w:cs="Calibri"/>
              </w:rPr>
              <w:t>546</w:t>
            </w:r>
          </w:p>
        </w:tc>
        <w:tc>
          <w:tcPr>
            <w:tcW w:w="2713" w:type="dxa"/>
            <w:gridSpan w:val="2"/>
            <w:tcBorders>
              <w:top w:val="nil"/>
              <w:left w:val="nil"/>
              <w:bottom w:val="nil"/>
              <w:right w:val="nil"/>
            </w:tcBorders>
            <w:shd w:val="clear" w:color="000000" w:fill="FFFFFF"/>
            <w:vAlign w:val="bottom"/>
          </w:tcPr>
          <w:p w14:paraId="581FCD1C" w14:textId="77777777" w:rsidR="00051D7E" w:rsidRPr="00D35BDD" w:rsidRDefault="00051D7E" w:rsidP="007531FB">
            <w:pPr>
              <w:rPr>
                <w:rFonts w:ascii="Calibri" w:eastAsia="Times New Roman" w:hAnsi="Calibri" w:cs="Calibri"/>
                <w:color w:val="0D0D0D"/>
              </w:rPr>
            </w:pPr>
            <w:r w:rsidRPr="00D35BDD">
              <w:rPr>
                <w:rFonts w:ascii="Calibri" w:eastAsia="Times New Roman" w:hAnsi="Calibri" w:cs="Calibri"/>
                <w:color w:val="0D0D0D"/>
              </w:rPr>
              <w:t>Daily</w:t>
            </w:r>
          </w:p>
        </w:tc>
      </w:tr>
      <w:tr w:rsidR="00051D7E" w:rsidRPr="00D35BDD" w14:paraId="11DE782F" w14:textId="77777777" w:rsidTr="00E04E32">
        <w:trPr>
          <w:gridAfter w:val="1"/>
          <w:wAfter w:w="43" w:type="dxa"/>
          <w:trHeight w:val="588"/>
        </w:trPr>
        <w:tc>
          <w:tcPr>
            <w:tcW w:w="2593" w:type="dxa"/>
            <w:tcBorders>
              <w:top w:val="single" w:sz="4" w:space="0" w:color="00688D"/>
              <w:left w:val="nil"/>
              <w:bottom w:val="double" w:sz="6" w:space="0" w:color="00688D"/>
              <w:right w:val="nil"/>
            </w:tcBorders>
            <w:shd w:val="clear" w:color="000000" w:fill="FFFFFF"/>
            <w:vAlign w:val="bottom"/>
            <w:hideMark/>
          </w:tcPr>
          <w:p w14:paraId="185FDE5B" w14:textId="77777777" w:rsidR="00051D7E" w:rsidRPr="00D35BDD" w:rsidRDefault="00051D7E" w:rsidP="007531FB">
            <w:pPr>
              <w:rPr>
                <w:rFonts w:ascii="Calibri" w:eastAsia="Times New Roman" w:hAnsi="Calibri" w:cs="Calibri"/>
                <w:b/>
                <w:bCs/>
                <w:color w:val="0D0D0D"/>
              </w:rPr>
            </w:pPr>
            <w:r w:rsidRPr="00D35BDD">
              <w:rPr>
                <w:rFonts w:ascii="Calibri" w:eastAsia="Times New Roman" w:hAnsi="Calibri" w:cs="Calibri"/>
                <w:b/>
                <w:bCs/>
                <w:color w:val="0D0D0D"/>
              </w:rPr>
              <w:t>Total long-term investments, endowment</w:t>
            </w:r>
          </w:p>
        </w:tc>
        <w:tc>
          <w:tcPr>
            <w:tcW w:w="1007" w:type="dxa"/>
            <w:gridSpan w:val="2"/>
            <w:tcBorders>
              <w:top w:val="single" w:sz="4" w:space="0" w:color="00688D"/>
              <w:left w:val="nil"/>
              <w:bottom w:val="double" w:sz="6" w:space="0" w:color="00688D"/>
              <w:right w:val="nil"/>
            </w:tcBorders>
            <w:shd w:val="clear" w:color="000000" w:fill="FFFFFF"/>
            <w:noWrap/>
            <w:vAlign w:val="bottom"/>
            <w:hideMark/>
          </w:tcPr>
          <w:p w14:paraId="30E21171" w14:textId="435F1103" w:rsidR="00051D7E" w:rsidRPr="00D35BDD" w:rsidRDefault="00051D7E">
            <w:pPr>
              <w:jc w:val="right"/>
              <w:rPr>
                <w:rFonts w:ascii="Calibri" w:eastAsia="Times New Roman" w:hAnsi="Calibri" w:cs="Calibri"/>
                <w:b/>
                <w:bCs/>
                <w:color w:val="0D0D0D"/>
              </w:rPr>
            </w:pPr>
            <w:r w:rsidRPr="00D35BDD">
              <w:rPr>
                <w:rFonts w:ascii="Calibri" w:eastAsia="Times New Roman" w:hAnsi="Calibri" w:cs="Calibri"/>
                <w:b/>
                <w:bCs/>
                <w:color w:val="0D0D0D"/>
              </w:rPr>
              <w:t>$</w:t>
            </w:r>
            <w:r w:rsidR="003A68E2">
              <w:rPr>
                <w:rFonts w:ascii="Calibri" w:eastAsia="Times New Roman" w:hAnsi="Calibri" w:cs="Calibri"/>
                <w:b/>
                <w:bCs/>
                <w:color w:val="0D0D0D"/>
              </w:rPr>
              <w:t>191,513</w:t>
            </w:r>
          </w:p>
        </w:tc>
        <w:tc>
          <w:tcPr>
            <w:tcW w:w="892" w:type="dxa"/>
            <w:tcBorders>
              <w:top w:val="single" w:sz="4" w:space="0" w:color="00688D"/>
              <w:left w:val="nil"/>
              <w:bottom w:val="double" w:sz="6" w:space="0" w:color="00688D"/>
              <w:right w:val="nil"/>
            </w:tcBorders>
            <w:shd w:val="clear" w:color="000000" w:fill="FFFFFF"/>
            <w:noWrap/>
            <w:vAlign w:val="bottom"/>
            <w:hideMark/>
          </w:tcPr>
          <w:p w14:paraId="6BC3E15B" w14:textId="4F227EF8" w:rsidR="00051D7E" w:rsidRPr="00D35BDD" w:rsidRDefault="00051D7E">
            <w:pPr>
              <w:jc w:val="right"/>
              <w:rPr>
                <w:rFonts w:ascii="Calibri" w:eastAsia="Times New Roman" w:hAnsi="Calibri" w:cs="Calibri"/>
                <w:b/>
                <w:bCs/>
                <w:color w:val="0D0D0D"/>
              </w:rPr>
            </w:pPr>
            <w:r w:rsidRPr="00D35BDD">
              <w:rPr>
                <w:rFonts w:ascii="Calibri" w:eastAsia="Times New Roman" w:hAnsi="Calibri" w:cs="Calibri"/>
                <w:b/>
                <w:bCs/>
                <w:color w:val="0D0D0D"/>
              </w:rPr>
              <w:t>$</w:t>
            </w:r>
            <w:r w:rsidR="003A68E2">
              <w:rPr>
                <w:rFonts w:ascii="Calibri" w:eastAsia="Times New Roman" w:hAnsi="Calibri" w:cs="Calibri"/>
                <w:b/>
                <w:bCs/>
                <w:color w:val="0D0D0D"/>
              </w:rPr>
              <w:t>36,604</w:t>
            </w:r>
          </w:p>
        </w:tc>
        <w:tc>
          <w:tcPr>
            <w:tcW w:w="638" w:type="dxa"/>
            <w:gridSpan w:val="2"/>
            <w:tcBorders>
              <w:top w:val="single" w:sz="4" w:space="0" w:color="00688D"/>
              <w:left w:val="nil"/>
              <w:bottom w:val="double" w:sz="6" w:space="0" w:color="00688D"/>
              <w:right w:val="nil"/>
            </w:tcBorders>
            <w:shd w:val="clear" w:color="000000" w:fill="FFFFFF"/>
            <w:noWrap/>
            <w:vAlign w:val="bottom"/>
            <w:hideMark/>
          </w:tcPr>
          <w:p w14:paraId="54A960EF" w14:textId="77777777" w:rsidR="00051D7E" w:rsidRPr="00D35BDD" w:rsidRDefault="00051D7E" w:rsidP="007531FB">
            <w:pPr>
              <w:jc w:val="right"/>
              <w:rPr>
                <w:rFonts w:ascii="Calibri" w:eastAsia="Times New Roman" w:hAnsi="Calibri" w:cs="Calibri"/>
                <w:b/>
                <w:bCs/>
                <w:color w:val="0D0D0D"/>
              </w:rPr>
            </w:pPr>
            <w:r w:rsidRPr="00D35BDD">
              <w:rPr>
                <w:rFonts w:ascii="Calibri" w:eastAsia="Times New Roman" w:hAnsi="Calibri" w:cs="Calibri"/>
                <w:b/>
                <w:bCs/>
                <w:color w:val="0D0D0D"/>
              </w:rPr>
              <w:t>$    -</w:t>
            </w:r>
          </w:p>
        </w:tc>
        <w:tc>
          <w:tcPr>
            <w:tcW w:w="630" w:type="dxa"/>
            <w:gridSpan w:val="2"/>
            <w:tcBorders>
              <w:top w:val="single" w:sz="4" w:space="0" w:color="00688D"/>
              <w:left w:val="nil"/>
              <w:bottom w:val="double" w:sz="6" w:space="0" w:color="00688D"/>
              <w:right w:val="nil"/>
            </w:tcBorders>
            <w:shd w:val="clear" w:color="000000" w:fill="FFFFFF"/>
            <w:noWrap/>
            <w:vAlign w:val="bottom"/>
            <w:hideMark/>
          </w:tcPr>
          <w:p w14:paraId="00F89ADA" w14:textId="77777777" w:rsidR="00051D7E" w:rsidRPr="00D35BDD" w:rsidRDefault="00051D7E" w:rsidP="007531FB">
            <w:pPr>
              <w:jc w:val="right"/>
              <w:rPr>
                <w:rFonts w:ascii="Calibri" w:eastAsia="Times New Roman" w:hAnsi="Calibri" w:cs="Calibri"/>
                <w:b/>
                <w:bCs/>
                <w:color w:val="0D0D0D"/>
              </w:rPr>
            </w:pPr>
            <w:r w:rsidRPr="00D35BDD">
              <w:rPr>
                <w:rFonts w:ascii="Calibri" w:eastAsia="Times New Roman" w:hAnsi="Calibri" w:cs="Calibri"/>
                <w:b/>
                <w:bCs/>
                <w:color w:val="0D0D0D"/>
              </w:rPr>
              <w:t>$      -</w:t>
            </w:r>
          </w:p>
        </w:tc>
        <w:tc>
          <w:tcPr>
            <w:tcW w:w="990" w:type="dxa"/>
            <w:gridSpan w:val="2"/>
            <w:tcBorders>
              <w:top w:val="single" w:sz="4" w:space="0" w:color="00688D"/>
              <w:left w:val="nil"/>
              <w:bottom w:val="double" w:sz="6" w:space="0" w:color="00688D"/>
              <w:right w:val="nil"/>
            </w:tcBorders>
            <w:shd w:val="clear" w:color="000000" w:fill="FFFFFF"/>
            <w:noWrap/>
            <w:vAlign w:val="bottom"/>
            <w:hideMark/>
          </w:tcPr>
          <w:p w14:paraId="5C59517E" w14:textId="77777777" w:rsidR="00051D7E" w:rsidRPr="00D35BDD" w:rsidRDefault="00051D7E" w:rsidP="007531FB">
            <w:pPr>
              <w:jc w:val="right"/>
              <w:rPr>
                <w:rFonts w:ascii="Calibri" w:eastAsia="Times New Roman" w:hAnsi="Calibri" w:cs="Calibri"/>
                <w:b/>
                <w:bCs/>
                <w:color w:val="0D0D0D"/>
              </w:rPr>
            </w:pPr>
            <w:r w:rsidRPr="00D35BDD">
              <w:rPr>
                <w:rFonts w:ascii="Calibri" w:eastAsia="Times New Roman" w:hAnsi="Calibri" w:cs="Calibri"/>
                <w:b/>
                <w:bCs/>
                <w:color w:val="0D0D0D"/>
              </w:rPr>
              <w:t>$228,117</w:t>
            </w:r>
          </w:p>
        </w:tc>
        <w:tc>
          <w:tcPr>
            <w:tcW w:w="2700" w:type="dxa"/>
            <w:gridSpan w:val="2"/>
            <w:tcBorders>
              <w:top w:val="single" w:sz="4" w:space="0" w:color="00688D"/>
              <w:left w:val="nil"/>
              <w:bottom w:val="double" w:sz="6" w:space="0" w:color="00688D"/>
              <w:right w:val="nil"/>
            </w:tcBorders>
            <w:shd w:val="clear" w:color="000000" w:fill="FFFFFF"/>
            <w:noWrap/>
            <w:vAlign w:val="bottom"/>
            <w:hideMark/>
          </w:tcPr>
          <w:p w14:paraId="699846BC" w14:textId="77777777" w:rsidR="00051D7E" w:rsidRPr="00D35BDD" w:rsidRDefault="00051D7E" w:rsidP="007531FB">
            <w:pPr>
              <w:rPr>
                <w:rFonts w:ascii="Calibri" w:eastAsia="Times New Roman" w:hAnsi="Calibri" w:cs="Calibri"/>
                <w:b/>
                <w:bCs/>
                <w:color w:val="0D0D0D"/>
              </w:rPr>
            </w:pPr>
            <w:r w:rsidRPr="00D35BDD">
              <w:rPr>
                <w:rFonts w:ascii="Calibri" w:eastAsia="Times New Roman" w:hAnsi="Calibri" w:cs="Calibri"/>
                <w:b/>
                <w:bCs/>
                <w:color w:val="0D0D0D"/>
              </w:rPr>
              <w:t> </w:t>
            </w:r>
          </w:p>
        </w:tc>
      </w:tr>
    </w:tbl>
    <w:p w14:paraId="1EB56D68" w14:textId="77777777" w:rsidR="00051D7E" w:rsidRPr="00F54559" w:rsidRDefault="00051D7E" w:rsidP="00051D7E">
      <w:pPr>
        <w:spacing w:before="240"/>
        <w:rPr>
          <w:rFonts w:eastAsiaTheme="majorEastAsia" w:cstheme="minorHAnsi"/>
          <w:b/>
          <w:i/>
          <w:iCs/>
          <w:smallCaps/>
          <w:noProof/>
          <w:color w:val="000000" w:themeColor="text1"/>
          <w:sz w:val="28"/>
          <w:szCs w:val="28"/>
          <w:u w:color="5B9BD5"/>
        </w:rPr>
      </w:pPr>
      <w:r w:rsidRPr="00F54559">
        <w:rPr>
          <w:rFonts w:cstheme="minorHAnsi"/>
          <w:sz w:val="24"/>
        </w:rPr>
        <w:t>Complete financial statements for the Foundation may be obtained from the Foundation’s office at Two Alumni Place, Orono, ME 04469-5792.</w:t>
      </w:r>
      <w:r w:rsidRPr="00F54559">
        <w:rPr>
          <w:rFonts w:cstheme="minorHAnsi"/>
          <w:sz w:val="28"/>
        </w:rPr>
        <w:br w:type="page"/>
      </w:r>
    </w:p>
    <w:p w14:paraId="3132E974" w14:textId="77777777" w:rsidR="00051D7E" w:rsidRPr="0023665A" w:rsidRDefault="00051D7E" w:rsidP="00051D7E">
      <w:pPr>
        <w:pStyle w:val="AFR2"/>
        <w:rPr>
          <w:rFonts w:cstheme="minorHAnsi"/>
          <w:sz w:val="26"/>
          <w:szCs w:val="26"/>
          <w:u w:val="double"/>
        </w:rPr>
      </w:pPr>
      <w:r w:rsidRPr="0023665A">
        <w:rPr>
          <w:rFonts w:cstheme="minorHAnsi"/>
          <w:sz w:val="26"/>
          <w:szCs w:val="26"/>
        </w:rPr>
        <w:lastRenderedPageBreak/>
        <w:t>17. SERVICE CONCESSION ARRANGEMENTS</w:t>
      </w:r>
    </w:p>
    <w:p w14:paraId="0932C33D" w14:textId="77777777" w:rsidR="00051D7E" w:rsidRDefault="00051D7E" w:rsidP="00051D7E">
      <w:pPr>
        <w:rPr>
          <w:rFonts w:cstheme="minorHAnsi"/>
          <w:sz w:val="24"/>
          <w:szCs w:val="24"/>
        </w:rPr>
      </w:pPr>
      <w:r w:rsidRPr="00F54559">
        <w:rPr>
          <w:rFonts w:cstheme="minorHAnsi"/>
          <w:sz w:val="24"/>
          <w:szCs w:val="24"/>
        </w:rPr>
        <w:t xml:space="preserve">In June 2016, the System contracted with Sodexo America LLC (“Sodexo”) to provide food services at all campuses except the University of Maine.  </w:t>
      </w:r>
      <w:r>
        <w:rPr>
          <w:rFonts w:cstheme="minorHAnsi"/>
          <w:sz w:val="24"/>
          <w:szCs w:val="24"/>
        </w:rPr>
        <w:t xml:space="preserve">In May 2020, the term of the contract was extended for 5 additional years commencing July 1, 2021, continuing through June 30, 2026 and is subject to renewal for 5 additional 1-year terms. </w:t>
      </w:r>
    </w:p>
    <w:p w14:paraId="7B78A232" w14:textId="77777777" w:rsidR="00051D7E" w:rsidRDefault="00051D7E" w:rsidP="00051D7E">
      <w:pPr>
        <w:rPr>
          <w:rFonts w:cstheme="minorHAnsi"/>
          <w:sz w:val="24"/>
          <w:szCs w:val="24"/>
        </w:rPr>
      </w:pPr>
    </w:p>
    <w:p w14:paraId="5DF34A5A" w14:textId="77777777" w:rsidR="00051D7E" w:rsidRPr="00F54559" w:rsidRDefault="00051D7E" w:rsidP="00051D7E">
      <w:pPr>
        <w:rPr>
          <w:rFonts w:cstheme="minorHAnsi"/>
          <w:sz w:val="24"/>
          <w:szCs w:val="24"/>
        </w:rPr>
      </w:pPr>
      <w:r w:rsidRPr="00F54559">
        <w:rPr>
          <w:rFonts w:cstheme="minorHAnsi"/>
          <w:sz w:val="24"/>
          <w:szCs w:val="24"/>
        </w:rPr>
        <w:t xml:space="preserve">Upon execution of the </w:t>
      </w:r>
      <w:r>
        <w:rPr>
          <w:rFonts w:cstheme="minorHAnsi"/>
          <w:sz w:val="24"/>
          <w:szCs w:val="24"/>
        </w:rPr>
        <w:t xml:space="preserve">2016 </w:t>
      </w:r>
      <w:r w:rsidRPr="00F54559">
        <w:rPr>
          <w:rFonts w:cstheme="minorHAnsi"/>
          <w:sz w:val="24"/>
          <w:szCs w:val="24"/>
        </w:rPr>
        <w:t xml:space="preserve">contract, the System received a signing bonus of $500 and a commitment by Sodexo to provide up to $4,000 for equipment and improvements to the System’s dining facilities during the first 2 years of the agreement. Effective September 1, 2018, the contract was amended to include an additional $2,000 for equipment and improvements. Any such improvements and equipment provided will remain the property of the System. Improvements to facilities not completed as of June 30, </w:t>
      </w:r>
      <w:r>
        <w:rPr>
          <w:rFonts w:cstheme="minorHAnsi"/>
          <w:sz w:val="24"/>
          <w:szCs w:val="24"/>
        </w:rPr>
        <w:t xml:space="preserve">2021 and </w:t>
      </w:r>
      <w:r w:rsidRPr="00F54559">
        <w:rPr>
          <w:rFonts w:cstheme="minorHAnsi"/>
          <w:sz w:val="24"/>
          <w:szCs w:val="24"/>
        </w:rPr>
        <w:t>20</w:t>
      </w:r>
      <w:r>
        <w:rPr>
          <w:rFonts w:cstheme="minorHAnsi"/>
          <w:sz w:val="24"/>
          <w:szCs w:val="24"/>
        </w:rPr>
        <w:t>20</w:t>
      </w:r>
      <w:r w:rsidRPr="00F54559">
        <w:rPr>
          <w:rFonts w:cstheme="minorHAnsi"/>
          <w:sz w:val="24"/>
          <w:szCs w:val="24"/>
        </w:rPr>
        <w:t xml:space="preserve"> are recorded as a receivable in the amount of </w:t>
      </w:r>
      <w:r>
        <w:rPr>
          <w:rFonts w:cstheme="minorHAnsi"/>
          <w:sz w:val="24"/>
          <w:szCs w:val="24"/>
        </w:rPr>
        <w:t>$</w:t>
      </w:r>
      <w:r w:rsidRPr="00310F65">
        <w:rPr>
          <w:rFonts w:cstheme="minorHAnsi"/>
          <w:sz w:val="24"/>
          <w:szCs w:val="24"/>
        </w:rPr>
        <w:t xml:space="preserve">0 </w:t>
      </w:r>
      <w:r>
        <w:rPr>
          <w:rFonts w:cstheme="minorHAnsi"/>
          <w:sz w:val="24"/>
          <w:szCs w:val="24"/>
        </w:rPr>
        <w:t xml:space="preserve">and </w:t>
      </w:r>
      <w:r w:rsidRPr="00F54559">
        <w:rPr>
          <w:rFonts w:cstheme="minorHAnsi"/>
          <w:sz w:val="24"/>
          <w:szCs w:val="24"/>
        </w:rPr>
        <w:t>$</w:t>
      </w:r>
      <w:r>
        <w:rPr>
          <w:rFonts w:cstheme="minorHAnsi"/>
          <w:sz w:val="24"/>
          <w:szCs w:val="24"/>
        </w:rPr>
        <w:t xml:space="preserve">5, respectively, </w:t>
      </w:r>
      <w:r w:rsidRPr="00F54559">
        <w:rPr>
          <w:rFonts w:cstheme="minorHAnsi"/>
          <w:sz w:val="24"/>
          <w:szCs w:val="24"/>
        </w:rPr>
        <w:t>in the Statement of Net Position.</w:t>
      </w:r>
    </w:p>
    <w:p w14:paraId="59785801" w14:textId="77777777" w:rsidR="00051D7E" w:rsidRPr="00F54559" w:rsidRDefault="00051D7E" w:rsidP="00051D7E">
      <w:pPr>
        <w:rPr>
          <w:rFonts w:cstheme="minorHAnsi"/>
          <w:sz w:val="24"/>
          <w:szCs w:val="24"/>
        </w:rPr>
      </w:pPr>
    </w:p>
    <w:p w14:paraId="78D4FB1F" w14:textId="77777777" w:rsidR="00051D7E" w:rsidRPr="00F54559" w:rsidRDefault="00051D7E" w:rsidP="00051D7E">
      <w:pPr>
        <w:rPr>
          <w:rFonts w:cstheme="minorHAnsi"/>
          <w:sz w:val="24"/>
          <w:szCs w:val="24"/>
        </w:rPr>
      </w:pPr>
      <w:r w:rsidRPr="00F54559">
        <w:rPr>
          <w:rFonts w:cstheme="minorHAnsi"/>
          <w:sz w:val="24"/>
          <w:szCs w:val="24"/>
        </w:rPr>
        <w:t>As of June 30, 20</w:t>
      </w:r>
      <w:r>
        <w:rPr>
          <w:rFonts w:cstheme="minorHAnsi"/>
          <w:sz w:val="24"/>
          <w:szCs w:val="24"/>
        </w:rPr>
        <w:t>21</w:t>
      </w:r>
      <w:r w:rsidRPr="00F54559">
        <w:rPr>
          <w:rFonts w:cstheme="minorHAnsi"/>
          <w:sz w:val="24"/>
          <w:szCs w:val="24"/>
        </w:rPr>
        <w:t xml:space="preserve"> and 20</w:t>
      </w:r>
      <w:r>
        <w:rPr>
          <w:rFonts w:cstheme="minorHAnsi"/>
          <w:sz w:val="24"/>
          <w:szCs w:val="24"/>
        </w:rPr>
        <w:t>20</w:t>
      </w:r>
      <w:r w:rsidRPr="00F54559">
        <w:rPr>
          <w:rFonts w:cstheme="minorHAnsi"/>
          <w:sz w:val="24"/>
          <w:szCs w:val="24"/>
        </w:rPr>
        <w:t>, the equipment and improvements provided under this agreement have been classified as either capital assets or expenses in accordance with the System’s capitalization policies, with an offsetting deferred inflow of resources.  The signing bonus has also been classified as a deferred inflow of resources.  Over the life of the contract, the System will amortize the deferred inflows of resources while recognizing auxiliary revenue each year. If the agreement expires, terminates or is amended in a way that has an adverse impact on Sodexo, the System will be liable for the unamortized portion of Sodexo’s investment.</w:t>
      </w:r>
    </w:p>
    <w:p w14:paraId="1DB2CF85" w14:textId="77777777" w:rsidR="00051D7E" w:rsidRPr="00F54559" w:rsidRDefault="00051D7E" w:rsidP="00051D7E">
      <w:pPr>
        <w:rPr>
          <w:rFonts w:cstheme="minorHAnsi"/>
          <w:sz w:val="24"/>
          <w:szCs w:val="24"/>
          <w:highlight w:val="yellow"/>
        </w:rPr>
      </w:pPr>
    </w:p>
    <w:p w14:paraId="6FCFF383" w14:textId="77777777" w:rsidR="00051D7E" w:rsidRDefault="00051D7E" w:rsidP="00051D7E">
      <w:pPr>
        <w:rPr>
          <w:rFonts w:cstheme="minorHAnsi"/>
          <w:sz w:val="24"/>
          <w:szCs w:val="24"/>
        </w:rPr>
      </w:pPr>
      <w:r w:rsidRPr="00F54559">
        <w:rPr>
          <w:rFonts w:cstheme="minorHAnsi"/>
          <w:sz w:val="24"/>
          <w:szCs w:val="24"/>
        </w:rPr>
        <w:t>As of June 30, 20</w:t>
      </w:r>
      <w:r>
        <w:rPr>
          <w:rFonts w:cstheme="minorHAnsi"/>
          <w:sz w:val="24"/>
          <w:szCs w:val="24"/>
        </w:rPr>
        <w:t>21</w:t>
      </w:r>
      <w:r w:rsidRPr="00F54559">
        <w:rPr>
          <w:rFonts w:cstheme="minorHAnsi"/>
          <w:sz w:val="24"/>
          <w:szCs w:val="24"/>
        </w:rPr>
        <w:t xml:space="preserve"> and 20</w:t>
      </w:r>
      <w:r>
        <w:rPr>
          <w:rFonts w:cstheme="minorHAnsi"/>
          <w:sz w:val="24"/>
          <w:szCs w:val="24"/>
        </w:rPr>
        <w:t>20</w:t>
      </w:r>
      <w:r w:rsidRPr="00F54559">
        <w:rPr>
          <w:rFonts w:cstheme="minorHAnsi"/>
          <w:sz w:val="24"/>
          <w:szCs w:val="24"/>
        </w:rPr>
        <w:t xml:space="preserve"> the balance of the deferred inflows of resources related to the Sodexo service concession arrangement is </w:t>
      </w:r>
      <w:r>
        <w:rPr>
          <w:rFonts w:cstheme="minorHAnsi"/>
          <w:sz w:val="24"/>
          <w:szCs w:val="24"/>
        </w:rPr>
        <w:t>$</w:t>
      </w:r>
      <w:r w:rsidRPr="00310F65">
        <w:rPr>
          <w:rFonts w:cstheme="minorHAnsi"/>
          <w:sz w:val="24"/>
          <w:szCs w:val="24"/>
        </w:rPr>
        <w:t xml:space="preserve">4,708 </w:t>
      </w:r>
      <w:r>
        <w:rPr>
          <w:rFonts w:cstheme="minorHAnsi"/>
          <w:sz w:val="24"/>
          <w:szCs w:val="24"/>
        </w:rPr>
        <w:t xml:space="preserve">and </w:t>
      </w:r>
      <w:r w:rsidRPr="00F54559">
        <w:rPr>
          <w:rFonts w:cstheme="minorHAnsi"/>
          <w:sz w:val="24"/>
          <w:szCs w:val="24"/>
        </w:rPr>
        <w:t>$</w:t>
      </w:r>
      <w:r>
        <w:rPr>
          <w:rFonts w:cstheme="minorHAnsi"/>
          <w:sz w:val="24"/>
          <w:szCs w:val="24"/>
        </w:rPr>
        <w:t>4,721</w:t>
      </w:r>
      <w:r w:rsidRPr="00F54559">
        <w:rPr>
          <w:rFonts w:cstheme="minorHAnsi"/>
          <w:sz w:val="24"/>
          <w:szCs w:val="24"/>
        </w:rPr>
        <w:t>, respectively (see Note 15).  During FY</w:t>
      </w:r>
      <w:r>
        <w:rPr>
          <w:rFonts w:cstheme="minorHAnsi"/>
          <w:sz w:val="24"/>
          <w:szCs w:val="24"/>
        </w:rPr>
        <w:t>21</w:t>
      </w:r>
      <w:r w:rsidRPr="00F54559">
        <w:rPr>
          <w:rFonts w:cstheme="minorHAnsi"/>
          <w:sz w:val="24"/>
          <w:szCs w:val="24"/>
        </w:rPr>
        <w:t xml:space="preserve"> and FY</w:t>
      </w:r>
      <w:r>
        <w:rPr>
          <w:rFonts w:cstheme="minorHAnsi"/>
          <w:sz w:val="24"/>
          <w:szCs w:val="24"/>
        </w:rPr>
        <w:t>20</w:t>
      </w:r>
      <w:r w:rsidRPr="00F54559">
        <w:rPr>
          <w:rFonts w:cstheme="minorHAnsi"/>
          <w:sz w:val="24"/>
          <w:szCs w:val="24"/>
        </w:rPr>
        <w:t xml:space="preserve">, amortization in the amount of </w:t>
      </w:r>
      <w:r>
        <w:rPr>
          <w:rFonts w:cstheme="minorHAnsi"/>
          <w:sz w:val="24"/>
          <w:szCs w:val="24"/>
        </w:rPr>
        <w:t>$</w:t>
      </w:r>
      <w:r w:rsidRPr="001C5A4A">
        <w:rPr>
          <w:rFonts w:cstheme="minorHAnsi"/>
          <w:sz w:val="24"/>
          <w:szCs w:val="24"/>
        </w:rPr>
        <w:t xml:space="preserve">513 </w:t>
      </w:r>
      <w:r>
        <w:rPr>
          <w:rFonts w:cstheme="minorHAnsi"/>
          <w:sz w:val="24"/>
          <w:szCs w:val="24"/>
        </w:rPr>
        <w:t xml:space="preserve">and </w:t>
      </w:r>
      <w:r w:rsidRPr="00F54559">
        <w:rPr>
          <w:rFonts w:cstheme="minorHAnsi"/>
          <w:sz w:val="24"/>
          <w:szCs w:val="24"/>
        </w:rPr>
        <w:t>$</w:t>
      </w:r>
      <w:r>
        <w:rPr>
          <w:rFonts w:cstheme="minorHAnsi"/>
          <w:sz w:val="24"/>
          <w:szCs w:val="24"/>
        </w:rPr>
        <w:t>429, respectively,</w:t>
      </w:r>
      <w:r w:rsidRPr="00F54559">
        <w:rPr>
          <w:rFonts w:cstheme="minorHAnsi"/>
          <w:sz w:val="24"/>
          <w:szCs w:val="24"/>
        </w:rPr>
        <w:t xml:space="preserve"> has been recognized as auxiliary revenue.</w:t>
      </w:r>
    </w:p>
    <w:p w14:paraId="17BDCC66" w14:textId="77777777" w:rsidR="00051D7E" w:rsidRPr="0023665A" w:rsidRDefault="00051D7E" w:rsidP="00051D7E">
      <w:pPr>
        <w:pStyle w:val="AFR2"/>
        <w:rPr>
          <w:rFonts w:cstheme="minorHAnsi"/>
          <w:color w:val="FF0000"/>
          <w:sz w:val="26"/>
          <w:szCs w:val="26"/>
          <w:u w:val="double"/>
        </w:rPr>
      </w:pPr>
      <w:r w:rsidRPr="0023665A">
        <w:rPr>
          <w:rFonts w:cstheme="minorHAnsi"/>
          <w:sz w:val="26"/>
          <w:szCs w:val="26"/>
        </w:rPr>
        <w:t xml:space="preserve">18. </w:t>
      </w:r>
      <w:r w:rsidRPr="0023665A">
        <w:rPr>
          <w:rFonts w:cstheme="minorHAnsi"/>
          <w:color w:val="auto"/>
          <w:sz w:val="26"/>
          <w:szCs w:val="26"/>
        </w:rPr>
        <w:t>PRIOR PERIOD ADJUSTMENTS</w:t>
      </w:r>
    </w:p>
    <w:p w14:paraId="6757166E" w14:textId="469A7F3B" w:rsidR="00051D7E" w:rsidRDefault="00051D7E" w:rsidP="00051D7E">
      <w:pPr>
        <w:spacing w:after="160" w:line="259" w:lineRule="auto"/>
        <w:rPr>
          <w:rFonts w:cstheme="minorHAnsi"/>
          <w:sz w:val="24"/>
          <w:szCs w:val="20"/>
        </w:rPr>
      </w:pPr>
      <w:r w:rsidRPr="000059A2">
        <w:rPr>
          <w:rFonts w:cstheme="minorHAnsi"/>
          <w:sz w:val="24"/>
          <w:szCs w:val="20"/>
        </w:rPr>
        <w:t xml:space="preserve">The provisions of GASB No. </w:t>
      </w:r>
      <w:r w:rsidRPr="0028129F">
        <w:rPr>
          <w:rFonts w:cstheme="minorHAnsi"/>
          <w:iCs/>
          <w:smallCaps/>
          <w:sz w:val="24"/>
          <w:szCs w:val="20"/>
        </w:rPr>
        <w:t>84</w:t>
      </w:r>
      <w:r w:rsidRPr="000059A2">
        <w:rPr>
          <w:rFonts w:cstheme="minorHAnsi"/>
          <w:sz w:val="24"/>
          <w:szCs w:val="20"/>
        </w:rPr>
        <w:t xml:space="preserve"> are effective for periods beginning </w:t>
      </w:r>
      <w:r w:rsidRPr="00F52FF6">
        <w:rPr>
          <w:rFonts w:cstheme="minorHAnsi"/>
          <w:sz w:val="24"/>
          <w:szCs w:val="20"/>
        </w:rPr>
        <w:t xml:space="preserve">after </w:t>
      </w:r>
      <w:r w:rsidRPr="0028129F">
        <w:rPr>
          <w:rFonts w:cstheme="minorHAnsi"/>
          <w:sz w:val="24"/>
          <w:szCs w:val="20"/>
        </w:rPr>
        <w:t>December 15, 2019</w:t>
      </w:r>
      <w:r w:rsidRPr="00F52FF6">
        <w:rPr>
          <w:rFonts w:cstheme="minorHAnsi"/>
          <w:sz w:val="24"/>
          <w:szCs w:val="20"/>
        </w:rPr>
        <w:t xml:space="preserve">. </w:t>
      </w:r>
      <w:r w:rsidRPr="000059A2">
        <w:rPr>
          <w:rFonts w:cstheme="minorHAnsi"/>
          <w:sz w:val="24"/>
          <w:szCs w:val="20"/>
        </w:rPr>
        <w:t xml:space="preserve">This statement applies to the </w:t>
      </w:r>
      <w:r w:rsidRPr="00F52FF6">
        <w:rPr>
          <w:rFonts w:cstheme="minorHAnsi"/>
          <w:sz w:val="24"/>
          <w:szCs w:val="20"/>
        </w:rPr>
        <w:t xml:space="preserve">System’s </w:t>
      </w:r>
      <w:r w:rsidRPr="0028129F">
        <w:rPr>
          <w:rFonts w:cstheme="minorHAnsi"/>
          <w:sz w:val="24"/>
          <w:szCs w:val="20"/>
        </w:rPr>
        <w:t xml:space="preserve">fiduciary </w:t>
      </w:r>
      <w:r w:rsidR="00F60950">
        <w:rPr>
          <w:rFonts w:cstheme="minorHAnsi"/>
          <w:sz w:val="24"/>
          <w:szCs w:val="20"/>
        </w:rPr>
        <w:t xml:space="preserve">funds (see Note 1c.) </w:t>
      </w:r>
      <w:r w:rsidRPr="000059A2">
        <w:rPr>
          <w:rFonts w:cstheme="minorHAnsi"/>
          <w:sz w:val="24"/>
          <w:szCs w:val="20"/>
        </w:rPr>
        <w:t xml:space="preserve">and the System adopted GASB No. </w:t>
      </w:r>
      <w:r w:rsidRPr="0028129F">
        <w:rPr>
          <w:rFonts w:cstheme="minorHAnsi"/>
          <w:iCs/>
          <w:smallCaps/>
          <w:sz w:val="24"/>
          <w:szCs w:val="20"/>
        </w:rPr>
        <w:t>84</w:t>
      </w:r>
      <w:r w:rsidRPr="000059A2">
        <w:rPr>
          <w:rFonts w:cstheme="minorHAnsi"/>
          <w:sz w:val="24"/>
          <w:szCs w:val="20"/>
        </w:rPr>
        <w:t xml:space="preserve"> for its June 30, 20</w:t>
      </w:r>
      <w:r w:rsidRPr="0028129F">
        <w:rPr>
          <w:rFonts w:cstheme="minorHAnsi"/>
          <w:iCs/>
          <w:smallCaps/>
          <w:sz w:val="24"/>
          <w:szCs w:val="20"/>
        </w:rPr>
        <w:t>21</w:t>
      </w:r>
      <w:r w:rsidRPr="000059A2">
        <w:rPr>
          <w:rFonts w:cstheme="minorHAnsi"/>
          <w:sz w:val="24"/>
          <w:szCs w:val="20"/>
        </w:rPr>
        <w:t xml:space="preserve"> financial statements. The change represents a change from one generally accepted accounting principle to another generally accepted accounting principle that is the current</w:t>
      </w:r>
      <w:r>
        <w:rPr>
          <w:rFonts w:cstheme="minorHAnsi"/>
          <w:sz w:val="24"/>
          <w:szCs w:val="20"/>
        </w:rPr>
        <w:t xml:space="preserve"> industry practice.</w:t>
      </w:r>
      <w:r w:rsidRPr="000059A2">
        <w:rPr>
          <w:rFonts w:cstheme="minorHAnsi"/>
          <w:sz w:val="24"/>
          <w:szCs w:val="20"/>
        </w:rPr>
        <w:t xml:space="preserve"> </w:t>
      </w:r>
    </w:p>
    <w:p w14:paraId="421DE202" w14:textId="4B6C4F7D" w:rsidR="003460D7" w:rsidRDefault="00051D7E" w:rsidP="00051D7E">
      <w:pPr>
        <w:spacing w:after="160" w:line="259" w:lineRule="auto"/>
        <w:rPr>
          <w:rFonts w:cstheme="minorHAnsi"/>
          <w:sz w:val="24"/>
          <w:szCs w:val="20"/>
        </w:rPr>
      </w:pPr>
      <w:r w:rsidRPr="000059A2">
        <w:rPr>
          <w:rFonts w:cstheme="minorHAnsi"/>
          <w:sz w:val="24"/>
          <w:szCs w:val="20"/>
        </w:rPr>
        <w:t xml:space="preserve">The changes adopted to conform to the provisions of GASB No. </w:t>
      </w:r>
      <w:r>
        <w:rPr>
          <w:rFonts w:cstheme="minorHAnsi"/>
          <w:sz w:val="24"/>
          <w:szCs w:val="20"/>
        </w:rPr>
        <w:t>84</w:t>
      </w:r>
      <w:r w:rsidRPr="000059A2">
        <w:rPr>
          <w:rFonts w:cstheme="minorHAnsi"/>
          <w:sz w:val="24"/>
          <w:szCs w:val="20"/>
        </w:rPr>
        <w:t xml:space="preserve"> are applied retroactively by restating the FY</w:t>
      </w:r>
      <w:r>
        <w:rPr>
          <w:rFonts w:cstheme="minorHAnsi"/>
          <w:sz w:val="24"/>
          <w:szCs w:val="20"/>
        </w:rPr>
        <w:t>20</w:t>
      </w:r>
      <w:r w:rsidRPr="000059A2">
        <w:rPr>
          <w:rFonts w:cstheme="minorHAnsi"/>
          <w:sz w:val="24"/>
          <w:szCs w:val="20"/>
        </w:rPr>
        <w:t xml:space="preserve"> financial statements. </w:t>
      </w:r>
      <w:r w:rsidR="00F60950">
        <w:rPr>
          <w:rFonts w:cstheme="minorHAnsi"/>
          <w:sz w:val="24"/>
          <w:szCs w:val="20"/>
        </w:rPr>
        <w:t xml:space="preserve">The impact of the restatement was to reduce the balances of </w:t>
      </w:r>
      <w:r w:rsidR="003460D7">
        <w:rPr>
          <w:rFonts w:cstheme="minorHAnsi"/>
          <w:sz w:val="24"/>
          <w:szCs w:val="20"/>
        </w:rPr>
        <w:t xml:space="preserve">certain </w:t>
      </w:r>
      <w:r w:rsidR="00F60950">
        <w:rPr>
          <w:rFonts w:cstheme="minorHAnsi"/>
          <w:sz w:val="24"/>
          <w:szCs w:val="20"/>
        </w:rPr>
        <w:t>items in the System’s FY20 Statements of Net Position</w:t>
      </w:r>
      <w:r w:rsidR="009629E8">
        <w:rPr>
          <w:rFonts w:cstheme="minorHAnsi"/>
          <w:sz w:val="24"/>
          <w:szCs w:val="20"/>
        </w:rPr>
        <w:t xml:space="preserve"> and to move </w:t>
      </w:r>
      <w:r w:rsidR="003460D7">
        <w:rPr>
          <w:rFonts w:cstheme="minorHAnsi"/>
          <w:sz w:val="24"/>
          <w:szCs w:val="20"/>
        </w:rPr>
        <w:t xml:space="preserve">those reductions </w:t>
      </w:r>
      <w:r w:rsidR="009629E8">
        <w:rPr>
          <w:rFonts w:cstheme="minorHAnsi"/>
          <w:sz w:val="24"/>
          <w:szCs w:val="20"/>
        </w:rPr>
        <w:t xml:space="preserve"> to the Statements of Fiduciary </w:t>
      </w:r>
      <w:r w:rsidR="003460D7">
        <w:rPr>
          <w:rFonts w:cstheme="minorHAnsi"/>
          <w:sz w:val="24"/>
          <w:szCs w:val="20"/>
        </w:rPr>
        <w:t>N</w:t>
      </w:r>
      <w:r w:rsidR="009629E8">
        <w:rPr>
          <w:rFonts w:cstheme="minorHAnsi"/>
          <w:sz w:val="24"/>
          <w:szCs w:val="20"/>
        </w:rPr>
        <w:t>et Position</w:t>
      </w:r>
      <w:r w:rsidR="00F60950">
        <w:rPr>
          <w:rFonts w:cstheme="minorHAnsi"/>
          <w:sz w:val="24"/>
          <w:szCs w:val="20"/>
        </w:rPr>
        <w:t xml:space="preserve">. </w:t>
      </w:r>
      <w:r w:rsidR="003460D7">
        <w:rPr>
          <w:rFonts w:cstheme="minorHAnsi"/>
          <w:sz w:val="24"/>
          <w:szCs w:val="20"/>
        </w:rPr>
        <w:t xml:space="preserve">A condensed version of the System’s FY20 Statements of Net Position is presented below, showing the originally stated balances, </w:t>
      </w:r>
    </w:p>
    <w:p w14:paraId="0DAA27CB" w14:textId="77777777" w:rsidR="003460D7" w:rsidRDefault="003460D7" w:rsidP="00051D7E">
      <w:pPr>
        <w:spacing w:after="160" w:line="259" w:lineRule="auto"/>
        <w:rPr>
          <w:rFonts w:cstheme="minorHAnsi"/>
          <w:sz w:val="24"/>
          <w:szCs w:val="20"/>
        </w:rPr>
      </w:pPr>
    </w:p>
    <w:p w14:paraId="18841B59" w14:textId="77777777" w:rsidR="003460D7" w:rsidRPr="00F54559" w:rsidRDefault="003460D7" w:rsidP="003460D7">
      <w:pPr>
        <w:pStyle w:val="AFR4"/>
        <w:spacing w:after="240"/>
        <w:rPr>
          <w:rFonts w:eastAsiaTheme="majorEastAsia" w:cstheme="minorHAnsi"/>
          <w:i/>
          <w:iCs/>
          <w:smallCaps/>
          <w:noProof/>
          <w:color w:val="000000" w:themeColor="text1"/>
          <w:sz w:val="26"/>
          <w:szCs w:val="26"/>
          <w:u w:val="none" w:color="5B9BD5"/>
        </w:rPr>
      </w:pPr>
      <w:r>
        <w:rPr>
          <w:rFonts w:eastAsiaTheme="majorEastAsia" w:cstheme="minorHAnsi"/>
          <w:i/>
          <w:iCs/>
          <w:smallCaps/>
          <w:noProof/>
          <w:color w:val="000000" w:themeColor="text1"/>
          <w:sz w:val="26"/>
          <w:szCs w:val="26"/>
          <w:u w:val="none" w:color="5B9BD5"/>
        </w:rPr>
        <w:lastRenderedPageBreak/>
        <w:t>18. PRIOR PERIOD ADJUSTMENTS</w:t>
      </w:r>
      <w:r w:rsidRPr="00F54559">
        <w:rPr>
          <w:rFonts w:eastAsiaTheme="majorEastAsia" w:cstheme="minorHAnsi"/>
          <w:i/>
          <w:iCs/>
          <w:smallCaps/>
          <w:noProof/>
          <w:color w:val="000000" w:themeColor="text1"/>
          <w:sz w:val="26"/>
          <w:szCs w:val="26"/>
          <w:u w:val="none" w:color="5B9BD5"/>
        </w:rPr>
        <w:t xml:space="preserve"> - CONTINUED</w:t>
      </w:r>
    </w:p>
    <w:p w14:paraId="168D86F2" w14:textId="67F92467" w:rsidR="00965321" w:rsidRDefault="003460D7" w:rsidP="00051D7E">
      <w:pPr>
        <w:spacing w:after="160" w:line="259" w:lineRule="auto"/>
        <w:rPr>
          <w:rFonts w:cstheme="minorHAnsi"/>
          <w:sz w:val="24"/>
          <w:szCs w:val="20"/>
        </w:rPr>
      </w:pPr>
      <w:r>
        <w:rPr>
          <w:rFonts w:cstheme="minorHAnsi"/>
          <w:sz w:val="24"/>
          <w:szCs w:val="20"/>
        </w:rPr>
        <w:t xml:space="preserve">the impact of GASB No. 84, and the restated FY20 balances. </w:t>
      </w:r>
      <w:r w:rsidR="00F60950">
        <w:rPr>
          <w:rFonts w:cstheme="minorHAnsi"/>
          <w:sz w:val="24"/>
          <w:szCs w:val="20"/>
        </w:rPr>
        <w:t>There was no impact on the System’s Statements of Revenues, Expenses, and Changes in Net Position.</w:t>
      </w:r>
    </w:p>
    <w:p w14:paraId="21CA3095" w14:textId="5F72FBE9" w:rsidR="00051D7E" w:rsidRDefault="00D426B9" w:rsidP="00051D7E">
      <w:pPr>
        <w:spacing w:after="160" w:line="259" w:lineRule="auto"/>
        <w:jc w:val="center"/>
        <w:rPr>
          <w:rFonts w:cstheme="minorHAnsi"/>
          <w:color w:val="FF0000"/>
          <w:sz w:val="24"/>
          <w:szCs w:val="20"/>
        </w:rPr>
      </w:pPr>
      <w:r w:rsidRPr="000512FC">
        <w:rPr>
          <w:b/>
          <w:noProof/>
          <w:sz w:val="24"/>
          <w:szCs w:val="24"/>
        </w:rPr>
        <w:drawing>
          <wp:inline distT="0" distB="0" distL="0" distR="0" wp14:anchorId="1BB611AA" wp14:editId="3848B93C">
            <wp:extent cx="5619750" cy="4425950"/>
            <wp:effectExtent l="0" t="0" r="0" b="0"/>
            <wp:docPr id="23" name="Picture 23" descr=" 2020 As Originally Stated Moved to Statements of Fiduciary Net Position 2020 as Restated&#10;   &#10;Assets   &#10;Cash  $9,659   $(2,377)  $7,282 &#10;Endowment investments  160,540   (25,857)  134,683 &#10;Other assets  1,048,530   -   1,048,530 &#10;Total Assets  1,218,729   (28,234)  1,190,495 &#10;Deferred Outflows of Resources  31,407   -   31,407 &#10;Total Assets and Deferred Outflows of Resources  $1,250,136   $(28,234)  $1,221,902 &#10;Liabilities   &#10;Unearned revenue and deposits  $15,486   $(22)  $15,464 &#10;Funds held for others - current portion  2,859   (2,355)  504 &#10;Funds held for others - noncurrent  26,058   (25,857)  201 &#10;Other liabilities  337,067   -   337,067 &#10;Total Liabilities  381,470   (28,234)  353,236 &#10;Deferred Inflows of Resources  36,558   -   36,558 &#10;Net Position  832,108   -   832,108 &#10;Total Liabilities, Deferred Inflows of Resources and Net Position  $1,250,136   $(28,234)  $1,22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9750" cy="4425950"/>
                    </a:xfrm>
                    <a:prstGeom prst="rect">
                      <a:avLst/>
                    </a:prstGeom>
                    <a:noFill/>
                    <a:ln>
                      <a:noFill/>
                    </a:ln>
                  </pic:spPr>
                </pic:pic>
              </a:graphicData>
            </a:graphic>
          </wp:inline>
        </w:drawing>
      </w:r>
    </w:p>
    <w:p w14:paraId="64B67F65" w14:textId="77777777" w:rsidR="00051D7E" w:rsidRPr="0023665A" w:rsidRDefault="00051D7E" w:rsidP="00051D7E">
      <w:pPr>
        <w:pStyle w:val="AFR2"/>
        <w:rPr>
          <w:rFonts w:cstheme="minorHAnsi"/>
          <w:color w:val="auto"/>
          <w:sz w:val="26"/>
          <w:szCs w:val="26"/>
          <w:u w:val="double"/>
        </w:rPr>
      </w:pPr>
      <w:r w:rsidRPr="0023665A">
        <w:rPr>
          <w:rFonts w:cstheme="minorHAnsi"/>
          <w:color w:val="auto"/>
          <w:sz w:val="26"/>
          <w:szCs w:val="26"/>
        </w:rPr>
        <w:t>19. UNCERTAINTIES</w:t>
      </w:r>
    </w:p>
    <w:p w14:paraId="48423988" w14:textId="77777777" w:rsidR="00051D7E" w:rsidRDefault="00051D7E" w:rsidP="00051D7E">
      <w:pPr>
        <w:rPr>
          <w:rFonts w:cstheme="minorHAnsi"/>
          <w:sz w:val="24"/>
          <w:szCs w:val="20"/>
        </w:rPr>
      </w:pPr>
      <w:r w:rsidRPr="00B30DB4">
        <w:rPr>
          <w:rFonts w:cstheme="minorHAnsi"/>
          <w:sz w:val="24"/>
          <w:szCs w:val="20"/>
        </w:rPr>
        <w:t xml:space="preserve">During </w:t>
      </w:r>
      <w:r>
        <w:rPr>
          <w:rFonts w:cstheme="minorHAnsi"/>
          <w:sz w:val="24"/>
          <w:szCs w:val="20"/>
        </w:rPr>
        <w:t>FY20, the World</w:t>
      </w:r>
      <w:r w:rsidRPr="0031699D">
        <w:rPr>
          <w:rFonts w:cstheme="minorHAnsi"/>
          <w:sz w:val="24"/>
          <w:szCs w:val="20"/>
        </w:rPr>
        <w:t xml:space="preserve"> Health Organization declared the spread of Coronavirus Disease</w:t>
      </w:r>
      <w:r>
        <w:rPr>
          <w:rFonts w:cstheme="minorHAnsi"/>
          <w:sz w:val="24"/>
          <w:szCs w:val="20"/>
        </w:rPr>
        <w:t xml:space="preserve"> </w:t>
      </w:r>
      <w:r w:rsidRPr="0031699D">
        <w:rPr>
          <w:rFonts w:cstheme="minorHAnsi"/>
          <w:sz w:val="24"/>
          <w:szCs w:val="20"/>
        </w:rPr>
        <w:t xml:space="preserve">(COVID-19) a worldwide pandemic. Subsequent to </w:t>
      </w:r>
      <w:r>
        <w:rPr>
          <w:rFonts w:cstheme="minorHAnsi"/>
          <w:sz w:val="24"/>
          <w:szCs w:val="20"/>
        </w:rPr>
        <w:t xml:space="preserve">the FY21 </w:t>
      </w:r>
      <w:r w:rsidRPr="0031699D">
        <w:rPr>
          <w:rFonts w:cstheme="minorHAnsi"/>
          <w:sz w:val="24"/>
          <w:szCs w:val="20"/>
        </w:rPr>
        <w:t>year-end, the COVID-19 pandemic continues to have</w:t>
      </w:r>
      <w:r>
        <w:rPr>
          <w:rFonts w:cstheme="minorHAnsi"/>
          <w:sz w:val="24"/>
          <w:szCs w:val="20"/>
        </w:rPr>
        <w:t xml:space="preserve"> </w:t>
      </w:r>
      <w:r w:rsidRPr="0031699D">
        <w:rPr>
          <w:rFonts w:cstheme="minorHAnsi"/>
          <w:sz w:val="24"/>
          <w:szCs w:val="20"/>
        </w:rPr>
        <w:t>significant effects on global markets, supply chains, businesses, communities, and the delivery of</w:t>
      </w:r>
      <w:r>
        <w:rPr>
          <w:rFonts w:cstheme="minorHAnsi"/>
          <w:sz w:val="24"/>
          <w:szCs w:val="20"/>
        </w:rPr>
        <w:t xml:space="preserve"> </w:t>
      </w:r>
      <w:r w:rsidRPr="0031699D">
        <w:rPr>
          <w:rFonts w:cstheme="minorHAnsi"/>
          <w:sz w:val="24"/>
          <w:szCs w:val="20"/>
        </w:rPr>
        <w:t xml:space="preserve">education. Specific to the System, COVID-19 may negatively impact various parts of its </w:t>
      </w:r>
      <w:r>
        <w:rPr>
          <w:rFonts w:cstheme="minorHAnsi"/>
          <w:sz w:val="24"/>
          <w:szCs w:val="20"/>
        </w:rPr>
        <w:t>FY</w:t>
      </w:r>
      <w:r w:rsidRPr="0031699D">
        <w:rPr>
          <w:rFonts w:cstheme="minorHAnsi"/>
          <w:sz w:val="24"/>
          <w:szCs w:val="20"/>
        </w:rPr>
        <w:t>2</w:t>
      </w:r>
      <w:r>
        <w:rPr>
          <w:rFonts w:cstheme="minorHAnsi"/>
          <w:sz w:val="24"/>
          <w:szCs w:val="20"/>
        </w:rPr>
        <w:t>2</w:t>
      </w:r>
      <w:r w:rsidRPr="0031699D">
        <w:rPr>
          <w:rFonts w:cstheme="minorHAnsi"/>
          <w:sz w:val="24"/>
          <w:szCs w:val="20"/>
        </w:rPr>
        <w:t xml:space="preserve"> operations</w:t>
      </w:r>
      <w:r>
        <w:rPr>
          <w:rFonts w:cstheme="minorHAnsi"/>
          <w:sz w:val="24"/>
          <w:szCs w:val="20"/>
        </w:rPr>
        <w:t xml:space="preserve"> </w:t>
      </w:r>
      <w:r w:rsidRPr="0031699D">
        <w:rPr>
          <w:rFonts w:cstheme="minorHAnsi"/>
          <w:sz w:val="24"/>
          <w:szCs w:val="20"/>
        </w:rPr>
        <w:t>and financial results, including, but not limited to, enrollment, auxiliary revenues, collections of</w:t>
      </w:r>
      <w:r>
        <w:rPr>
          <w:rFonts w:cstheme="minorHAnsi"/>
          <w:sz w:val="24"/>
          <w:szCs w:val="20"/>
        </w:rPr>
        <w:t xml:space="preserve"> </w:t>
      </w:r>
      <w:r w:rsidRPr="0031699D">
        <w:rPr>
          <w:rFonts w:cstheme="minorHAnsi"/>
          <w:sz w:val="24"/>
          <w:szCs w:val="20"/>
        </w:rPr>
        <w:t xml:space="preserve">receivables, operating costs </w:t>
      </w:r>
      <w:r>
        <w:rPr>
          <w:rFonts w:cstheme="minorHAnsi"/>
          <w:sz w:val="24"/>
          <w:szCs w:val="20"/>
        </w:rPr>
        <w:t xml:space="preserve">and </w:t>
      </w:r>
      <w:r w:rsidRPr="0031699D">
        <w:rPr>
          <w:rFonts w:cstheme="minorHAnsi"/>
          <w:sz w:val="24"/>
          <w:szCs w:val="20"/>
        </w:rPr>
        <w:t xml:space="preserve">personnel. Management </w:t>
      </w:r>
      <w:r>
        <w:rPr>
          <w:rFonts w:cstheme="minorHAnsi"/>
          <w:sz w:val="24"/>
          <w:szCs w:val="20"/>
        </w:rPr>
        <w:t>is</w:t>
      </w:r>
      <w:r w:rsidRPr="0031699D">
        <w:rPr>
          <w:rFonts w:cstheme="minorHAnsi"/>
          <w:sz w:val="24"/>
          <w:szCs w:val="20"/>
        </w:rPr>
        <w:t xml:space="preserve"> taking appropriate actions to mitigate impacts</w:t>
      </w:r>
      <w:r>
        <w:rPr>
          <w:rFonts w:cstheme="minorHAnsi"/>
          <w:sz w:val="24"/>
          <w:szCs w:val="20"/>
        </w:rPr>
        <w:t>; h</w:t>
      </w:r>
      <w:r w:rsidRPr="0031699D">
        <w:rPr>
          <w:rFonts w:cstheme="minorHAnsi"/>
          <w:sz w:val="24"/>
          <w:szCs w:val="20"/>
        </w:rPr>
        <w:t>owever, the full effect of COVID-19 is unknown and cannot be reasonably</w:t>
      </w:r>
      <w:r>
        <w:rPr>
          <w:rFonts w:cstheme="minorHAnsi"/>
          <w:sz w:val="24"/>
          <w:szCs w:val="20"/>
        </w:rPr>
        <w:t xml:space="preserve"> </w:t>
      </w:r>
      <w:r w:rsidRPr="0031699D">
        <w:rPr>
          <w:rFonts w:cstheme="minorHAnsi"/>
          <w:sz w:val="24"/>
          <w:szCs w:val="20"/>
        </w:rPr>
        <w:t>estimated as these events are still developing.</w:t>
      </w:r>
    </w:p>
    <w:p w14:paraId="261CABF3" w14:textId="77777777" w:rsidR="000D6B08" w:rsidRDefault="000D6B08" w:rsidP="00051D7E">
      <w:pPr>
        <w:rPr>
          <w:rFonts w:cstheme="minorHAnsi"/>
          <w:b/>
          <w:i/>
          <w:sz w:val="26"/>
          <w:szCs w:val="26"/>
          <w:u w:color="000000" w:themeColor="text1"/>
        </w:rPr>
        <w:sectPr w:rsidR="000D6B08" w:rsidSect="007531FB">
          <w:headerReference w:type="default" r:id="rId91"/>
          <w:headerReference w:type="first" r:id="rId92"/>
          <w:pgSz w:w="12240" w:h="15840" w:code="1"/>
          <w:pgMar w:top="1440" w:right="1440" w:bottom="1440" w:left="1440" w:header="720" w:footer="720" w:gutter="0"/>
          <w:cols w:space="0"/>
          <w:titlePg/>
          <w:docGrid w:linePitch="360"/>
        </w:sectPr>
      </w:pPr>
    </w:p>
    <w:p w14:paraId="20C47B7B" w14:textId="1AF78E59" w:rsidR="00051D7E" w:rsidRPr="00F54559" w:rsidRDefault="00051D7E" w:rsidP="00051D7E">
      <w:pPr>
        <w:rPr>
          <w:rFonts w:cstheme="minorHAnsi"/>
          <w:b/>
          <w:i/>
          <w:sz w:val="26"/>
          <w:szCs w:val="26"/>
          <w:u w:color="000000" w:themeColor="text1"/>
        </w:rPr>
      </w:pPr>
      <w:r w:rsidRPr="00F54559">
        <w:rPr>
          <w:rFonts w:cstheme="minorHAnsi"/>
          <w:b/>
          <w:i/>
          <w:sz w:val="26"/>
          <w:szCs w:val="26"/>
          <w:u w:color="000000" w:themeColor="text1"/>
        </w:rPr>
        <w:lastRenderedPageBreak/>
        <w:t>UNIVERSITY OF MAINE SYSTEM</w:t>
      </w:r>
    </w:p>
    <w:p w14:paraId="2CC1D522" w14:textId="77777777" w:rsidR="00051D7E" w:rsidRPr="00F54559" w:rsidRDefault="00051D7E" w:rsidP="00051D7E">
      <w:pPr>
        <w:pStyle w:val="AFR1"/>
        <w:spacing w:after="0"/>
        <w:rPr>
          <w:rFonts w:asciiTheme="minorHAnsi" w:hAnsiTheme="minorHAnsi" w:cstheme="minorHAnsi"/>
          <w:sz w:val="20"/>
          <w:szCs w:val="24"/>
        </w:rPr>
      </w:pPr>
      <w:r w:rsidRPr="00F54559">
        <w:rPr>
          <w:rFonts w:asciiTheme="minorHAnsi" w:hAnsiTheme="minorHAnsi" w:cstheme="minorHAnsi"/>
        </w:rPr>
        <w:t>Required Supplemental Information – Retirement and opeb Plans</w:t>
      </w:r>
      <w:r w:rsidRPr="00F54559">
        <w:rPr>
          <w:rFonts w:asciiTheme="minorHAnsi" w:hAnsiTheme="minorHAnsi" w:cstheme="minorHAnsi"/>
          <w:sz w:val="20"/>
          <w:szCs w:val="24"/>
        </w:rPr>
        <w:t xml:space="preserve"> </w:t>
      </w:r>
    </w:p>
    <w:p w14:paraId="231A3CB7" w14:textId="1599666D" w:rsidR="00051D7E" w:rsidRPr="00F54559" w:rsidRDefault="00051D7E" w:rsidP="00051D7E">
      <w:pPr>
        <w:pBdr>
          <w:bottom w:val="single" w:sz="18" w:space="1" w:color="00688D"/>
        </w:pBdr>
        <w:rPr>
          <w:rFonts w:cstheme="minorHAnsi"/>
          <w:b/>
          <w:i/>
          <w:sz w:val="26"/>
          <w:szCs w:val="26"/>
        </w:rPr>
      </w:pPr>
      <w:r w:rsidRPr="00F54559">
        <w:rPr>
          <w:rFonts w:cstheme="minorHAnsi"/>
          <w:b/>
          <w:i/>
          <w:sz w:val="26"/>
          <w:szCs w:val="26"/>
        </w:rPr>
        <w:t>YEAR ENDED JUNE 30, 20</w:t>
      </w:r>
      <w:r>
        <w:rPr>
          <w:rFonts w:cstheme="minorHAnsi"/>
          <w:b/>
          <w:i/>
          <w:sz w:val="26"/>
          <w:szCs w:val="26"/>
        </w:rPr>
        <w:t>2</w:t>
      </w:r>
      <w:r w:rsidR="00300546">
        <w:rPr>
          <w:rFonts w:cstheme="minorHAnsi"/>
          <w:b/>
          <w:i/>
          <w:sz w:val="26"/>
          <w:szCs w:val="26"/>
        </w:rPr>
        <w:t>1</w:t>
      </w:r>
      <w:r w:rsidRPr="00F54559">
        <w:rPr>
          <w:rFonts w:cstheme="minorHAnsi"/>
          <w:b/>
          <w:i/>
          <w:sz w:val="26"/>
          <w:szCs w:val="26"/>
        </w:rPr>
        <w:t xml:space="preserve"> (UNAUDITED)</w:t>
      </w:r>
    </w:p>
    <w:p w14:paraId="4097F745" w14:textId="77777777" w:rsidR="00051D7E" w:rsidRPr="00F54559" w:rsidRDefault="00051D7E" w:rsidP="00051D7E">
      <w:pPr>
        <w:pBdr>
          <w:bottom w:val="single" w:sz="18" w:space="1" w:color="00688D"/>
        </w:pBdr>
        <w:rPr>
          <w:rFonts w:cstheme="minorHAnsi"/>
          <w:b/>
          <w:i/>
          <w:sz w:val="24"/>
          <w:szCs w:val="24"/>
        </w:rPr>
      </w:pPr>
      <w:r w:rsidRPr="00F54559">
        <w:rPr>
          <w:rFonts w:cstheme="minorHAnsi"/>
          <w:b/>
          <w:i/>
          <w:sz w:val="24"/>
          <w:szCs w:val="24"/>
        </w:rPr>
        <w:t>(IN THOUSANDS)</w:t>
      </w:r>
    </w:p>
    <w:p w14:paraId="20F5F426" w14:textId="77777777" w:rsidR="00051D7E" w:rsidRPr="009A3A6B" w:rsidRDefault="00051D7E" w:rsidP="00051D7E">
      <w:pPr>
        <w:pStyle w:val="AFR2"/>
        <w:spacing w:before="240" w:after="0"/>
        <w:rPr>
          <w:rFonts w:cstheme="minorHAnsi"/>
          <w:sz w:val="26"/>
          <w:szCs w:val="26"/>
        </w:rPr>
      </w:pPr>
      <w:r w:rsidRPr="009A3A6B">
        <w:rPr>
          <w:rFonts w:cstheme="minorHAnsi"/>
          <w:sz w:val="26"/>
          <w:szCs w:val="26"/>
        </w:rPr>
        <w:t>Incentive Retirement Plan:</w:t>
      </w:r>
    </w:p>
    <w:p w14:paraId="326E8E01" w14:textId="77777777" w:rsidR="00051D7E" w:rsidRPr="00924810" w:rsidRDefault="00051D7E" w:rsidP="00877A9B">
      <w:pPr>
        <w:spacing w:before="120"/>
        <w:jc w:val="center"/>
        <w:rPr>
          <w:rFonts w:eastAsia="Franklin Gothic Book" w:cstheme="minorHAnsi"/>
          <w:b/>
          <w:sz w:val="24"/>
          <w:szCs w:val="28"/>
        </w:rPr>
      </w:pPr>
      <w:r>
        <w:rPr>
          <w:rFonts w:ascii="Calibri" w:eastAsia="Times New Roman" w:hAnsi="Calibri" w:cs="Calibri"/>
          <w:b/>
          <w:bCs/>
          <w:color w:val="0D0D0D"/>
        </w:rPr>
        <w:fldChar w:fldCharType="begin"/>
      </w:r>
      <w:r>
        <w:rPr>
          <w:rFonts w:ascii="Calibri" w:eastAsia="Times New Roman" w:hAnsi="Calibri" w:cs="Calibri"/>
          <w:b/>
          <w:bCs/>
          <w:color w:val="0D0D0D"/>
        </w:rPr>
        <w:fldChar w:fldCharType="end"/>
      </w:r>
      <w:r w:rsidRPr="001B7651">
        <w:rPr>
          <w:rFonts w:ascii="Calibri" w:eastAsia="Times New Roman" w:hAnsi="Calibri" w:cs="Calibri"/>
          <w:b/>
          <w:bCs/>
          <w:color w:val="0D0D0D"/>
        </w:rPr>
        <w:t>Changes in Total Pension Liability and Related Ratios</w:t>
      </w:r>
    </w:p>
    <w:tbl>
      <w:tblPr>
        <w:tblW w:w="10843" w:type="dxa"/>
        <w:jc w:val="center"/>
        <w:tblLayout w:type="fixed"/>
        <w:tblCellMar>
          <w:left w:w="72" w:type="dxa"/>
          <w:right w:w="72" w:type="dxa"/>
        </w:tblCellMar>
        <w:tblLook w:val="04A0" w:firstRow="1" w:lastRow="0" w:firstColumn="1" w:lastColumn="0" w:noHBand="0" w:noVBand="1"/>
      </w:tblPr>
      <w:tblGrid>
        <w:gridCol w:w="4680"/>
        <w:gridCol w:w="877"/>
        <w:gridCol w:w="877"/>
        <w:gridCol w:w="877"/>
        <w:gridCol w:w="900"/>
        <w:gridCol w:w="877"/>
        <w:gridCol w:w="878"/>
        <w:gridCol w:w="877"/>
      </w:tblGrid>
      <w:tr w:rsidR="00051D7E" w:rsidRPr="001B7651" w14:paraId="6582F850" w14:textId="77777777" w:rsidTr="00877A9B">
        <w:trPr>
          <w:trHeight w:val="403"/>
          <w:tblHeader/>
          <w:jc w:val="center"/>
        </w:trPr>
        <w:tc>
          <w:tcPr>
            <w:tcW w:w="4680" w:type="dxa"/>
            <w:tcBorders>
              <w:top w:val="nil"/>
              <w:left w:val="nil"/>
              <w:bottom w:val="single" w:sz="12" w:space="0" w:color="00688D"/>
              <w:right w:val="nil"/>
            </w:tcBorders>
            <w:shd w:val="clear" w:color="000000" w:fill="FFFFFF"/>
            <w:vAlign w:val="bottom"/>
            <w:hideMark/>
          </w:tcPr>
          <w:p w14:paraId="564A8D6F" w14:textId="77777777" w:rsidR="00051D7E" w:rsidRPr="001B7651" w:rsidRDefault="00051D7E" w:rsidP="007531FB">
            <w:pPr>
              <w:rPr>
                <w:rFonts w:ascii="Calibri" w:eastAsia="Times New Roman" w:hAnsi="Calibri" w:cs="Calibri"/>
                <w:b/>
                <w:bCs/>
                <w:color w:val="0D0D0D"/>
              </w:rPr>
            </w:pPr>
            <w:r w:rsidRPr="001B7651">
              <w:rPr>
                <w:rFonts w:ascii="Calibri" w:eastAsia="Times New Roman" w:hAnsi="Calibri" w:cs="Calibri"/>
                <w:b/>
                <w:bCs/>
                <w:color w:val="0D0D0D"/>
              </w:rPr>
              <w:t>Fiscal Year Ended June 30</w:t>
            </w:r>
          </w:p>
        </w:tc>
        <w:tc>
          <w:tcPr>
            <w:tcW w:w="877" w:type="dxa"/>
            <w:tcBorders>
              <w:top w:val="nil"/>
              <w:left w:val="nil"/>
              <w:bottom w:val="single" w:sz="12" w:space="0" w:color="00688D"/>
              <w:right w:val="nil"/>
            </w:tcBorders>
            <w:shd w:val="clear" w:color="auto" w:fill="D9D9D9" w:themeFill="background1" w:themeFillShade="D9"/>
            <w:vAlign w:val="bottom"/>
          </w:tcPr>
          <w:p w14:paraId="55E67A7E" w14:textId="77777777" w:rsidR="00051D7E" w:rsidRPr="001B7651" w:rsidRDefault="00051D7E">
            <w:pPr>
              <w:jc w:val="center"/>
              <w:rPr>
                <w:rFonts w:ascii="Calibri" w:eastAsia="Times New Roman" w:hAnsi="Calibri" w:cs="Calibri"/>
                <w:b/>
                <w:bCs/>
                <w:color w:val="0D0D0D"/>
              </w:rPr>
            </w:pPr>
            <w:r>
              <w:rPr>
                <w:rFonts w:ascii="Calibri" w:eastAsia="Times New Roman" w:hAnsi="Calibri" w:cs="Calibri"/>
                <w:b/>
                <w:bCs/>
                <w:color w:val="0D0D0D"/>
              </w:rPr>
              <w:t>2021</w:t>
            </w:r>
          </w:p>
        </w:tc>
        <w:tc>
          <w:tcPr>
            <w:tcW w:w="877" w:type="dxa"/>
            <w:tcBorders>
              <w:top w:val="nil"/>
              <w:left w:val="nil"/>
              <w:bottom w:val="single" w:sz="12" w:space="0" w:color="00688D"/>
              <w:right w:val="nil"/>
            </w:tcBorders>
            <w:shd w:val="clear" w:color="000000" w:fill="FFFFFF"/>
            <w:noWrap/>
            <w:vAlign w:val="bottom"/>
            <w:hideMark/>
          </w:tcPr>
          <w:p w14:paraId="05F622E5"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2020</w:t>
            </w:r>
          </w:p>
        </w:tc>
        <w:tc>
          <w:tcPr>
            <w:tcW w:w="877" w:type="dxa"/>
            <w:tcBorders>
              <w:top w:val="nil"/>
              <w:left w:val="nil"/>
              <w:bottom w:val="single" w:sz="12" w:space="0" w:color="00688D"/>
              <w:right w:val="nil"/>
            </w:tcBorders>
            <w:shd w:val="clear" w:color="auto" w:fill="D9D9D9" w:themeFill="background1" w:themeFillShade="D9"/>
            <w:noWrap/>
            <w:vAlign w:val="bottom"/>
            <w:hideMark/>
          </w:tcPr>
          <w:p w14:paraId="4EA56CFA"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2019</w:t>
            </w:r>
          </w:p>
        </w:tc>
        <w:tc>
          <w:tcPr>
            <w:tcW w:w="900" w:type="dxa"/>
            <w:tcBorders>
              <w:top w:val="nil"/>
              <w:left w:val="nil"/>
              <w:bottom w:val="single" w:sz="12" w:space="0" w:color="00688D"/>
              <w:right w:val="nil"/>
            </w:tcBorders>
            <w:shd w:val="clear" w:color="000000" w:fill="FFFFFF"/>
            <w:noWrap/>
            <w:vAlign w:val="bottom"/>
            <w:hideMark/>
          </w:tcPr>
          <w:p w14:paraId="3B529F18"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2018</w:t>
            </w:r>
          </w:p>
        </w:tc>
        <w:tc>
          <w:tcPr>
            <w:tcW w:w="877" w:type="dxa"/>
            <w:tcBorders>
              <w:top w:val="nil"/>
              <w:left w:val="nil"/>
              <w:bottom w:val="single" w:sz="12" w:space="0" w:color="00688D"/>
              <w:right w:val="nil"/>
            </w:tcBorders>
            <w:shd w:val="clear" w:color="auto" w:fill="D9D9D9" w:themeFill="background1" w:themeFillShade="D9"/>
            <w:noWrap/>
            <w:vAlign w:val="bottom"/>
            <w:hideMark/>
          </w:tcPr>
          <w:p w14:paraId="6BAE2140"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2017</w:t>
            </w:r>
          </w:p>
        </w:tc>
        <w:tc>
          <w:tcPr>
            <w:tcW w:w="878" w:type="dxa"/>
            <w:tcBorders>
              <w:top w:val="nil"/>
              <w:left w:val="nil"/>
              <w:bottom w:val="single" w:sz="12" w:space="0" w:color="00688D"/>
              <w:right w:val="nil"/>
            </w:tcBorders>
            <w:shd w:val="clear" w:color="000000" w:fill="FFFFFF"/>
            <w:noWrap/>
            <w:vAlign w:val="bottom"/>
            <w:hideMark/>
          </w:tcPr>
          <w:p w14:paraId="123E83AC"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2016</w:t>
            </w:r>
          </w:p>
        </w:tc>
        <w:tc>
          <w:tcPr>
            <w:tcW w:w="877" w:type="dxa"/>
            <w:tcBorders>
              <w:top w:val="nil"/>
              <w:left w:val="nil"/>
              <w:bottom w:val="single" w:sz="12" w:space="0" w:color="00688D"/>
              <w:right w:val="nil"/>
            </w:tcBorders>
            <w:shd w:val="clear" w:color="auto" w:fill="D9D9D9" w:themeFill="background1" w:themeFillShade="D9"/>
            <w:noWrap/>
            <w:vAlign w:val="bottom"/>
            <w:hideMark/>
          </w:tcPr>
          <w:p w14:paraId="034E14DC"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2015</w:t>
            </w:r>
          </w:p>
        </w:tc>
      </w:tr>
      <w:tr w:rsidR="00051D7E" w:rsidRPr="001B7651" w14:paraId="3320F59A" w14:textId="77777777" w:rsidTr="00877A9B">
        <w:trPr>
          <w:trHeight w:val="302"/>
          <w:jc w:val="center"/>
        </w:trPr>
        <w:tc>
          <w:tcPr>
            <w:tcW w:w="4680" w:type="dxa"/>
            <w:tcBorders>
              <w:top w:val="nil"/>
              <w:left w:val="nil"/>
              <w:bottom w:val="nil"/>
              <w:right w:val="nil"/>
            </w:tcBorders>
            <w:shd w:val="clear" w:color="000000" w:fill="FFFFFF"/>
            <w:vAlign w:val="bottom"/>
            <w:hideMark/>
          </w:tcPr>
          <w:p w14:paraId="6C7CFE56"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Service cost</w:t>
            </w:r>
          </w:p>
        </w:tc>
        <w:tc>
          <w:tcPr>
            <w:tcW w:w="877" w:type="dxa"/>
            <w:tcBorders>
              <w:top w:val="nil"/>
              <w:left w:val="nil"/>
              <w:bottom w:val="nil"/>
              <w:right w:val="nil"/>
            </w:tcBorders>
            <w:shd w:val="clear" w:color="auto" w:fill="D9D9D9" w:themeFill="background1" w:themeFillShade="D9"/>
            <w:vAlign w:val="bottom"/>
          </w:tcPr>
          <w:p w14:paraId="123621F4"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 xml:space="preserve">$     </w:t>
            </w:r>
            <w:r>
              <w:rPr>
                <w:rFonts w:ascii="Calibri" w:eastAsia="Times New Roman" w:hAnsi="Calibri" w:cs="Calibri"/>
                <w:color w:val="0D0D0D"/>
              </w:rPr>
              <w:t>692</w:t>
            </w:r>
          </w:p>
        </w:tc>
        <w:tc>
          <w:tcPr>
            <w:tcW w:w="877" w:type="dxa"/>
            <w:tcBorders>
              <w:top w:val="nil"/>
              <w:left w:val="nil"/>
              <w:bottom w:val="nil"/>
              <w:right w:val="nil"/>
            </w:tcBorders>
            <w:shd w:val="clear" w:color="000000" w:fill="FFFFFF"/>
            <w:noWrap/>
            <w:vAlign w:val="bottom"/>
            <w:hideMark/>
          </w:tcPr>
          <w:p w14:paraId="41C15918"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     538</w:t>
            </w:r>
          </w:p>
        </w:tc>
        <w:tc>
          <w:tcPr>
            <w:tcW w:w="877" w:type="dxa"/>
            <w:tcBorders>
              <w:top w:val="nil"/>
              <w:left w:val="nil"/>
              <w:bottom w:val="nil"/>
              <w:right w:val="nil"/>
            </w:tcBorders>
            <w:shd w:val="clear" w:color="auto" w:fill="D9D9D9" w:themeFill="background1" w:themeFillShade="D9"/>
            <w:noWrap/>
            <w:vAlign w:val="bottom"/>
            <w:hideMark/>
          </w:tcPr>
          <w:p w14:paraId="3183C430"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     595</w:t>
            </w:r>
          </w:p>
        </w:tc>
        <w:tc>
          <w:tcPr>
            <w:tcW w:w="900" w:type="dxa"/>
            <w:tcBorders>
              <w:top w:val="nil"/>
              <w:left w:val="nil"/>
              <w:bottom w:val="nil"/>
              <w:right w:val="nil"/>
            </w:tcBorders>
            <w:shd w:val="clear" w:color="000000" w:fill="FFFFFF"/>
            <w:noWrap/>
            <w:vAlign w:val="bottom"/>
            <w:hideMark/>
          </w:tcPr>
          <w:p w14:paraId="270A3071"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     604</w:t>
            </w:r>
          </w:p>
        </w:tc>
        <w:tc>
          <w:tcPr>
            <w:tcW w:w="877" w:type="dxa"/>
            <w:tcBorders>
              <w:top w:val="nil"/>
              <w:left w:val="nil"/>
              <w:bottom w:val="nil"/>
              <w:right w:val="nil"/>
            </w:tcBorders>
            <w:shd w:val="clear" w:color="auto" w:fill="D9D9D9" w:themeFill="background1" w:themeFillShade="D9"/>
            <w:noWrap/>
            <w:vAlign w:val="bottom"/>
            <w:hideMark/>
          </w:tcPr>
          <w:p w14:paraId="4CF13212"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     862</w:t>
            </w:r>
          </w:p>
        </w:tc>
        <w:tc>
          <w:tcPr>
            <w:tcW w:w="878" w:type="dxa"/>
            <w:tcBorders>
              <w:top w:val="nil"/>
              <w:left w:val="nil"/>
              <w:bottom w:val="nil"/>
              <w:right w:val="nil"/>
            </w:tcBorders>
            <w:shd w:val="clear" w:color="000000" w:fill="FFFFFF"/>
            <w:noWrap/>
            <w:vAlign w:val="bottom"/>
            <w:hideMark/>
          </w:tcPr>
          <w:p w14:paraId="5C1AC044"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     718</w:t>
            </w:r>
          </w:p>
        </w:tc>
        <w:tc>
          <w:tcPr>
            <w:tcW w:w="877" w:type="dxa"/>
            <w:tcBorders>
              <w:top w:val="nil"/>
              <w:left w:val="nil"/>
              <w:bottom w:val="nil"/>
              <w:right w:val="nil"/>
            </w:tcBorders>
            <w:shd w:val="clear" w:color="auto" w:fill="D9D9D9" w:themeFill="background1" w:themeFillShade="D9"/>
            <w:noWrap/>
            <w:vAlign w:val="bottom"/>
            <w:hideMark/>
          </w:tcPr>
          <w:p w14:paraId="094EE7D8"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    880</w:t>
            </w:r>
          </w:p>
        </w:tc>
      </w:tr>
      <w:tr w:rsidR="00051D7E" w:rsidRPr="001B7651" w14:paraId="772B403F" w14:textId="77777777" w:rsidTr="00877A9B">
        <w:trPr>
          <w:trHeight w:val="290"/>
          <w:jc w:val="center"/>
        </w:trPr>
        <w:tc>
          <w:tcPr>
            <w:tcW w:w="4680" w:type="dxa"/>
            <w:tcBorders>
              <w:top w:val="nil"/>
              <w:left w:val="nil"/>
              <w:bottom w:val="nil"/>
              <w:right w:val="nil"/>
            </w:tcBorders>
            <w:shd w:val="clear" w:color="000000" w:fill="FFFFFF"/>
            <w:vAlign w:val="center"/>
            <w:hideMark/>
          </w:tcPr>
          <w:p w14:paraId="127AEE43"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Interest</w:t>
            </w:r>
          </w:p>
        </w:tc>
        <w:tc>
          <w:tcPr>
            <w:tcW w:w="877" w:type="dxa"/>
            <w:tcBorders>
              <w:top w:val="nil"/>
              <w:left w:val="nil"/>
              <w:bottom w:val="nil"/>
              <w:right w:val="nil"/>
            </w:tcBorders>
            <w:shd w:val="clear" w:color="auto" w:fill="D9D9D9" w:themeFill="background1" w:themeFillShade="D9"/>
            <w:vAlign w:val="bottom"/>
          </w:tcPr>
          <w:p w14:paraId="1113479A" w14:textId="7183417C" w:rsidR="00051D7E" w:rsidRDefault="00051D7E" w:rsidP="007531FB">
            <w:pPr>
              <w:jc w:val="right"/>
              <w:rPr>
                <w:rFonts w:ascii="Calibri" w:eastAsia="Times New Roman" w:hAnsi="Calibri" w:cs="Calibri"/>
                <w:color w:val="0D0D0D"/>
              </w:rPr>
            </w:pPr>
            <w:r>
              <w:rPr>
                <w:rFonts w:ascii="Calibri" w:hAnsi="Calibri" w:cs="Calibri"/>
              </w:rPr>
              <w:t xml:space="preserve">456 </w:t>
            </w:r>
          </w:p>
        </w:tc>
        <w:tc>
          <w:tcPr>
            <w:tcW w:w="877" w:type="dxa"/>
            <w:tcBorders>
              <w:top w:val="nil"/>
              <w:left w:val="nil"/>
              <w:bottom w:val="nil"/>
              <w:right w:val="nil"/>
            </w:tcBorders>
            <w:shd w:val="clear" w:color="000000" w:fill="FFFFFF"/>
            <w:noWrap/>
            <w:vAlign w:val="bottom"/>
            <w:hideMark/>
          </w:tcPr>
          <w:p w14:paraId="2BAE8875"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719</w:t>
            </w:r>
          </w:p>
        </w:tc>
        <w:tc>
          <w:tcPr>
            <w:tcW w:w="877" w:type="dxa"/>
            <w:tcBorders>
              <w:top w:val="nil"/>
              <w:left w:val="nil"/>
              <w:bottom w:val="nil"/>
              <w:right w:val="nil"/>
            </w:tcBorders>
            <w:shd w:val="clear" w:color="auto" w:fill="D9D9D9" w:themeFill="background1" w:themeFillShade="D9"/>
            <w:noWrap/>
            <w:vAlign w:val="bottom"/>
            <w:hideMark/>
          </w:tcPr>
          <w:p w14:paraId="61B5BC1B"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813</w:t>
            </w:r>
          </w:p>
        </w:tc>
        <w:tc>
          <w:tcPr>
            <w:tcW w:w="900" w:type="dxa"/>
            <w:tcBorders>
              <w:top w:val="nil"/>
              <w:left w:val="nil"/>
              <w:bottom w:val="nil"/>
              <w:right w:val="nil"/>
            </w:tcBorders>
            <w:shd w:val="clear" w:color="000000" w:fill="FFFFFF"/>
            <w:noWrap/>
            <w:vAlign w:val="bottom"/>
            <w:hideMark/>
          </w:tcPr>
          <w:p w14:paraId="13FE3C37"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785</w:t>
            </w:r>
          </w:p>
        </w:tc>
        <w:tc>
          <w:tcPr>
            <w:tcW w:w="877" w:type="dxa"/>
            <w:tcBorders>
              <w:top w:val="nil"/>
              <w:left w:val="nil"/>
              <w:bottom w:val="nil"/>
              <w:right w:val="nil"/>
            </w:tcBorders>
            <w:shd w:val="clear" w:color="auto" w:fill="D9D9D9" w:themeFill="background1" w:themeFillShade="D9"/>
            <w:noWrap/>
            <w:vAlign w:val="bottom"/>
            <w:hideMark/>
          </w:tcPr>
          <w:p w14:paraId="1B58CCBF"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629</w:t>
            </w:r>
          </w:p>
        </w:tc>
        <w:tc>
          <w:tcPr>
            <w:tcW w:w="878" w:type="dxa"/>
            <w:tcBorders>
              <w:top w:val="nil"/>
              <w:left w:val="nil"/>
              <w:bottom w:val="nil"/>
              <w:right w:val="nil"/>
            </w:tcBorders>
            <w:shd w:val="clear" w:color="000000" w:fill="FFFFFF"/>
            <w:noWrap/>
            <w:vAlign w:val="bottom"/>
            <w:hideMark/>
          </w:tcPr>
          <w:p w14:paraId="38B368CB"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877</w:t>
            </w:r>
          </w:p>
        </w:tc>
        <w:tc>
          <w:tcPr>
            <w:tcW w:w="877" w:type="dxa"/>
            <w:tcBorders>
              <w:top w:val="nil"/>
              <w:left w:val="nil"/>
              <w:bottom w:val="nil"/>
              <w:right w:val="nil"/>
            </w:tcBorders>
            <w:shd w:val="clear" w:color="auto" w:fill="D9D9D9" w:themeFill="background1" w:themeFillShade="D9"/>
            <w:noWrap/>
            <w:vAlign w:val="bottom"/>
            <w:hideMark/>
          </w:tcPr>
          <w:p w14:paraId="55C8106E"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1,110</w:t>
            </w:r>
          </w:p>
        </w:tc>
      </w:tr>
      <w:tr w:rsidR="00051D7E" w:rsidRPr="001B7651" w14:paraId="469B8C8F" w14:textId="77777777" w:rsidTr="00877A9B">
        <w:trPr>
          <w:trHeight w:val="290"/>
          <w:jc w:val="center"/>
        </w:trPr>
        <w:tc>
          <w:tcPr>
            <w:tcW w:w="4680" w:type="dxa"/>
            <w:tcBorders>
              <w:top w:val="nil"/>
              <w:left w:val="nil"/>
              <w:bottom w:val="nil"/>
              <w:right w:val="nil"/>
            </w:tcBorders>
            <w:shd w:val="clear" w:color="000000" w:fill="FFFFFF"/>
            <w:vAlign w:val="center"/>
            <w:hideMark/>
          </w:tcPr>
          <w:p w14:paraId="514CAD7E"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 xml:space="preserve">Differences between expected and actual experience </w:t>
            </w:r>
          </w:p>
        </w:tc>
        <w:tc>
          <w:tcPr>
            <w:tcW w:w="877" w:type="dxa"/>
            <w:tcBorders>
              <w:top w:val="nil"/>
              <w:left w:val="nil"/>
              <w:bottom w:val="nil"/>
              <w:right w:val="nil"/>
            </w:tcBorders>
            <w:shd w:val="clear" w:color="auto" w:fill="D9D9D9" w:themeFill="background1" w:themeFillShade="D9"/>
            <w:vAlign w:val="bottom"/>
          </w:tcPr>
          <w:p w14:paraId="05A89750" w14:textId="53742716" w:rsidR="00051D7E" w:rsidRPr="001B7651" w:rsidRDefault="00051D7E" w:rsidP="007531FB">
            <w:pPr>
              <w:jc w:val="right"/>
              <w:rPr>
                <w:rFonts w:ascii="Calibri" w:eastAsia="Times New Roman" w:hAnsi="Calibri" w:cs="Calibri"/>
                <w:color w:val="0D0D0D"/>
              </w:rPr>
            </w:pPr>
            <w:r>
              <w:rPr>
                <w:rFonts w:ascii="Calibri" w:hAnsi="Calibri" w:cs="Calibri"/>
              </w:rPr>
              <w:t xml:space="preserve">833 </w:t>
            </w:r>
          </w:p>
        </w:tc>
        <w:tc>
          <w:tcPr>
            <w:tcW w:w="877" w:type="dxa"/>
            <w:tcBorders>
              <w:top w:val="nil"/>
              <w:left w:val="nil"/>
              <w:bottom w:val="nil"/>
              <w:right w:val="nil"/>
            </w:tcBorders>
            <w:shd w:val="clear" w:color="000000" w:fill="FFFFFF"/>
            <w:noWrap/>
            <w:vAlign w:val="bottom"/>
            <w:hideMark/>
          </w:tcPr>
          <w:p w14:paraId="2FC1980D"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p>
        </w:tc>
        <w:tc>
          <w:tcPr>
            <w:tcW w:w="877" w:type="dxa"/>
            <w:tcBorders>
              <w:top w:val="nil"/>
              <w:left w:val="nil"/>
              <w:bottom w:val="nil"/>
              <w:right w:val="nil"/>
            </w:tcBorders>
            <w:shd w:val="clear" w:color="auto" w:fill="D9D9D9" w:themeFill="background1" w:themeFillShade="D9"/>
            <w:noWrap/>
            <w:vAlign w:val="bottom"/>
            <w:hideMark/>
          </w:tcPr>
          <w:p w14:paraId="30F30935"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(217)</w:t>
            </w:r>
          </w:p>
        </w:tc>
        <w:tc>
          <w:tcPr>
            <w:tcW w:w="900" w:type="dxa"/>
            <w:tcBorders>
              <w:top w:val="nil"/>
              <w:left w:val="nil"/>
              <w:bottom w:val="nil"/>
              <w:right w:val="nil"/>
            </w:tcBorders>
            <w:shd w:val="clear" w:color="000000" w:fill="FFFFFF"/>
            <w:noWrap/>
            <w:vAlign w:val="bottom"/>
            <w:hideMark/>
          </w:tcPr>
          <w:p w14:paraId="76B511F7"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p>
        </w:tc>
        <w:tc>
          <w:tcPr>
            <w:tcW w:w="877" w:type="dxa"/>
            <w:tcBorders>
              <w:top w:val="nil"/>
              <w:left w:val="nil"/>
              <w:bottom w:val="nil"/>
              <w:right w:val="nil"/>
            </w:tcBorders>
            <w:shd w:val="clear" w:color="auto" w:fill="D9D9D9" w:themeFill="background1" w:themeFillShade="D9"/>
            <w:noWrap/>
            <w:vAlign w:val="bottom"/>
            <w:hideMark/>
          </w:tcPr>
          <w:p w14:paraId="1B7F1729"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1,287</w:t>
            </w:r>
          </w:p>
        </w:tc>
        <w:tc>
          <w:tcPr>
            <w:tcW w:w="878" w:type="dxa"/>
            <w:tcBorders>
              <w:top w:val="nil"/>
              <w:left w:val="nil"/>
              <w:bottom w:val="nil"/>
              <w:right w:val="nil"/>
            </w:tcBorders>
            <w:shd w:val="clear" w:color="000000" w:fill="FFFFFF"/>
            <w:noWrap/>
            <w:vAlign w:val="bottom"/>
            <w:hideMark/>
          </w:tcPr>
          <w:p w14:paraId="75A83F0E"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p>
        </w:tc>
        <w:tc>
          <w:tcPr>
            <w:tcW w:w="877" w:type="dxa"/>
            <w:tcBorders>
              <w:top w:val="nil"/>
              <w:left w:val="nil"/>
              <w:bottom w:val="nil"/>
              <w:right w:val="nil"/>
            </w:tcBorders>
            <w:shd w:val="clear" w:color="auto" w:fill="D9D9D9" w:themeFill="background1" w:themeFillShade="D9"/>
            <w:noWrap/>
            <w:vAlign w:val="bottom"/>
            <w:hideMark/>
          </w:tcPr>
          <w:p w14:paraId="52880102"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(1,831)</w:t>
            </w:r>
          </w:p>
        </w:tc>
      </w:tr>
      <w:tr w:rsidR="00051D7E" w:rsidRPr="001B7651" w14:paraId="70CF5AE4" w14:textId="77777777" w:rsidTr="00877A9B">
        <w:trPr>
          <w:trHeight w:val="290"/>
          <w:jc w:val="center"/>
        </w:trPr>
        <w:tc>
          <w:tcPr>
            <w:tcW w:w="4680" w:type="dxa"/>
            <w:tcBorders>
              <w:top w:val="nil"/>
              <w:left w:val="nil"/>
              <w:bottom w:val="nil"/>
              <w:right w:val="nil"/>
            </w:tcBorders>
            <w:shd w:val="clear" w:color="000000" w:fill="FFFFFF"/>
            <w:noWrap/>
            <w:vAlign w:val="center"/>
            <w:hideMark/>
          </w:tcPr>
          <w:p w14:paraId="586C13D4"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Changes of assumptions and other inputs</w:t>
            </w:r>
          </w:p>
        </w:tc>
        <w:tc>
          <w:tcPr>
            <w:tcW w:w="877" w:type="dxa"/>
            <w:tcBorders>
              <w:top w:val="nil"/>
              <w:left w:val="nil"/>
              <w:bottom w:val="nil"/>
              <w:right w:val="nil"/>
            </w:tcBorders>
            <w:shd w:val="clear" w:color="auto" w:fill="D9D9D9" w:themeFill="background1" w:themeFillShade="D9"/>
            <w:vAlign w:val="bottom"/>
          </w:tcPr>
          <w:p w14:paraId="4541899A" w14:textId="33F35F28" w:rsidR="00051D7E" w:rsidRPr="001B7651" w:rsidRDefault="00051D7E" w:rsidP="007531FB">
            <w:pPr>
              <w:jc w:val="right"/>
              <w:rPr>
                <w:rFonts w:ascii="Calibri" w:eastAsia="Times New Roman" w:hAnsi="Calibri" w:cs="Calibri"/>
                <w:color w:val="0D0D0D"/>
              </w:rPr>
            </w:pPr>
            <w:r>
              <w:rPr>
                <w:rFonts w:ascii="Calibri" w:hAnsi="Calibri" w:cs="Calibri"/>
              </w:rPr>
              <w:t xml:space="preserve">376 </w:t>
            </w:r>
          </w:p>
        </w:tc>
        <w:tc>
          <w:tcPr>
            <w:tcW w:w="877" w:type="dxa"/>
            <w:tcBorders>
              <w:top w:val="nil"/>
              <w:left w:val="nil"/>
              <w:bottom w:val="nil"/>
              <w:right w:val="nil"/>
            </w:tcBorders>
            <w:shd w:val="clear" w:color="000000" w:fill="FFFFFF"/>
            <w:noWrap/>
            <w:vAlign w:val="bottom"/>
            <w:hideMark/>
          </w:tcPr>
          <w:p w14:paraId="7E48ADC3"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851</w:t>
            </w:r>
          </w:p>
        </w:tc>
        <w:tc>
          <w:tcPr>
            <w:tcW w:w="877" w:type="dxa"/>
            <w:tcBorders>
              <w:top w:val="nil"/>
              <w:left w:val="nil"/>
              <w:bottom w:val="nil"/>
              <w:right w:val="nil"/>
            </w:tcBorders>
            <w:shd w:val="clear" w:color="auto" w:fill="D9D9D9" w:themeFill="background1" w:themeFillShade="D9"/>
            <w:noWrap/>
            <w:vAlign w:val="bottom"/>
            <w:hideMark/>
          </w:tcPr>
          <w:p w14:paraId="453F035B"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562</w:t>
            </w:r>
          </w:p>
        </w:tc>
        <w:tc>
          <w:tcPr>
            <w:tcW w:w="900" w:type="dxa"/>
            <w:tcBorders>
              <w:top w:val="nil"/>
              <w:left w:val="nil"/>
              <w:bottom w:val="nil"/>
              <w:right w:val="nil"/>
            </w:tcBorders>
            <w:shd w:val="clear" w:color="000000" w:fill="FFFFFF"/>
            <w:noWrap/>
            <w:vAlign w:val="bottom"/>
            <w:hideMark/>
          </w:tcPr>
          <w:p w14:paraId="1D709B18"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(225)</w:t>
            </w:r>
          </w:p>
        </w:tc>
        <w:tc>
          <w:tcPr>
            <w:tcW w:w="877" w:type="dxa"/>
            <w:tcBorders>
              <w:top w:val="nil"/>
              <w:left w:val="nil"/>
              <w:bottom w:val="nil"/>
              <w:right w:val="nil"/>
            </w:tcBorders>
            <w:shd w:val="clear" w:color="auto" w:fill="D9D9D9" w:themeFill="background1" w:themeFillShade="D9"/>
            <w:noWrap/>
            <w:vAlign w:val="bottom"/>
            <w:hideMark/>
          </w:tcPr>
          <w:p w14:paraId="03FAA3D1"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(628)</w:t>
            </w:r>
          </w:p>
        </w:tc>
        <w:tc>
          <w:tcPr>
            <w:tcW w:w="878" w:type="dxa"/>
            <w:tcBorders>
              <w:top w:val="nil"/>
              <w:left w:val="nil"/>
              <w:bottom w:val="nil"/>
              <w:right w:val="nil"/>
            </w:tcBorders>
            <w:shd w:val="clear" w:color="000000" w:fill="FFFFFF"/>
            <w:noWrap/>
            <w:vAlign w:val="bottom"/>
            <w:hideMark/>
          </w:tcPr>
          <w:p w14:paraId="416B2FF7"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921</w:t>
            </w:r>
          </w:p>
        </w:tc>
        <w:tc>
          <w:tcPr>
            <w:tcW w:w="877" w:type="dxa"/>
            <w:tcBorders>
              <w:top w:val="nil"/>
              <w:left w:val="nil"/>
              <w:bottom w:val="nil"/>
              <w:right w:val="nil"/>
            </w:tcBorders>
            <w:shd w:val="clear" w:color="auto" w:fill="D9D9D9" w:themeFill="background1" w:themeFillShade="D9"/>
            <w:noWrap/>
            <w:vAlign w:val="bottom"/>
            <w:hideMark/>
          </w:tcPr>
          <w:p w14:paraId="481BE28F"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505</w:t>
            </w:r>
          </w:p>
        </w:tc>
      </w:tr>
      <w:tr w:rsidR="00051D7E" w:rsidRPr="001B7651" w14:paraId="2461B9CA" w14:textId="77777777" w:rsidTr="00877A9B">
        <w:trPr>
          <w:trHeight w:val="290"/>
          <w:jc w:val="center"/>
        </w:trPr>
        <w:tc>
          <w:tcPr>
            <w:tcW w:w="4680" w:type="dxa"/>
            <w:tcBorders>
              <w:top w:val="nil"/>
              <w:left w:val="nil"/>
              <w:bottom w:val="single" w:sz="4" w:space="0" w:color="5B9BD5"/>
              <w:right w:val="nil"/>
            </w:tcBorders>
            <w:shd w:val="clear" w:color="000000" w:fill="FFFFFF"/>
            <w:vAlign w:val="center"/>
            <w:hideMark/>
          </w:tcPr>
          <w:p w14:paraId="5DDEDFF3"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Benefit payments</w:t>
            </w:r>
          </w:p>
        </w:tc>
        <w:tc>
          <w:tcPr>
            <w:tcW w:w="877" w:type="dxa"/>
            <w:tcBorders>
              <w:top w:val="nil"/>
              <w:left w:val="nil"/>
              <w:bottom w:val="single" w:sz="4" w:space="0" w:color="5B9BD5"/>
              <w:right w:val="nil"/>
            </w:tcBorders>
            <w:shd w:val="clear" w:color="auto" w:fill="D9D9D9" w:themeFill="background1" w:themeFillShade="D9"/>
            <w:vAlign w:val="bottom"/>
          </w:tcPr>
          <w:p w14:paraId="4A4268AF" w14:textId="77777777" w:rsidR="00051D7E" w:rsidRPr="001B7651" w:rsidRDefault="00051D7E" w:rsidP="007531FB">
            <w:pPr>
              <w:jc w:val="right"/>
              <w:rPr>
                <w:rFonts w:ascii="Calibri" w:eastAsia="Times New Roman" w:hAnsi="Calibri" w:cs="Calibri"/>
                <w:color w:val="0D0D0D"/>
              </w:rPr>
            </w:pPr>
            <w:r>
              <w:rPr>
                <w:rFonts w:ascii="Calibri" w:hAnsi="Calibri" w:cs="Calibri"/>
              </w:rPr>
              <w:t xml:space="preserve"> (2,198)</w:t>
            </w:r>
          </w:p>
        </w:tc>
        <w:tc>
          <w:tcPr>
            <w:tcW w:w="877" w:type="dxa"/>
            <w:tcBorders>
              <w:top w:val="nil"/>
              <w:left w:val="nil"/>
              <w:bottom w:val="single" w:sz="4" w:space="0" w:color="5B9BD5"/>
              <w:right w:val="nil"/>
            </w:tcBorders>
            <w:shd w:val="clear" w:color="000000" w:fill="FFFFFF"/>
            <w:noWrap/>
            <w:vAlign w:val="bottom"/>
            <w:hideMark/>
          </w:tcPr>
          <w:p w14:paraId="70B6E1A1"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(2,141)</w:t>
            </w:r>
          </w:p>
        </w:tc>
        <w:tc>
          <w:tcPr>
            <w:tcW w:w="877" w:type="dxa"/>
            <w:tcBorders>
              <w:top w:val="nil"/>
              <w:left w:val="nil"/>
              <w:bottom w:val="single" w:sz="4" w:space="0" w:color="5B9BD5"/>
              <w:right w:val="nil"/>
            </w:tcBorders>
            <w:shd w:val="clear" w:color="auto" w:fill="D9D9D9" w:themeFill="background1" w:themeFillShade="D9"/>
            <w:noWrap/>
            <w:vAlign w:val="bottom"/>
            <w:hideMark/>
          </w:tcPr>
          <w:p w14:paraId="32FAD872"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(2,175)</w:t>
            </w:r>
          </w:p>
        </w:tc>
        <w:tc>
          <w:tcPr>
            <w:tcW w:w="900" w:type="dxa"/>
            <w:tcBorders>
              <w:top w:val="nil"/>
              <w:left w:val="nil"/>
              <w:bottom w:val="single" w:sz="4" w:space="0" w:color="5B9BD5"/>
              <w:right w:val="nil"/>
            </w:tcBorders>
            <w:shd w:val="clear" w:color="000000" w:fill="FFFFFF"/>
            <w:noWrap/>
            <w:vAlign w:val="bottom"/>
            <w:hideMark/>
          </w:tcPr>
          <w:p w14:paraId="5C4E6A19"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(1,972)</w:t>
            </w:r>
          </w:p>
        </w:tc>
        <w:tc>
          <w:tcPr>
            <w:tcW w:w="877" w:type="dxa"/>
            <w:tcBorders>
              <w:top w:val="nil"/>
              <w:left w:val="nil"/>
              <w:bottom w:val="single" w:sz="4" w:space="0" w:color="5B9BD5"/>
              <w:right w:val="nil"/>
            </w:tcBorders>
            <w:shd w:val="clear" w:color="auto" w:fill="D9D9D9" w:themeFill="background1" w:themeFillShade="D9"/>
            <w:noWrap/>
            <w:vAlign w:val="bottom"/>
            <w:hideMark/>
          </w:tcPr>
          <w:p w14:paraId="4749355F"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(2,084)</w:t>
            </w:r>
          </w:p>
        </w:tc>
        <w:tc>
          <w:tcPr>
            <w:tcW w:w="878" w:type="dxa"/>
            <w:tcBorders>
              <w:top w:val="nil"/>
              <w:left w:val="nil"/>
              <w:bottom w:val="single" w:sz="4" w:space="0" w:color="5B9BD5"/>
              <w:right w:val="nil"/>
            </w:tcBorders>
            <w:shd w:val="clear" w:color="000000" w:fill="FFFFFF"/>
            <w:noWrap/>
            <w:vAlign w:val="bottom"/>
            <w:hideMark/>
          </w:tcPr>
          <w:p w14:paraId="5E9153C1"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(5,260)</w:t>
            </w:r>
          </w:p>
        </w:tc>
        <w:tc>
          <w:tcPr>
            <w:tcW w:w="877" w:type="dxa"/>
            <w:tcBorders>
              <w:top w:val="nil"/>
              <w:left w:val="nil"/>
              <w:bottom w:val="single" w:sz="4" w:space="0" w:color="5B9BD5"/>
              <w:right w:val="nil"/>
            </w:tcBorders>
            <w:shd w:val="clear" w:color="auto" w:fill="D9D9D9" w:themeFill="background1" w:themeFillShade="D9"/>
            <w:noWrap/>
            <w:vAlign w:val="bottom"/>
            <w:hideMark/>
          </w:tcPr>
          <w:p w14:paraId="0846EF94"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(3,114)</w:t>
            </w:r>
          </w:p>
        </w:tc>
      </w:tr>
      <w:tr w:rsidR="00051D7E" w:rsidRPr="001B7651" w14:paraId="7BD1AC04" w14:textId="77777777" w:rsidTr="00877A9B">
        <w:trPr>
          <w:trHeight w:val="290"/>
          <w:jc w:val="center"/>
        </w:trPr>
        <w:tc>
          <w:tcPr>
            <w:tcW w:w="4680" w:type="dxa"/>
            <w:tcBorders>
              <w:top w:val="nil"/>
              <w:left w:val="nil"/>
              <w:bottom w:val="nil"/>
              <w:right w:val="nil"/>
            </w:tcBorders>
            <w:shd w:val="clear" w:color="000000" w:fill="FFFFFF"/>
            <w:vAlign w:val="center"/>
            <w:hideMark/>
          </w:tcPr>
          <w:p w14:paraId="542136A0"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Net change in total pension liability</w:t>
            </w:r>
          </w:p>
        </w:tc>
        <w:tc>
          <w:tcPr>
            <w:tcW w:w="877" w:type="dxa"/>
            <w:tcBorders>
              <w:top w:val="nil"/>
              <w:left w:val="nil"/>
              <w:bottom w:val="nil"/>
              <w:right w:val="nil"/>
            </w:tcBorders>
            <w:shd w:val="clear" w:color="auto" w:fill="D9D9D9" w:themeFill="background1" w:themeFillShade="D9"/>
            <w:vAlign w:val="bottom"/>
          </w:tcPr>
          <w:p w14:paraId="19397377" w14:textId="1A965C6C" w:rsidR="00051D7E" w:rsidRPr="001B7651" w:rsidRDefault="00051D7E" w:rsidP="007531FB">
            <w:pPr>
              <w:jc w:val="right"/>
              <w:rPr>
                <w:rFonts w:ascii="Calibri" w:eastAsia="Times New Roman" w:hAnsi="Calibri" w:cs="Calibri"/>
                <w:color w:val="0D0D0D"/>
              </w:rPr>
            </w:pPr>
            <w:r>
              <w:rPr>
                <w:rFonts w:ascii="Calibri" w:hAnsi="Calibri" w:cs="Calibri"/>
                <w:color w:val="0D0D0D"/>
              </w:rPr>
              <w:t xml:space="preserve">159 </w:t>
            </w:r>
          </w:p>
        </w:tc>
        <w:tc>
          <w:tcPr>
            <w:tcW w:w="877" w:type="dxa"/>
            <w:tcBorders>
              <w:top w:val="nil"/>
              <w:left w:val="nil"/>
              <w:bottom w:val="nil"/>
              <w:right w:val="nil"/>
            </w:tcBorders>
            <w:shd w:val="clear" w:color="000000" w:fill="FFFFFF"/>
            <w:noWrap/>
            <w:vAlign w:val="bottom"/>
            <w:hideMark/>
          </w:tcPr>
          <w:p w14:paraId="4C0F5FD1"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(33)</w:t>
            </w:r>
          </w:p>
        </w:tc>
        <w:tc>
          <w:tcPr>
            <w:tcW w:w="877" w:type="dxa"/>
            <w:tcBorders>
              <w:top w:val="nil"/>
              <w:left w:val="nil"/>
              <w:bottom w:val="nil"/>
              <w:right w:val="nil"/>
            </w:tcBorders>
            <w:shd w:val="clear" w:color="auto" w:fill="D9D9D9" w:themeFill="background1" w:themeFillShade="D9"/>
            <w:noWrap/>
            <w:vAlign w:val="bottom"/>
            <w:hideMark/>
          </w:tcPr>
          <w:p w14:paraId="04DBA8A0"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(422)</w:t>
            </w:r>
          </w:p>
        </w:tc>
        <w:tc>
          <w:tcPr>
            <w:tcW w:w="900" w:type="dxa"/>
            <w:tcBorders>
              <w:top w:val="nil"/>
              <w:left w:val="nil"/>
              <w:bottom w:val="nil"/>
              <w:right w:val="nil"/>
            </w:tcBorders>
            <w:shd w:val="clear" w:color="000000" w:fill="FFFFFF"/>
            <w:noWrap/>
            <w:vAlign w:val="bottom"/>
            <w:hideMark/>
          </w:tcPr>
          <w:p w14:paraId="79E0B17A"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(808)</w:t>
            </w:r>
          </w:p>
        </w:tc>
        <w:tc>
          <w:tcPr>
            <w:tcW w:w="877" w:type="dxa"/>
            <w:tcBorders>
              <w:top w:val="nil"/>
              <w:left w:val="nil"/>
              <w:bottom w:val="nil"/>
              <w:right w:val="nil"/>
            </w:tcBorders>
            <w:shd w:val="clear" w:color="auto" w:fill="D9D9D9" w:themeFill="background1" w:themeFillShade="D9"/>
            <w:noWrap/>
            <w:vAlign w:val="bottom"/>
            <w:hideMark/>
          </w:tcPr>
          <w:p w14:paraId="3C058DBB"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 xml:space="preserve">66 </w:t>
            </w:r>
          </w:p>
        </w:tc>
        <w:tc>
          <w:tcPr>
            <w:tcW w:w="878" w:type="dxa"/>
            <w:tcBorders>
              <w:top w:val="nil"/>
              <w:left w:val="nil"/>
              <w:bottom w:val="nil"/>
              <w:right w:val="nil"/>
            </w:tcBorders>
            <w:shd w:val="clear" w:color="000000" w:fill="FFFFFF"/>
            <w:noWrap/>
            <w:vAlign w:val="bottom"/>
            <w:hideMark/>
          </w:tcPr>
          <w:p w14:paraId="3C1B14E0"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 xml:space="preserve"> (2,744)</w:t>
            </w:r>
          </w:p>
        </w:tc>
        <w:tc>
          <w:tcPr>
            <w:tcW w:w="877" w:type="dxa"/>
            <w:tcBorders>
              <w:top w:val="nil"/>
              <w:left w:val="nil"/>
              <w:bottom w:val="nil"/>
              <w:right w:val="nil"/>
            </w:tcBorders>
            <w:shd w:val="clear" w:color="auto" w:fill="D9D9D9" w:themeFill="background1" w:themeFillShade="D9"/>
            <w:noWrap/>
            <w:vAlign w:val="bottom"/>
            <w:hideMark/>
          </w:tcPr>
          <w:p w14:paraId="75FCBC53"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(2,450)</w:t>
            </w:r>
          </w:p>
        </w:tc>
      </w:tr>
      <w:tr w:rsidR="00051D7E" w:rsidRPr="001B7651" w14:paraId="24C6C831" w14:textId="77777777" w:rsidTr="00877A9B">
        <w:trPr>
          <w:trHeight w:val="363"/>
          <w:jc w:val="center"/>
        </w:trPr>
        <w:tc>
          <w:tcPr>
            <w:tcW w:w="4680" w:type="dxa"/>
            <w:tcBorders>
              <w:top w:val="nil"/>
              <w:left w:val="nil"/>
              <w:bottom w:val="nil"/>
              <w:right w:val="nil"/>
            </w:tcBorders>
            <w:shd w:val="clear" w:color="000000" w:fill="FFFFFF"/>
            <w:vAlign w:val="center"/>
            <w:hideMark/>
          </w:tcPr>
          <w:p w14:paraId="35C11D00"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 xml:space="preserve">Total pension liability – beginning </w:t>
            </w:r>
          </w:p>
        </w:tc>
        <w:tc>
          <w:tcPr>
            <w:tcW w:w="877" w:type="dxa"/>
            <w:tcBorders>
              <w:top w:val="nil"/>
              <w:left w:val="nil"/>
              <w:bottom w:val="nil"/>
              <w:right w:val="nil"/>
            </w:tcBorders>
            <w:shd w:val="clear" w:color="auto" w:fill="D9D9D9" w:themeFill="background1" w:themeFillShade="D9"/>
            <w:vAlign w:val="bottom"/>
          </w:tcPr>
          <w:p w14:paraId="4C82531B" w14:textId="77777777" w:rsidR="00051D7E" w:rsidRPr="001B7651" w:rsidRDefault="00051D7E" w:rsidP="007531FB">
            <w:pPr>
              <w:jc w:val="right"/>
              <w:rPr>
                <w:rFonts w:ascii="Calibri" w:eastAsia="Times New Roman" w:hAnsi="Calibri" w:cs="Calibri"/>
                <w:color w:val="0D0D0D"/>
              </w:rPr>
            </w:pPr>
            <w:r>
              <w:rPr>
                <w:rFonts w:ascii="Calibri" w:hAnsi="Calibri" w:cs="Calibri"/>
                <w:color w:val="0D0D0D"/>
              </w:rPr>
              <w:t xml:space="preserve"> 21,049 </w:t>
            </w:r>
          </w:p>
        </w:tc>
        <w:tc>
          <w:tcPr>
            <w:tcW w:w="877" w:type="dxa"/>
            <w:tcBorders>
              <w:top w:val="nil"/>
              <w:left w:val="nil"/>
              <w:bottom w:val="nil"/>
              <w:right w:val="nil"/>
            </w:tcBorders>
            <w:shd w:val="clear" w:color="000000" w:fill="FFFFFF"/>
            <w:noWrap/>
            <w:vAlign w:val="bottom"/>
            <w:hideMark/>
          </w:tcPr>
          <w:p w14:paraId="3EBAFEF0"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21,082</w:t>
            </w:r>
          </w:p>
        </w:tc>
        <w:tc>
          <w:tcPr>
            <w:tcW w:w="877" w:type="dxa"/>
            <w:tcBorders>
              <w:top w:val="nil"/>
              <w:left w:val="nil"/>
              <w:bottom w:val="nil"/>
              <w:right w:val="nil"/>
            </w:tcBorders>
            <w:shd w:val="clear" w:color="auto" w:fill="D9D9D9" w:themeFill="background1" w:themeFillShade="D9"/>
            <w:noWrap/>
            <w:vAlign w:val="bottom"/>
            <w:hideMark/>
          </w:tcPr>
          <w:p w14:paraId="26D305A5"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21,504</w:t>
            </w:r>
          </w:p>
        </w:tc>
        <w:tc>
          <w:tcPr>
            <w:tcW w:w="900" w:type="dxa"/>
            <w:tcBorders>
              <w:top w:val="nil"/>
              <w:left w:val="nil"/>
              <w:bottom w:val="nil"/>
              <w:right w:val="nil"/>
            </w:tcBorders>
            <w:shd w:val="clear" w:color="000000" w:fill="FFFFFF"/>
            <w:noWrap/>
            <w:vAlign w:val="bottom"/>
            <w:hideMark/>
          </w:tcPr>
          <w:p w14:paraId="088C5739"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22,312</w:t>
            </w:r>
          </w:p>
        </w:tc>
        <w:tc>
          <w:tcPr>
            <w:tcW w:w="877" w:type="dxa"/>
            <w:tcBorders>
              <w:top w:val="nil"/>
              <w:left w:val="nil"/>
              <w:bottom w:val="nil"/>
              <w:right w:val="nil"/>
            </w:tcBorders>
            <w:shd w:val="clear" w:color="auto" w:fill="D9D9D9" w:themeFill="background1" w:themeFillShade="D9"/>
            <w:noWrap/>
            <w:vAlign w:val="bottom"/>
            <w:hideMark/>
          </w:tcPr>
          <w:p w14:paraId="0AFAD5BD"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22,246</w:t>
            </w:r>
          </w:p>
        </w:tc>
        <w:tc>
          <w:tcPr>
            <w:tcW w:w="878" w:type="dxa"/>
            <w:tcBorders>
              <w:top w:val="nil"/>
              <w:left w:val="nil"/>
              <w:bottom w:val="nil"/>
              <w:right w:val="nil"/>
            </w:tcBorders>
            <w:shd w:val="clear" w:color="000000" w:fill="FFFFFF"/>
            <w:noWrap/>
            <w:vAlign w:val="bottom"/>
            <w:hideMark/>
          </w:tcPr>
          <w:p w14:paraId="53E677B2"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24,990</w:t>
            </w:r>
          </w:p>
        </w:tc>
        <w:tc>
          <w:tcPr>
            <w:tcW w:w="877" w:type="dxa"/>
            <w:tcBorders>
              <w:top w:val="nil"/>
              <w:left w:val="nil"/>
              <w:bottom w:val="nil"/>
              <w:right w:val="nil"/>
            </w:tcBorders>
            <w:shd w:val="clear" w:color="auto" w:fill="D9D9D9" w:themeFill="background1" w:themeFillShade="D9"/>
            <w:noWrap/>
            <w:vAlign w:val="bottom"/>
            <w:hideMark/>
          </w:tcPr>
          <w:p w14:paraId="4B8ABECE"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27,440</w:t>
            </w:r>
          </w:p>
        </w:tc>
      </w:tr>
      <w:tr w:rsidR="00051D7E" w:rsidRPr="001B7651" w14:paraId="269997AD" w14:textId="77777777" w:rsidTr="00877A9B">
        <w:trPr>
          <w:trHeight w:val="309"/>
          <w:jc w:val="center"/>
        </w:trPr>
        <w:tc>
          <w:tcPr>
            <w:tcW w:w="4680" w:type="dxa"/>
            <w:tcBorders>
              <w:top w:val="single" w:sz="4" w:space="0" w:color="00688D"/>
              <w:left w:val="nil"/>
              <w:bottom w:val="double" w:sz="6" w:space="0" w:color="00688D"/>
              <w:right w:val="nil"/>
            </w:tcBorders>
            <w:shd w:val="clear" w:color="000000" w:fill="FFFFFF"/>
            <w:vAlign w:val="center"/>
            <w:hideMark/>
          </w:tcPr>
          <w:p w14:paraId="78FAD418"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Total pension liability – ending</w:t>
            </w:r>
          </w:p>
        </w:tc>
        <w:tc>
          <w:tcPr>
            <w:tcW w:w="877" w:type="dxa"/>
            <w:tcBorders>
              <w:top w:val="single" w:sz="4" w:space="0" w:color="00688D"/>
              <w:left w:val="nil"/>
              <w:bottom w:val="double" w:sz="6" w:space="0" w:color="00688D"/>
              <w:right w:val="nil"/>
            </w:tcBorders>
            <w:shd w:val="clear" w:color="auto" w:fill="D9D9D9" w:themeFill="background1" w:themeFillShade="D9"/>
            <w:vAlign w:val="bottom"/>
          </w:tcPr>
          <w:p w14:paraId="49A783D2" w14:textId="77777777" w:rsidR="00051D7E" w:rsidRPr="001B7651" w:rsidRDefault="00051D7E" w:rsidP="007531FB">
            <w:pPr>
              <w:jc w:val="center"/>
              <w:rPr>
                <w:rFonts w:ascii="Calibri" w:eastAsia="Times New Roman" w:hAnsi="Calibri" w:cs="Calibri"/>
                <w:color w:val="0D0D0D"/>
              </w:rPr>
            </w:pPr>
            <w:r>
              <w:rPr>
                <w:rFonts w:ascii="Calibri" w:hAnsi="Calibri" w:cs="Calibri"/>
                <w:color w:val="0D0D0D"/>
              </w:rPr>
              <w:t xml:space="preserve">$21,208 </w:t>
            </w:r>
          </w:p>
        </w:tc>
        <w:tc>
          <w:tcPr>
            <w:tcW w:w="877" w:type="dxa"/>
            <w:tcBorders>
              <w:top w:val="single" w:sz="4" w:space="0" w:color="00688D"/>
              <w:left w:val="nil"/>
              <w:bottom w:val="double" w:sz="6" w:space="0" w:color="00688D"/>
              <w:right w:val="nil"/>
            </w:tcBorders>
            <w:shd w:val="clear" w:color="000000" w:fill="FFFFFF"/>
            <w:noWrap/>
            <w:vAlign w:val="bottom"/>
            <w:hideMark/>
          </w:tcPr>
          <w:p w14:paraId="3A78E6BB"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$21,049</w:t>
            </w:r>
          </w:p>
        </w:tc>
        <w:tc>
          <w:tcPr>
            <w:tcW w:w="877"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4B386CCC"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$21,082</w:t>
            </w:r>
          </w:p>
        </w:tc>
        <w:tc>
          <w:tcPr>
            <w:tcW w:w="900" w:type="dxa"/>
            <w:tcBorders>
              <w:top w:val="single" w:sz="4" w:space="0" w:color="00688D"/>
              <w:left w:val="nil"/>
              <w:bottom w:val="double" w:sz="6" w:space="0" w:color="00688D"/>
              <w:right w:val="nil"/>
            </w:tcBorders>
            <w:shd w:val="clear" w:color="000000" w:fill="FFFFFF"/>
            <w:noWrap/>
            <w:vAlign w:val="bottom"/>
            <w:hideMark/>
          </w:tcPr>
          <w:p w14:paraId="4EB2B848"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$21,504</w:t>
            </w:r>
          </w:p>
        </w:tc>
        <w:tc>
          <w:tcPr>
            <w:tcW w:w="877"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39548AC2"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$22,312</w:t>
            </w:r>
          </w:p>
        </w:tc>
        <w:tc>
          <w:tcPr>
            <w:tcW w:w="878" w:type="dxa"/>
            <w:tcBorders>
              <w:top w:val="single" w:sz="4" w:space="0" w:color="00688D"/>
              <w:left w:val="nil"/>
              <w:bottom w:val="double" w:sz="6" w:space="0" w:color="00688D"/>
              <w:right w:val="nil"/>
            </w:tcBorders>
            <w:shd w:val="clear" w:color="000000" w:fill="FFFFFF"/>
            <w:noWrap/>
            <w:vAlign w:val="bottom"/>
            <w:hideMark/>
          </w:tcPr>
          <w:p w14:paraId="7B5BFDD4"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$22,246</w:t>
            </w:r>
          </w:p>
        </w:tc>
        <w:tc>
          <w:tcPr>
            <w:tcW w:w="877"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1325A78D"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$24,990</w:t>
            </w:r>
          </w:p>
        </w:tc>
      </w:tr>
      <w:tr w:rsidR="00051D7E" w:rsidRPr="001B7651" w14:paraId="18BC1A7C" w14:textId="77777777" w:rsidTr="00877A9B">
        <w:trPr>
          <w:trHeight w:val="302"/>
          <w:jc w:val="center"/>
        </w:trPr>
        <w:tc>
          <w:tcPr>
            <w:tcW w:w="4680" w:type="dxa"/>
            <w:tcBorders>
              <w:top w:val="nil"/>
              <w:left w:val="nil"/>
              <w:bottom w:val="nil"/>
              <w:right w:val="nil"/>
            </w:tcBorders>
            <w:shd w:val="clear" w:color="000000" w:fill="FFFFFF"/>
            <w:noWrap/>
            <w:vAlign w:val="bottom"/>
            <w:hideMark/>
          </w:tcPr>
          <w:p w14:paraId="6D5C9E50"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Covered payroll</w:t>
            </w:r>
          </w:p>
        </w:tc>
        <w:tc>
          <w:tcPr>
            <w:tcW w:w="877" w:type="dxa"/>
            <w:tcBorders>
              <w:top w:val="nil"/>
              <w:left w:val="nil"/>
              <w:bottom w:val="nil"/>
              <w:right w:val="nil"/>
            </w:tcBorders>
            <w:shd w:val="clear" w:color="auto" w:fill="D9D9D9" w:themeFill="background1" w:themeFillShade="D9"/>
            <w:vAlign w:val="bottom"/>
          </w:tcPr>
          <w:p w14:paraId="1532546F" w14:textId="77777777" w:rsidR="00051D7E" w:rsidRPr="001B7651" w:rsidRDefault="00051D7E" w:rsidP="007531FB">
            <w:pPr>
              <w:jc w:val="right"/>
              <w:rPr>
                <w:rFonts w:ascii="Calibri" w:eastAsia="Times New Roman" w:hAnsi="Calibri" w:cs="Calibri"/>
                <w:color w:val="0D0D0D"/>
              </w:rPr>
            </w:pPr>
            <w:r>
              <w:rPr>
                <w:rFonts w:ascii="Calibri" w:hAnsi="Calibri" w:cs="Calibri"/>
              </w:rPr>
              <w:t xml:space="preserve">$62,646 </w:t>
            </w:r>
          </w:p>
        </w:tc>
        <w:tc>
          <w:tcPr>
            <w:tcW w:w="877" w:type="dxa"/>
            <w:tcBorders>
              <w:top w:val="nil"/>
              <w:left w:val="nil"/>
              <w:bottom w:val="nil"/>
              <w:right w:val="nil"/>
            </w:tcBorders>
            <w:shd w:val="clear" w:color="000000" w:fill="FFFFFF"/>
            <w:noWrap/>
            <w:vAlign w:val="bottom"/>
            <w:hideMark/>
          </w:tcPr>
          <w:p w14:paraId="46DDD30E"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$67,303</w:t>
            </w:r>
          </w:p>
        </w:tc>
        <w:tc>
          <w:tcPr>
            <w:tcW w:w="877" w:type="dxa"/>
            <w:tcBorders>
              <w:top w:val="nil"/>
              <w:left w:val="nil"/>
              <w:bottom w:val="nil"/>
              <w:right w:val="nil"/>
            </w:tcBorders>
            <w:shd w:val="clear" w:color="auto" w:fill="D9D9D9" w:themeFill="background1" w:themeFillShade="D9"/>
            <w:noWrap/>
            <w:vAlign w:val="bottom"/>
            <w:hideMark/>
          </w:tcPr>
          <w:p w14:paraId="46F6AAC9"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$68,685</w:t>
            </w:r>
          </w:p>
        </w:tc>
        <w:tc>
          <w:tcPr>
            <w:tcW w:w="900" w:type="dxa"/>
            <w:tcBorders>
              <w:top w:val="nil"/>
              <w:left w:val="nil"/>
              <w:bottom w:val="nil"/>
              <w:right w:val="nil"/>
            </w:tcBorders>
            <w:shd w:val="clear" w:color="000000" w:fill="FFFFFF"/>
            <w:noWrap/>
            <w:vAlign w:val="bottom"/>
            <w:hideMark/>
          </w:tcPr>
          <w:p w14:paraId="0002ADAD"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$72,541</w:t>
            </w:r>
          </w:p>
        </w:tc>
        <w:tc>
          <w:tcPr>
            <w:tcW w:w="877" w:type="dxa"/>
            <w:tcBorders>
              <w:top w:val="nil"/>
              <w:left w:val="nil"/>
              <w:bottom w:val="nil"/>
              <w:right w:val="nil"/>
            </w:tcBorders>
            <w:shd w:val="clear" w:color="auto" w:fill="D9D9D9" w:themeFill="background1" w:themeFillShade="D9"/>
            <w:noWrap/>
            <w:vAlign w:val="bottom"/>
            <w:hideMark/>
          </w:tcPr>
          <w:p w14:paraId="01CD725C"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$77,644</w:t>
            </w:r>
          </w:p>
        </w:tc>
        <w:tc>
          <w:tcPr>
            <w:tcW w:w="878" w:type="dxa"/>
            <w:tcBorders>
              <w:top w:val="nil"/>
              <w:left w:val="nil"/>
              <w:bottom w:val="nil"/>
              <w:right w:val="nil"/>
            </w:tcBorders>
            <w:shd w:val="clear" w:color="000000" w:fill="FFFFFF"/>
            <w:noWrap/>
            <w:vAlign w:val="bottom"/>
            <w:hideMark/>
          </w:tcPr>
          <w:p w14:paraId="41A8E2DA"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$95,653</w:t>
            </w:r>
          </w:p>
        </w:tc>
        <w:tc>
          <w:tcPr>
            <w:tcW w:w="877" w:type="dxa"/>
            <w:tcBorders>
              <w:top w:val="nil"/>
              <w:left w:val="nil"/>
              <w:bottom w:val="nil"/>
              <w:right w:val="nil"/>
            </w:tcBorders>
            <w:shd w:val="clear" w:color="auto" w:fill="D9D9D9" w:themeFill="background1" w:themeFillShade="D9"/>
            <w:noWrap/>
            <w:vAlign w:val="bottom"/>
            <w:hideMark/>
          </w:tcPr>
          <w:p w14:paraId="0713AC0D"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$92,419</w:t>
            </w:r>
          </w:p>
        </w:tc>
      </w:tr>
      <w:tr w:rsidR="00051D7E" w:rsidRPr="001B7651" w14:paraId="70B34CD8" w14:textId="77777777" w:rsidTr="00877A9B">
        <w:trPr>
          <w:trHeight w:val="290"/>
          <w:jc w:val="center"/>
        </w:trPr>
        <w:tc>
          <w:tcPr>
            <w:tcW w:w="4680" w:type="dxa"/>
            <w:tcBorders>
              <w:top w:val="nil"/>
              <w:left w:val="nil"/>
              <w:bottom w:val="single" w:sz="4" w:space="0" w:color="00688D"/>
              <w:right w:val="nil"/>
            </w:tcBorders>
            <w:shd w:val="clear" w:color="000000" w:fill="FFFFFF"/>
            <w:vAlign w:val="center"/>
            <w:hideMark/>
          </w:tcPr>
          <w:p w14:paraId="0350BD86"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Total pension liability as a percentage of covered payroll</w:t>
            </w:r>
          </w:p>
        </w:tc>
        <w:tc>
          <w:tcPr>
            <w:tcW w:w="877" w:type="dxa"/>
            <w:tcBorders>
              <w:top w:val="nil"/>
              <w:left w:val="nil"/>
              <w:bottom w:val="single" w:sz="4" w:space="0" w:color="00688D"/>
              <w:right w:val="nil"/>
            </w:tcBorders>
            <w:shd w:val="clear" w:color="auto" w:fill="D9D9D9" w:themeFill="background1" w:themeFillShade="D9"/>
            <w:vAlign w:val="bottom"/>
          </w:tcPr>
          <w:p w14:paraId="4B83732E" w14:textId="77777777" w:rsidR="00051D7E" w:rsidRPr="001B7651" w:rsidRDefault="00051D7E" w:rsidP="007531FB">
            <w:pPr>
              <w:jc w:val="right"/>
              <w:rPr>
                <w:rFonts w:ascii="Calibri" w:eastAsia="Times New Roman" w:hAnsi="Calibri" w:cs="Calibri"/>
                <w:color w:val="0D0D0D"/>
              </w:rPr>
            </w:pPr>
            <w:r>
              <w:rPr>
                <w:rFonts w:ascii="Calibri" w:hAnsi="Calibri" w:cs="Calibri"/>
                <w:color w:val="0D0D0D"/>
              </w:rPr>
              <w:t>33.85%</w:t>
            </w:r>
          </w:p>
        </w:tc>
        <w:tc>
          <w:tcPr>
            <w:tcW w:w="877" w:type="dxa"/>
            <w:tcBorders>
              <w:top w:val="nil"/>
              <w:left w:val="nil"/>
              <w:bottom w:val="single" w:sz="4" w:space="0" w:color="00688D"/>
              <w:right w:val="nil"/>
            </w:tcBorders>
            <w:shd w:val="clear" w:color="000000" w:fill="FFFFFF"/>
            <w:noWrap/>
            <w:vAlign w:val="bottom"/>
            <w:hideMark/>
          </w:tcPr>
          <w:p w14:paraId="0CE679B8"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31.27%</w:t>
            </w:r>
          </w:p>
        </w:tc>
        <w:tc>
          <w:tcPr>
            <w:tcW w:w="877" w:type="dxa"/>
            <w:tcBorders>
              <w:top w:val="nil"/>
              <w:left w:val="nil"/>
              <w:bottom w:val="single" w:sz="4" w:space="0" w:color="00688D"/>
              <w:right w:val="nil"/>
            </w:tcBorders>
            <w:shd w:val="clear" w:color="auto" w:fill="D9D9D9" w:themeFill="background1" w:themeFillShade="D9"/>
            <w:noWrap/>
            <w:vAlign w:val="bottom"/>
            <w:hideMark/>
          </w:tcPr>
          <w:p w14:paraId="00D82F56"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30.69%</w:t>
            </w:r>
          </w:p>
        </w:tc>
        <w:tc>
          <w:tcPr>
            <w:tcW w:w="900" w:type="dxa"/>
            <w:tcBorders>
              <w:top w:val="nil"/>
              <w:left w:val="nil"/>
              <w:bottom w:val="single" w:sz="4" w:space="0" w:color="00688D"/>
              <w:right w:val="nil"/>
            </w:tcBorders>
            <w:shd w:val="clear" w:color="000000" w:fill="FFFFFF"/>
            <w:noWrap/>
            <w:vAlign w:val="bottom"/>
            <w:hideMark/>
          </w:tcPr>
          <w:p w14:paraId="009C9F28"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29.64%</w:t>
            </w:r>
          </w:p>
        </w:tc>
        <w:tc>
          <w:tcPr>
            <w:tcW w:w="877" w:type="dxa"/>
            <w:tcBorders>
              <w:top w:val="nil"/>
              <w:left w:val="nil"/>
              <w:bottom w:val="single" w:sz="4" w:space="0" w:color="00688D"/>
              <w:right w:val="nil"/>
            </w:tcBorders>
            <w:shd w:val="clear" w:color="auto" w:fill="D9D9D9" w:themeFill="background1" w:themeFillShade="D9"/>
            <w:noWrap/>
            <w:vAlign w:val="bottom"/>
            <w:hideMark/>
          </w:tcPr>
          <w:p w14:paraId="13927BC1"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28.74%</w:t>
            </w:r>
          </w:p>
        </w:tc>
        <w:tc>
          <w:tcPr>
            <w:tcW w:w="878" w:type="dxa"/>
            <w:tcBorders>
              <w:top w:val="nil"/>
              <w:left w:val="nil"/>
              <w:bottom w:val="single" w:sz="4" w:space="0" w:color="00688D"/>
              <w:right w:val="nil"/>
            </w:tcBorders>
            <w:shd w:val="clear" w:color="000000" w:fill="FFFFFF"/>
            <w:noWrap/>
            <w:vAlign w:val="bottom"/>
            <w:hideMark/>
          </w:tcPr>
          <w:p w14:paraId="75A25F41"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23.26%</w:t>
            </w:r>
          </w:p>
        </w:tc>
        <w:tc>
          <w:tcPr>
            <w:tcW w:w="877" w:type="dxa"/>
            <w:tcBorders>
              <w:top w:val="nil"/>
              <w:left w:val="nil"/>
              <w:bottom w:val="single" w:sz="4" w:space="0" w:color="00688D"/>
              <w:right w:val="nil"/>
            </w:tcBorders>
            <w:shd w:val="clear" w:color="auto" w:fill="D9D9D9" w:themeFill="background1" w:themeFillShade="D9"/>
            <w:noWrap/>
            <w:vAlign w:val="bottom"/>
            <w:hideMark/>
          </w:tcPr>
          <w:p w14:paraId="712D44BF"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27.04%</w:t>
            </w:r>
          </w:p>
        </w:tc>
      </w:tr>
    </w:tbl>
    <w:p w14:paraId="43424F38" w14:textId="77777777" w:rsidR="00051D7E" w:rsidRPr="001E2C56" w:rsidRDefault="00051D7E" w:rsidP="00877A9B">
      <w:pPr>
        <w:spacing w:before="120"/>
        <w:jc w:val="center"/>
        <w:rPr>
          <w:sz w:val="28"/>
        </w:rPr>
      </w:pPr>
      <w:r w:rsidRPr="001B7651">
        <w:rPr>
          <w:rFonts w:ascii="Calibri" w:eastAsia="Times New Roman" w:hAnsi="Calibri" w:cs="Calibri"/>
          <w:b/>
          <w:bCs/>
          <w:color w:val="0D0D0D"/>
        </w:rPr>
        <w:t>Schedule of Employer Contributions</w:t>
      </w:r>
    </w:p>
    <w:tbl>
      <w:tblPr>
        <w:tblW w:w="11017" w:type="dxa"/>
        <w:jc w:val="center"/>
        <w:tblLayout w:type="fixed"/>
        <w:tblCellMar>
          <w:left w:w="72" w:type="dxa"/>
          <w:right w:w="72" w:type="dxa"/>
        </w:tblCellMar>
        <w:tblLook w:val="04A0" w:firstRow="1" w:lastRow="0" w:firstColumn="1" w:lastColumn="0" w:noHBand="0" w:noVBand="1"/>
      </w:tblPr>
      <w:tblGrid>
        <w:gridCol w:w="4680"/>
        <w:gridCol w:w="891"/>
        <w:gridCol w:w="891"/>
        <w:gridCol w:w="955"/>
        <w:gridCol w:w="900"/>
        <w:gridCol w:w="900"/>
        <w:gridCol w:w="900"/>
        <w:gridCol w:w="900"/>
      </w:tblGrid>
      <w:tr w:rsidR="00051D7E" w:rsidRPr="001B7651" w14:paraId="05A5127B" w14:textId="77777777" w:rsidTr="00877A9B">
        <w:trPr>
          <w:trHeight w:val="404"/>
          <w:tblHeader/>
          <w:jc w:val="center"/>
        </w:trPr>
        <w:tc>
          <w:tcPr>
            <w:tcW w:w="4680" w:type="dxa"/>
            <w:tcBorders>
              <w:top w:val="nil"/>
              <w:left w:val="nil"/>
              <w:bottom w:val="single" w:sz="12" w:space="0" w:color="00688D"/>
              <w:right w:val="nil"/>
            </w:tcBorders>
            <w:shd w:val="clear" w:color="000000" w:fill="FFFFFF"/>
            <w:vAlign w:val="bottom"/>
            <w:hideMark/>
          </w:tcPr>
          <w:p w14:paraId="61E5ED0F" w14:textId="77777777" w:rsidR="00051D7E" w:rsidRPr="001B7651" w:rsidRDefault="00051D7E" w:rsidP="007531FB">
            <w:pPr>
              <w:rPr>
                <w:rFonts w:ascii="Calibri" w:eastAsia="Times New Roman" w:hAnsi="Calibri" w:cs="Calibri"/>
                <w:b/>
                <w:bCs/>
                <w:color w:val="0D0D0D"/>
              </w:rPr>
            </w:pPr>
            <w:r w:rsidRPr="001B7651">
              <w:rPr>
                <w:rFonts w:ascii="Calibri" w:eastAsia="Times New Roman" w:hAnsi="Calibri" w:cs="Calibri"/>
                <w:b/>
                <w:bCs/>
                <w:color w:val="0D0D0D"/>
              </w:rPr>
              <w:t>Fiscal Year Ended June 30</w:t>
            </w:r>
          </w:p>
        </w:tc>
        <w:tc>
          <w:tcPr>
            <w:tcW w:w="891" w:type="dxa"/>
            <w:tcBorders>
              <w:top w:val="nil"/>
              <w:left w:val="nil"/>
              <w:bottom w:val="single" w:sz="12" w:space="0" w:color="00688D"/>
              <w:right w:val="nil"/>
            </w:tcBorders>
            <w:shd w:val="clear" w:color="auto" w:fill="D9D9D9" w:themeFill="background1" w:themeFillShade="D9"/>
            <w:vAlign w:val="bottom"/>
          </w:tcPr>
          <w:p w14:paraId="225EDDCB" w14:textId="77777777" w:rsidR="00051D7E" w:rsidRPr="001B7651" w:rsidRDefault="00051D7E">
            <w:pPr>
              <w:jc w:val="center"/>
              <w:rPr>
                <w:rFonts w:ascii="Calibri" w:eastAsia="Times New Roman" w:hAnsi="Calibri" w:cs="Calibri"/>
                <w:b/>
                <w:bCs/>
                <w:color w:val="0D0D0D"/>
              </w:rPr>
            </w:pPr>
            <w:r w:rsidRPr="006D7D32">
              <w:rPr>
                <w:rFonts w:ascii="Calibri" w:eastAsia="Times New Roman" w:hAnsi="Calibri" w:cs="Calibri"/>
                <w:b/>
                <w:bCs/>
                <w:color w:val="0D0D0D"/>
                <w:highlight w:val="lightGray"/>
              </w:rPr>
              <w:t>2021</w:t>
            </w:r>
          </w:p>
        </w:tc>
        <w:tc>
          <w:tcPr>
            <w:tcW w:w="891" w:type="dxa"/>
            <w:tcBorders>
              <w:top w:val="nil"/>
              <w:left w:val="nil"/>
              <w:bottom w:val="single" w:sz="12" w:space="0" w:color="00688D"/>
              <w:right w:val="nil"/>
            </w:tcBorders>
            <w:shd w:val="clear" w:color="000000" w:fill="FFFFFF"/>
            <w:noWrap/>
            <w:vAlign w:val="bottom"/>
            <w:hideMark/>
          </w:tcPr>
          <w:p w14:paraId="2C6F6E5E"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2020</w:t>
            </w:r>
          </w:p>
        </w:tc>
        <w:tc>
          <w:tcPr>
            <w:tcW w:w="955" w:type="dxa"/>
            <w:tcBorders>
              <w:top w:val="nil"/>
              <w:left w:val="nil"/>
              <w:bottom w:val="single" w:sz="12" w:space="0" w:color="00688D"/>
              <w:right w:val="nil"/>
            </w:tcBorders>
            <w:shd w:val="clear" w:color="auto" w:fill="D9D9D9" w:themeFill="background1" w:themeFillShade="D9"/>
            <w:noWrap/>
            <w:vAlign w:val="bottom"/>
            <w:hideMark/>
          </w:tcPr>
          <w:p w14:paraId="49E9D9C6"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2019</w:t>
            </w:r>
          </w:p>
        </w:tc>
        <w:tc>
          <w:tcPr>
            <w:tcW w:w="900" w:type="dxa"/>
            <w:tcBorders>
              <w:top w:val="nil"/>
              <w:left w:val="nil"/>
              <w:bottom w:val="single" w:sz="12" w:space="0" w:color="00688D"/>
              <w:right w:val="nil"/>
            </w:tcBorders>
            <w:shd w:val="clear" w:color="000000" w:fill="FFFFFF"/>
            <w:noWrap/>
            <w:vAlign w:val="bottom"/>
            <w:hideMark/>
          </w:tcPr>
          <w:p w14:paraId="2B5461AA"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2018</w:t>
            </w:r>
          </w:p>
        </w:tc>
        <w:tc>
          <w:tcPr>
            <w:tcW w:w="900" w:type="dxa"/>
            <w:tcBorders>
              <w:top w:val="nil"/>
              <w:left w:val="nil"/>
              <w:bottom w:val="single" w:sz="12" w:space="0" w:color="00688D"/>
              <w:right w:val="nil"/>
            </w:tcBorders>
            <w:shd w:val="clear" w:color="auto" w:fill="D9D9D9" w:themeFill="background1" w:themeFillShade="D9"/>
            <w:noWrap/>
            <w:vAlign w:val="bottom"/>
            <w:hideMark/>
          </w:tcPr>
          <w:p w14:paraId="5F337D57"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2017</w:t>
            </w:r>
          </w:p>
        </w:tc>
        <w:tc>
          <w:tcPr>
            <w:tcW w:w="900" w:type="dxa"/>
            <w:tcBorders>
              <w:top w:val="nil"/>
              <w:left w:val="nil"/>
              <w:bottom w:val="single" w:sz="12" w:space="0" w:color="00688D"/>
              <w:right w:val="nil"/>
            </w:tcBorders>
            <w:shd w:val="clear" w:color="000000" w:fill="FFFFFF"/>
            <w:noWrap/>
            <w:vAlign w:val="bottom"/>
            <w:hideMark/>
          </w:tcPr>
          <w:p w14:paraId="555C507D"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2016</w:t>
            </w:r>
          </w:p>
        </w:tc>
        <w:tc>
          <w:tcPr>
            <w:tcW w:w="900" w:type="dxa"/>
            <w:tcBorders>
              <w:top w:val="nil"/>
              <w:left w:val="nil"/>
              <w:bottom w:val="single" w:sz="12" w:space="0" w:color="00688D"/>
              <w:right w:val="nil"/>
            </w:tcBorders>
            <w:shd w:val="clear" w:color="auto" w:fill="D9D9D9" w:themeFill="background1" w:themeFillShade="D9"/>
            <w:noWrap/>
            <w:vAlign w:val="bottom"/>
            <w:hideMark/>
          </w:tcPr>
          <w:p w14:paraId="5188BC1A"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2015</w:t>
            </w:r>
          </w:p>
        </w:tc>
      </w:tr>
      <w:tr w:rsidR="00051D7E" w:rsidRPr="001B7651" w14:paraId="14B7F3F7" w14:textId="77777777" w:rsidTr="00877A9B">
        <w:trPr>
          <w:trHeight w:val="301"/>
          <w:jc w:val="center"/>
        </w:trPr>
        <w:tc>
          <w:tcPr>
            <w:tcW w:w="4680" w:type="dxa"/>
            <w:tcBorders>
              <w:top w:val="nil"/>
              <w:left w:val="nil"/>
              <w:bottom w:val="nil"/>
              <w:right w:val="nil"/>
            </w:tcBorders>
            <w:shd w:val="clear" w:color="000000" w:fill="FFFFFF"/>
            <w:vAlign w:val="center"/>
            <w:hideMark/>
          </w:tcPr>
          <w:p w14:paraId="28C2B4C7" w14:textId="77777777" w:rsidR="00051D7E" w:rsidRPr="001B7651" w:rsidRDefault="00051D7E" w:rsidP="00877A9B">
            <w:pPr>
              <w:ind w:right="-24"/>
              <w:rPr>
                <w:rFonts w:ascii="Calibri" w:eastAsia="Times New Roman" w:hAnsi="Calibri" w:cs="Calibri"/>
                <w:color w:val="0D0D0D"/>
              </w:rPr>
            </w:pPr>
            <w:r w:rsidRPr="001B7651">
              <w:rPr>
                <w:rFonts w:ascii="Calibri" w:eastAsia="Times New Roman" w:hAnsi="Calibri" w:cs="Calibri"/>
                <w:color w:val="0D0D0D"/>
              </w:rPr>
              <w:t>Actuarially determined contribution</w:t>
            </w:r>
          </w:p>
        </w:tc>
        <w:tc>
          <w:tcPr>
            <w:tcW w:w="891" w:type="dxa"/>
            <w:tcBorders>
              <w:top w:val="nil"/>
              <w:left w:val="nil"/>
              <w:bottom w:val="nil"/>
              <w:right w:val="nil"/>
            </w:tcBorders>
            <w:shd w:val="clear" w:color="auto" w:fill="D9D9D9" w:themeFill="background1" w:themeFillShade="D9"/>
            <w:vAlign w:val="bottom"/>
          </w:tcPr>
          <w:p w14:paraId="509E03B1" w14:textId="77777777" w:rsidR="00051D7E" w:rsidRDefault="00051D7E" w:rsidP="007531FB">
            <w:pPr>
              <w:jc w:val="right"/>
              <w:rPr>
                <w:rFonts w:ascii="Calibri" w:eastAsia="Times New Roman" w:hAnsi="Calibri" w:cs="Calibri"/>
                <w:color w:val="0D0D0D"/>
              </w:rPr>
            </w:pPr>
            <w:r>
              <w:rPr>
                <w:rFonts w:ascii="Calibri" w:eastAsia="Times New Roman" w:hAnsi="Calibri" w:cs="Calibri"/>
                <w:color w:val="0D0D0D"/>
              </w:rPr>
              <w:t>$           -</w:t>
            </w:r>
          </w:p>
        </w:tc>
        <w:tc>
          <w:tcPr>
            <w:tcW w:w="891" w:type="dxa"/>
            <w:tcBorders>
              <w:top w:val="nil"/>
              <w:left w:val="nil"/>
              <w:bottom w:val="nil"/>
              <w:right w:val="nil"/>
            </w:tcBorders>
            <w:shd w:val="clear" w:color="000000" w:fill="FFFFFF"/>
            <w:noWrap/>
            <w:vAlign w:val="bottom"/>
            <w:hideMark/>
          </w:tcPr>
          <w:p w14:paraId="59008F7E"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           -</w:t>
            </w:r>
          </w:p>
        </w:tc>
        <w:tc>
          <w:tcPr>
            <w:tcW w:w="955" w:type="dxa"/>
            <w:tcBorders>
              <w:top w:val="nil"/>
              <w:left w:val="nil"/>
              <w:bottom w:val="nil"/>
              <w:right w:val="nil"/>
            </w:tcBorders>
            <w:shd w:val="clear" w:color="auto" w:fill="D9D9D9" w:themeFill="background1" w:themeFillShade="D9"/>
            <w:noWrap/>
            <w:vAlign w:val="bottom"/>
            <w:hideMark/>
          </w:tcPr>
          <w:p w14:paraId="058DA7B9"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           -</w:t>
            </w:r>
          </w:p>
        </w:tc>
        <w:tc>
          <w:tcPr>
            <w:tcW w:w="900" w:type="dxa"/>
            <w:tcBorders>
              <w:top w:val="nil"/>
              <w:left w:val="nil"/>
              <w:bottom w:val="nil"/>
              <w:right w:val="nil"/>
            </w:tcBorders>
            <w:shd w:val="clear" w:color="000000" w:fill="FFFFFF"/>
            <w:noWrap/>
            <w:vAlign w:val="bottom"/>
            <w:hideMark/>
          </w:tcPr>
          <w:p w14:paraId="26681A9B"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           -</w:t>
            </w:r>
          </w:p>
        </w:tc>
        <w:tc>
          <w:tcPr>
            <w:tcW w:w="900" w:type="dxa"/>
            <w:tcBorders>
              <w:top w:val="nil"/>
              <w:left w:val="nil"/>
              <w:bottom w:val="nil"/>
              <w:right w:val="nil"/>
            </w:tcBorders>
            <w:shd w:val="clear" w:color="auto" w:fill="D9D9D9" w:themeFill="background1" w:themeFillShade="D9"/>
            <w:noWrap/>
            <w:vAlign w:val="bottom"/>
            <w:hideMark/>
          </w:tcPr>
          <w:p w14:paraId="02D18135"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           -</w:t>
            </w:r>
          </w:p>
        </w:tc>
        <w:tc>
          <w:tcPr>
            <w:tcW w:w="900" w:type="dxa"/>
            <w:tcBorders>
              <w:top w:val="nil"/>
              <w:left w:val="nil"/>
              <w:bottom w:val="nil"/>
              <w:right w:val="nil"/>
            </w:tcBorders>
            <w:shd w:val="clear" w:color="000000" w:fill="FFFFFF"/>
            <w:noWrap/>
            <w:vAlign w:val="bottom"/>
            <w:hideMark/>
          </w:tcPr>
          <w:p w14:paraId="3A567A03"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           -</w:t>
            </w:r>
          </w:p>
        </w:tc>
        <w:tc>
          <w:tcPr>
            <w:tcW w:w="900" w:type="dxa"/>
            <w:tcBorders>
              <w:top w:val="nil"/>
              <w:left w:val="nil"/>
              <w:bottom w:val="nil"/>
              <w:right w:val="nil"/>
            </w:tcBorders>
            <w:shd w:val="clear" w:color="auto" w:fill="D9D9D9" w:themeFill="background1" w:themeFillShade="D9"/>
            <w:noWrap/>
            <w:vAlign w:val="bottom"/>
            <w:hideMark/>
          </w:tcPr>
          <w:p w14:paraId="2293A1EE"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           -</w:t>
            </w:r>
          </w:p>
        </w:tc>
      </w:tr>
      <w:tr w:rsidR="00051D7E" w:rsidRPr="001B7651" w14:paraId="49589302" w14:textId="77777777" w:rsidTr="00877A9B">
        <w:trPr>
          <w:trHeight w:val="535"/>
          <w:jc w:val="center"/>
        </w:trPr>
        <w:tc>
          <w:tcPr>
            <w:tcW w:w="4680" w:type="dxa"/>
            <w:tcBorders>
              <w:top w:val="nil"/>
              <w:left w:val="nil"/>
              <w:bottom w:val="nil"/>
              <w:right w:val="nil"/>
            </w:tcBorders>
            <w:shd w:val="clear" w:color="000000" w:fill="FFFFFF"/>
            <w:vAlign w:val="center"/>
            <w:hideMark/>
          </w:tcPr>
          <w:p w14:paraId="70170FA9"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Contributions in relation to the actuarially determined contribution</w:t>
            </w:r>
          </w:p>
        </w:tc>
        <w:tc>
          <w:tcPr>
            <w:tcW w:w="891" w:type="dxa"/>
            <w:tcBorders>
              <w:top w:val="nil"/>
              <w:left w:val="nil"/>
              <w:bottom w:val="nil"/>
              <w:right w:val="nil"/>
            </w:tcBorders>
            <w:shd w:val="clear" w:color="auto" w:fill="D9D9D9" w:themeFill="background1" w:themeFillShade="D9"/>
            <w:vAlign w:val="bottom"/>
          </w:tcPr>
          <w:p w14:paraId="3FC0CACB"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w:t>
            </w:r>
            <w:r>
              <w:rPr>
                <w:rFonts w:ascii="Calibri" w:eastAsia="Times New Roman" w:hAnsi="Calibri" w:cs="Calibri"/>
                <w:color w:val="0D0D0D"/>
              </w:rPr>
              <w:t>98</w:t>
            </w:r>
          </w:p>
        </w:tc>
        <w:tc>
          <w:tcPr>
            <w:tcW w:w="891" w:type="dxa"/>
            <w:tcBorders>
              <w:top w:val="nil"/>
              <w:left w:val="nil"/>
              <w:bottom w:val="nil"/>
              <w:right w:val="nil"/>
            </w:tcBorders>
            <w:shd w:val="clear" w:color="000000" w:fill="FFFFFF"/>
            <w:noWrap/>
            <w:vAlign w:val="bottom"/>
            <w:hideMark/>
          </w:tcPr>
          <w:p w14:paraId="6230A616"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2,141</w:t>
            </w:r>
          </w:p>
        </w:tc>
        <w:tc>
          <w:tcPr>
            <w:tcW w:w="955" w:type="dxa"/>
            <w:tcBorders>
              <w:top w:val="nil"/>
              <w:left w:val="nil"/>
              <w:bottom w:val="nil"/>
              <w:right w:val="nil"/>
            </w:tcBorders>
            <w:shd w:val="clear" w:color="auto" w:fill="D9D9D9" w:themeFill="background1" w:themeFillShade="D9"/>
            <w:noWrap/>
            <w:vAlign w:val="bottom"/>
            <w:hideMark/>
          </w:tcPr>
          <w:p w14:paraId="7F6079BF"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2,175</w:t>
            </w:r>
          </w:p>
        </w:tc>
        <w:tc>
          <w:tcPr>
            <w:tcW w:w="900" w:type="dxa"/>
            <w:tcBorders>
              <w:top w:val="nil"/>
              <w:left w:val="nil"/>
              <w:bottom w:val="nil"/>
              <w:right w:val="nil"/>
            </w:tcBorders>
            <w:shd w:val="clear" w:color="000000" w:fill="FFFFFF"/>
            <w:noWrap/>
            <w:vAlign w:val="bottom"/>
            <w:hideMark/>
          </w:tcPr>
          <w:p w14:paraId="332B99D6"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1,972</w:t>
            </w:r>
          </w:p>
        </w:tc>
        <w:tc>
          <w:tcPr>
            <w:tcW w:w="900" w:type="dxa"/>
            <w:tcBorders>
              <w:top w:val="nil"/>
              <w:left w:val="nil"/>
              <w:bottom w:val="nil"/>
              <w:right w:val="nil"/>
            </w:tcBorders>
            <w:shd w:val="clear" w:color="auto" w:fill="D9D9D9" w:themeFill="background1" w:themeFillShade="D9"/>
            <w:noWrap/>
            <w:vAlign w:val="bottom"/>
            <w:hideMark/>
          </w:tcPr>
          <w:p w14:paraId="2AB96D8D"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2,084</w:t>
            </w:r>
          </w:p>
        </w:tc>
        <w:tc>
          <w:tcPr>
            <w:tcW w:w="900" w:type="dxa"/>
            <w:tcBorders>
              <w:top w:val="nil"/>
              <w:left w:val="nil"/>
              <w:bottom w:val="nil"/>
              <w:right w:val="nil"/>
            </w:tcBorders>
            <w:shd w:val="clear" w:color="000000" w:fill="FFFFFF"/>
            <w:noWrap/>
            <w:vAlign w:val="bottom"/>
            <w:hideMark/>
          </w:tcPr>
          <w:p w14:paraId="26AC86A7"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5,260</w:t>
            </w:r>
          </w:p>
        </w:tc>
        <w:tc>
          <w:tcPr>
            <w:tcW w:w="900" w:type="dxa"/>
            <w:tcBorders>
              <w:top w:val="nil"/>
              <w:left w:val="nil"/>
              <w:bottom w:val="nil"/>
              <w:right w:val="nil"/>
            </w:tcBorders>
            <w:shd w:val="clear" w:color="auto" w:fill="D9D9D9" w:themeFill="background1" w:themeFillShade="D9"/>
            <w:noWrap/>
            <w:vAlign w:val="bottom"/>
            <w:hideMark/>
          </w:tcPr>
          <w:p w14:paraId="43B672A2"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3,114</w:t>
            </w:r>
          </w:p>
        </w:tc>
      </w:tr>
      <w:tr w:rsidR="00051D7E" w:rsidRPr="001B7651" w14:paraId="0D9D7C9D" w14:textId="77777777" w:rsidTr="00877A9B">
        <w:trPr>
          <w:trHeight w:val="301"/>
          <w:jc w:val="center"/>
        </w:trPr>
        <w:tc>
          <w:tcPr>
            <w:tcW w:w="4680" w:type="dxa"/>
            <w:tcBorders>
              <w:top w:val="single" w:sz="4" w:space="0" w:color="00688D"/>
              <w:left w:val="nil"/>
              <w:bottom w:val="double" w:sz="6" w:space="0" w:color="00688D"/>
              <w:right w:val="nil"/>
            </w:tcBorders>
            <w:shd w:val="clear" w:color="000000" w:fill="FFFFFF"/>
            <w:vAlign w:val="bottom"/>
            <w:hideMark/>
          </w:tcPr>
          <w:p w14:paraId="660C8B9E"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Contribution deficiency (excess)</w:t>
            </w:r>
          </w:p>
        </w:tc>
        <w:tc>
          <w:tcPr>
            <w:tcW w:w="891" w:type="dxa"/>
            <w:tcBorders>
              <w:top w:val="single" w:sz="4" w:space="0" w:color="00688D"/>
              <w:left w:val="nil"/>
              <w:bottom w:val="double" w:sz="6" w:space="0" w:color="00688D"/>
              <w:right w:val="nil"/>
            </w:tcBorders>
            <w:shd w:val="clear" w:color="auto" w:fill="D9D9D9" w:themeFill="background1" w:themeFillShade="D9"/>
            <w:vAlign w:val="bottom"/>
          </w:tcPr>
          <w:p w14:paraId="0A5508B7"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w:t>
            </w:r>
            <w:r>
              <w:rPr>
                <w:rFonts w:ascii="Calibri" w:eastAsia="Times New Roman" w:hAnsi="Calibri" w:cs="Calibri"/>
                <w:color w:val="0D0D0D"/>
              </w:rPr>
              <w:t>98</w:t>
            </w:r>
            <w:r w:rsidRPr="001B7651">
              <w:rPr>
                <w:rFonts w:ascii="Calibri" w:eastAsia="Times New Roman" w:hAnsi="Calibri" w:cs="Calibri"/>
                <w:color w:val="0D0D0D"/>
              </w:rPr>
              <w:t>)</w:t>
            </w:r>
          </w:p>
        </w:tc>
        <w:tc>
          <w:tcPr>
            <w:tcW w:w="891" w:type="dxa"/>
            <w:tcBorders>
              <w:top w:val="single" w:sz="4" w:space="0" w:color="00688D"/>
              <w:left w:val="nil"/>
              <w:bottom w:val="double" w:sz="6" w:space="0" w:color="00688D"/>
              <w:right w:val="nil"/>
            </w:tcBorders>
            <w:shd w:val="clear" w:color="000000" w:fill="FFFFFF"/>
            <w:noWrap/>
            <w:vAlign w:val="bottom"/>
            <w:hideMark/>
          </w:tcPr>
          <w:p w14:paraId="7B3BFF90"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$(2,141)</w:t>
            </w:r>
          </w:p>
        </w:tc>
        <w:tc>
          <w:tcPr>
            <w:tcW w:w="955"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47C82229"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$(2,175)</w:t>
            </w:r>
          </w:p>
        </w:tc>
        <w:tc>
          <w:tcPr>
            <w:tcW w:w="900" w:type="dxa"/>
            <w:tcBorders>
              <w:top w:val="single" w:sz="4" w:space="0" w:color="00688D"/>
              <w:left w:val="nil"/>
              <w:bottom w:val="double" w:sz="6" w:space="0" w:color="00688D"/>
              <w:right w:val="nil"/>
            </w:tcBorders>
            <w:shd w:val="clear" w:color="000000" w:fill="FFFFFF"/>
            <w:noWrap/>
            <w:vAlign w:val="bottom"/>
            <w:hideMark/>
          </w:tcPr>
          <w:p w14:paraId="63D359A1"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$(1,972)</w:t>
            </w:r>
          </w:p>
        </w:tc>
        <w:tc>
          <w:tcPr>
            <w:tcW w:w="900"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3E22746B"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$(2,084)</w:t>
            </w:r>
          </w:p>
        </w:tc>
        <w:tc>
          <w:tcPr>
            <w:tcW w:w="900" w:type="dxa"/>
            <w:tcBorders>
              <w:top w:val="single" w:sz="4" w:space="0" w:color="00688D"/>
              <w:left w:val="nil"/>
              <w:bottom w:val="double" w:sz="6" w:space="0" w:color="00688D"/>
              <w:right w:val="nil"/>
            </w:tcBorders>
            <w:shd w:val="clear" w:color="000000" w:fill="FFFFFF"/>
            <w:noWrap/>
            <w:vAlign w:val="bottom"/>
            <w:hideMark/>
          </w:tcPr>
          <w:p w14:paraId="4AD8FB2C"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$(5,260)</w:t>
            </w:r>
          </w:p>
        </w:tc>
        <w:tc>
          <w:tcPr>
            <w:tcW w:w="900"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012899B6"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$(3,114)</w:t>
            </w:r>
          </w:p>
        </w:tc>
      </w:tr>
      <w:tr w:rsidR="00051D7E" w:rsidRPr="001B7651" w14:paraId="27B4D2BA" w14:textId="77777777" w:rsidTr="00877A9B">
        <w:trPr>
          <w:trHeight w:val="301"/>
          <w:jc w:val="center"/>
        </w:trPr>
        <w:tc>
          <w:tcPr>
            <w:tcW w:w="4680" w:type="dxa"/>
            <w:tcBorders>
              <w:top w:val="nil"/>
              <w:left w:val="nil"/>
              <w:bottom w:val="nil"/>
              <w:right w:val="nil"/>
            </w:tcBorders>
            <w:shd w:val="clear" w:color="000000" w:fill="FFFFFF"/>
            <w:noWrap/>
            <w:vAlign w:val="bottom"/>
            <w:hideMark/>
          </w:tcPr>
          <w:p w14:paraId="6DC24DED"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Covered payroll</w:t>
            </w:r>
          </w:p>
        </w:tc>
        <w:tc>
          <w:tcPr>
            <w:tcW w:w="891" w:type="dxa"/>
            <w:tcBorders>
              <w:top w:val="nil"/>
              <w:left w:val="nil"/>
              <w:bottom w:val="nil"/>
              <w:right w:val="nil"/>
            </w:tcBorders>
            <w:shd w:val="clear" w:color="auto" w:fill="D9D9D9" w:themeFill="background1" w:themeFillShade="D9"/>
            <w:vAlign w:val="bottom"/>
          </w:tcPr>
          <w:p w14:paraId="52347FF6"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$6</w:t>
            </w:r>
            <w:r>
              <w:rPr>
                <w:rFonts w:ascii="Calibri" w:eastAsia="Times New Roman" w:hAnsi="Calibri" w:cs="Calibri"/>
                <w:color w:val="0D0D0D"/>
              </w:rPr>
              <w:t>2</w:t>
            </w:r>
            <w:r w:rsidRPr="001B7651">
              <w:rPr>
                <w:rFonts w:ascii="Calibri" w:eastAsia="Times New Roman" w:hAnsi="Calibri" w:cs="Calibri"/>
                <w:color w:val="0D0D0D"/>
              </w:rPr>
              <w:t>,</w:t>
            </w:r>
            <w:r>
              <w:rPr>
                <w:rFonts w:ascii="Calibri" w:eastAsia="Times New Roman" w:hAnsi="Calibri" w:cs="Calibri"/>
                <w:color w:val="0D0D0D"/>
              </w:rPr>
              <w:t>646</w:t>
            </w:r>
          </w:p>
        </w:tc>
        <w:tc>
          <w:tcPr>
            <w:tcW w:w="891" w:type="dxa"/>
            <w:tcBorders>
              <w:top w:val="nil"/>
              <w:left w:val="nil"/>
              <w:bottom w:val="nil"/>
              <w:right w:val="nil"/>
            </w:tcBorders>
            <w:shd w:val="clear" w:color="000000" w:fill="FFFFFF"/>
            <w:noWrap/>
            <w:vAlign w:val="bottom"/>
            <w:hideMark/>
          </w:tcPr>
          <w:p w14:paraId="431DD02A"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$67,303</w:t>
            </w:r>
          </w:p>
        </w:tc>
        <w:tc>
          <w:tcPr>
            <w:tcW w:w="955" w:type="dxa"/>
            <w:tcBorders>
              <w:top w:val="nil"/>
              <w:left w:val="nil"/>
              <w:bottom w:val="nil"/>
              <w:right w:val="nil"/>
            </w:tcBorders>
            <w:shd w:val="clear" w:color="auto" w:fill="D9D9D9" w:themeFill="background1" w:themeFillShade="D9"/>
            <w:noWrap/>
            <w:vAlign w:val="bottom"/>
            <w:hideMark/>
          </w:tcPr>
          <w:p w14:paraId="69C7C641"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$68,685</w:t>
            </w:r>
          </w:p>
        </w:tc>
        <w:tc>
          <w:tcPr>
            <w:tcW w:w="900" w:type="dxa"/>
            <w:tcBorders>
              <w:top w:val="nil"/>
              <w:left w:val="nil"/>
              <w:bottom w:val="nil"/>
              <w:right w:val="nil"/>
            </w:tcBorders>
            <w:shd w:val="clear" w:color="000000" w:fill="FFFFFF"/>
            <w:noWrap/>
            <w:vAlign w:val="bottom"/>
            <w:hideMark/>
          </w:tcPr>
          <w:p w14:paraId="300D9424"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$72,541</w:t>
            </w:r>
          </w:p>
        </w:tc>
        <w:tc>
          <w:tcPr>
            <w:tcW w:w="900" w:type="dxa"/>
            <w:tcBorders>
              <w:top w:val="nil"/>
              <w:left w:val="nil"/>
              <w:bottom w:val="nil"/>
              <w:right w:val="nil"/>
            </w:tcBorders>
            <w:shd w:val="clear" w:color="auto" w:fill="D9D9D9" w:themeFill="background1" w:themeFillShade="D9"/>
            <w:noWrap/>
            <w:vAlign w:val="bottom"/>
            <w:hideMark/>
          </w:tcPr>
          <w:p w14:paraId="13F8EB78"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$77,644</w:t>
            </w:r>
          </w:p>
        </w:tc>
        <w:tc>
          <w:tcPr>
            <w:tcW w:w="900" w:type="dxa"/>
            <w:tcBorders>
              <w:top w:val="nil"/>
              <w:left w:val="nil"/>
              <w:bottom w:val="nil"/>
              <w:right w:val="nil"/>
            </w:tcBorders>
            <w:shd w:val="clear" w:color="000000" w:fill="FFFFFF"/>
            <w:noWrap/>
            <w:vAlign w:val="bottom"/>
            <w:hideMark/>
          </w:tcPr>
          <w:p w14:paraId="4F6E0B85"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$95,653</w:t>
            </w:r>
          </w:p>
        </w:tc>
        <w:tc>
          <w:tcPr>
            <w:tcW w:w="900" w:type="dxa"/>
            <w:tcBorders>
              <w:top w:val="nil"/>
              <w:left w:val="nil"/>
              <w:bottom w:val="nil"/>
              <w:right w:val="nil"/>
            </w:tcBorders>
            <w:shd w:val="clear" w:color="auto" w:fill="D9D9D9" w:themeFill="background1" w:themeFillShade="D9"/>
            <w:noWrap/>
            <w:vAlign w:val="bottom"/>
            <w:hideMark/>
          </w:tcPr>
          <w:p w14:paraId="4BBCDE9C"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$92,419</w:t>
            </w:r>
          </w:p>
        </w:tc>
      </w:tr>
      <w:tr w:rsidR="00051D7E" w:rsidRPr="001B7651" w14:paraId="63A3C52A" w14:textId="77777777" w:rsidTr="00877A9B">
        <w:trPr>
          <w:trHeight w:val="289"/>
          <w:jc w:val="center"/>
        </w:trPr>
        <w:tc>
          <w:tcPr>
            <w:tcW w:w="4680" w:type="dxa"/>
            <w:tcBorders>
              <w:top w:val="nil"/>
              <w:left w:val="nil"/>
              <w:bottom w:val="single" w:sz="4" w:space="0" w:color="00688D"/>
              <w:right w:val="nil"/>
            </w:tcBorders>
            <w:shd w:val="clear" w:color="000000" w:fill="FFFFFF"/>
            <w:vAlign w:val="center"/>
            <w:hideMark/>
          </w:tcPr>
          <w:p w14:paraId="5F04EB0E"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Contributions as a percentage of covered payroll</w:t>
            </w:r>
          </w:p>
        </w:tc>
        <w:tc>
          <w:tcPr>
            <w:tcW w:w="891" w:type="dxa"/>
            <w:tcBorders>
              <w:top w:val="nil"/>
              <w:left w:val="nil"/>
              <w:bottom w:val="single" w:sz="4" w:space="0" w:color="00688D"/>
              <w:right w:val="nil"/>
            </w:tcBorders>
            <w:shd w:val="clear" w:color="auto" w:fill="D9D9D9" w:themeFill="background1" w:themeFillShade="D9"/>
            <w:vAlign w:val="bottom"/>
          </w:tcPr>
          <w:p w14:paraId="5ABA6ED9"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3.</w:t>
            </w:r>
            <w:r>
              <w:rPr>
                <w:rFonts w:ascii="Calibri" w:eastAsia="Times New Roman" w:hAnsi="Calibri" w:cs="Calibri"/>
                <w:color w:val="0D0D0D"/>
              </w:rPr>
              <w:t>51</w:t>
            </w:r>
            <w:r w:rsidRPr="001B7651">
              <w:rPr>
                <w:rFonts w:ascii="Calibri" w:eastAsia="Times New Roman" w:hAnsi="Calibri" w:cs="Calibri"/>
                <w:color w:val="0D0D0D"/>
              </w:rPr>
              <w:t>%</w:t>
            </w:r>
          </w:p>
        </w:tc>
        <w:tc>
          <w:tcPr>
            <w:tcW w:w="891" w:type="dxa"/>
            <w:tcBorders>
              <w:top w:val="nil"/>
              <w:left w:val="nil"/>
              <w:bottom w:val="single" w:sz="4" w:space="0" w:color="00688D"/>
              <w:right w:val="nil"/>
            </w:tcBorders>
            <w:shd w:val="clear" w:color="000000" w:fill="FFFFFF"/>
            <w:noWrap/>
            <w:vAlign w:val="bottom"/>
            <w:hideMark/>
          </w:tcPr>
          <w:p w14:paraId="3D3B50DA"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3.18%</w:t>
            </w:r>
          </w:p>
        </w:tc>
        <w:tc>
          <w:tcPr>
            <w:tcW w:w="955" w:type="dxa"/>
            <w:tcBorders>
              <w:top w:val="nil"/>
              <w:left w:val="nil"/>
              <w:bottom w:val="single" w:sz="4" w:space="0" w:color="00688D"/>
              <w:right w:val="nil"/>
            </w:tcBorders>
            <w:shd w:val="clear" w:color="auto" w:fill="D9D9D9" w:themeFill="background1" w:themeFillShade="D9"/>
            <w:noWrap/>
            <w:vAlign w:val="bottom"/>
            <w:hideMark/>
          </w:tcPr>
          <w:p w14:paraId="279982C1"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3.17%</w:t>
            </w:r>
          </w:p>
        </w:tc>
        <w:tc>
          <w:tcPr>
            <w:tcW w:w="900" w:type="dxa"/>
            <w:tcBorders>
              <w:top w:val="nil"/>
              <w:left w:val="nil"/>
              <w:bottom w:val="single" w:sz="4" w:space="0" w:color="00688D"/>
              <w:right w:val="nil"/>
            </w:tcBorders>
            <w:shd w:val="clear" w:color="000000" w:fill="FFFFFF"/>
            <w:noWrap/>
            <w:vAlign w:val="bottom"/>
            <w:hideMark/>
          </w:tcPr>
          <w:p w14:paraId="4739EB7F"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2.72%</w:t>
            </w:r>
          </w:p>
        </w:tc>
        <w:tc>
          <w:tcPr>
            <w:tcW w:w="900" w:type="dxa"/>
            <w:tcBorders>
              <w:top w:val="nil"/>
              <w:left w:val="nil"/>
              <w:bottom w:val="single" w:sz="4" w:space="0" w:color="00688D"/>
              <w:right w:val="nil"/>
            </w:tcBorders>
            <w:shd w:val="clear" w:color="auto" w:fill="D9D9D9" w:themeFill="background1" w:themeFillShade="D9"/>
            <w:noWrap/>
            <w:vAlign w:val="bottom"/>
            <w:hideMark/>
          </w:tcPr>
          <w:p w14:paraId="140C489F"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2.68%</w:t>
            </w:r>
          </w:p>
        </w:tc>
        <w:tc>
          <w:tcPr>
            <w:tcW w:w="900" w:type="dxa"/>
            <w:tcBorders>
              <w:top w:val="nil"/>
              <w:left w:val="nil"/>
              <w:bottom w:val="single" w:sz="4" w:space="0" w:color="00688D"/>
              <w:right w:val="nil"/>
            </w:tcBorders>
            <w:shd w:val="clear" w:color="000000" w:fill="FFFFFF"/>
            <w:noWrap/>
            <w:vAlign w:val="bottom"/>
            <w:hideMark/>
          </w:tcPr>
          <w:p w14:paraId="364ABB4D"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5.50%</w:t>
            </w:r>
          </w:p>
        </w:tc>
        <w:tc>
          <w:tcPr>
            <w:tcW w:w="900" w:type="dxa"/>
            <w:tcBorders>
              <w:top w:val="nil"/>
              <w:left w:val="nil"/>
              <w:bottom w:val="single" w:sz="4" w:space="0" w:color="00688D"/>
              <w:right w:val="nil"/>
            </w:tcBorders>
            <w:shd w:val="clear" w:color="auto" w:fill="D9D9D9" w:themeFill="background1" w:themeFillShade="D9"/>
            <w:noWrap/>
            <w:vAlign w:val="bottom"/>
            <w:hideMark/>
          </w:tcPr>
          <w:p w14:paraId="6C005402"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3.37%</w:t>
            </w:r>
          </w:p>
        </w:tc>
      </w:tr>
    </w:tbl>
    <w:p w14:paraId="6E1E3F69" w14:textId="77777777" w:rsidR="001303CD" w:rsidRPr="00877A9B" w:rsidRDefault="001303CD" w:rsidP="00877A9B">
      <w:pPr>
        <w:rPr>
          <w:rFonts w:eastAsia="Franklin Gothic Book" w:cstheme="minorHAnsi"/>
          <w:b/>
          <w:sz w:val="2"/>
          <w:szCs w:val="28"/>
        </w:rPr>
        <w:sectPr w:rsidR="001303CD" w:rsidRPr="00877A9B" w:rsidSect="00877A9B">
          <w:headerReference w:type="default" r:id="rId93"/>
          <w:headerReference w:type="first" r:id="rId94"/>
          <w:footerReference w:type="first" r:id="rId95"/>
          <w:pgSz w:w="15840" w:h="12240" w:orient="landscape" w:code="1"/>
          <w:pgMar w:top="1440" w:right="1440" w:bottom="1440" w:left="1440" w:header="720" w:footer="720" w:gutter="0"/>
          <w:cols w:space="0"/>
          <w:titlePg/>
          <w:docGrid w:linePitch="360"/>
        </w:sectPr>
      </w:pPr>
    </w:p>
    <w:p w14:paraId="691C1CA5" w14:textId="77777777" w:rsidR="00051D7E" w:rsidRPr="0023665A" w:rsidRDefault="00051D7E" w:rsidP="00051D7E">
      <w:pPr>
        <w:pStyle w:val="AFR4"/>
        <w:spacing w:after="240"/>
        <w:rPr>
          <w:rFonts w:eastAsiaTheme="majorEastAsia" w:cstheme="minorHAnsi"/>
          <w:sz w:val="26"/>
          <w:szCs w:val="26"/>
        </w:rPr>
      </w:pPr>
      <w:r w:rsidRPr="0023665A">
        <w:rPr>
          <w:rFonts w:eastAsiaTheme="majorEastAsia" w:cstheme="minorHAnsi"/>
          <w:i/>
          <w:iCs/>
          <w:smallCaps/>
          <w:noProof/>
          <w:color w:val="000000" w:themeColor="text1"/>
          <w:sz w:val="26"/>
          <w:szCs w:val="26"/>
          <w:u w:val="none" w:color="5B9BD5"/>
        </w:rPr>
        <w:lastRenderedPageBreak/>
        <w:t>Incentive Retirement Plan – continued:</w:t>
      </w:r>
    </w:p>
    <w:p w14:paraId="7683E431" w14:textId="77777777" w:rsidR="00051D7E" w:rsidRDefault="00051D7E" w:rsidP="00051D7E">
      <w:pPr>
        <w:pStyle w:val="Heading3"/>
        <w:rPr>
          <w:rFonts w:asciiTheme="minorHAnsi" w:hAnsiTheme="minorHAnsi" w:cstheme="minorHAnsi"/>
        </w:rPr>
      </w:pPr>
      <w:r w:rsidRPr="00F54559">
        <w:rPr>
          <w:rFonts w:asciiTheme="minorHAnsi" w:hAnsiTheme="minorHAnsi" w:cstheme="minorHAnsi"/>
        </w:rPr>
        <w:t>Notes</w:t>
      </w:r>
      <w:r w:rsidRPr="00F54559">
        <w:rPr>
          <w:rFonts w:asciiTheme="minorHAnsi" w:hAnsiTheme="minorHAnsi" w:cstheme="minorHAnsi"/>
          <w:spacing w:val="-1"/>
        </w:rPr>
        <w:t xml:space="preserve"> </w:t>
      </w:r>
      <w:r w:rsidRPr="00F54559">
        <w:rPr>
          <w:rFonts w:asciiTheme="minorHAnsi" w:hAnsiTheme="minorHAnsi" w:cstheme="minorHAnsi"/>
        </w:rPr>
        <w:t>to</w:t>
      </w:r>
      <w:r w:rsidRPr="00F54559">
        <w:rPr>
          <w:rFonts w:asciiTheme="minorHAnsi" w:hAnsiTheme="minorHAnsi" w:cstheme="minorHAnsi"/>
          <w:spacing w:val="-2"/>
        </w:rPr>
        <w:t xml:space="preserve"> </w:t>
      </w:r>
      <w:r w:rsidRPr="00F54559">
        <w:rPr>
          <w:rFonts w:asciiTheme="minorHAnsi" w:hAnsiTheme="minorHAnsi" w:cstheme="minorHAnsi"/>
          <w:spacing w:val="2"/>
        </w:rPr>
        <w:t>R</w:t>
      </w:r>
      <w:r w:rsidRPr="00F54559">
        <w:rPr>
          <w:rFonts w:asciiTheme="minorHAnsi" w:hAnsiTheme="minorHAnsi" w:cstheme="minorHAnsi"/>
        </w:rPr>
        <w:t>eq</w:t>
      </w:r>
      <w:r w:rsidRPr="00F54559">
        <w:rPr>
          <w:rFonts w:asciiTheme="minorHAnsi" w:hAnsiTheme="minorHAnsi" w:cstheme="minorHAnsi"/>
          <w:spacing w:val="2"/>
        </w:rPr>
        <w:t>ui</w:t>
      </w:r>
      <w:r w:rsidRPr="00F54559">
        <w:rPr>
          <w:rFonts w:asciiTheme="minorHAnsi" w:hAnsiTheme="minorHAnsi" w:cstheme="minorHAnsi"/>
        </w:rPr>
        <w:t>red</w:t>
      </w:r>
      <w:r w:rsidRPr="00F54559">
        <w:rPr>
          <w:rFonts w:asciiTheme="minorHAnsi" w:hAnsiTheme="minorHAnsi" w:cstheme="minorHAnsi"/>
          <w:spacing w:val="-2"/>
        </w:rPr>
        <w:t xml:space="preserve"> </w:t>
      </w:r>
      <w:r w:rsidRPr="00F54559">
        <w:rPr>
          <w:rFonts w:asciiTheme="minorHAnsi" w:hAnsiTheme="minorHAnsi" w:cstheme="minorHAnsi"/>
        </w:rPr>
        <w:t>S</w:t>
      </w:r>
      <w:r w:rsidRPr="00F54559">
        <w:rPr>
          <w:rFonts w:asciiTheme="minorHAnsi" w:hAnsiTheme="minorHAnsi" w:cstheme="minorHAnsi"/>
          <w:spacing w:val="2"/>
        </w:rPr>
        <w:t>u</w:t>
      </w:r>
      <w:r w:rsidRPr="00F54559">
        <w:rPr>
          <w:rFonts w:asciiTheme="minorHAnsi" w:hAnsiTheme="minorHAnsi" w:cstheme="minorHAnsi"/>
        </w:rPr>
        <w:t>pp</w:t>
      </w:r>
      <w:r w:rsidRPr="00F54559">
        <w:rPr>
          <w:rFonts w:asciiTheme="minorHAnsi" w:hAnsiTheme="minorHAnsi" w:cstheme="minorHAnsi"/>
          <w:spacing w:val="2"/>
        </w:rPr>
        <w:t>l</w:t>
      </w:r>
      <w:r w:rsidRPr="00F54559">
        <w:rPr>
          <w:rFonts w:asciiTheme="minorHAnsi" w:hAnsiTheme="minorHAnsi" w:cstheme="minorHAnsi"/>
        </w:rPr>
        <w:t>eme</w:t>
      </w:r>
      <w:r w:rsidRPr="00F54559">
        <w:rPr>
          <w:rFonts w:asciiTheme="minorHAnsi" w:hAnsiTheme="minorHAnsi" w:cstheme="minorHAnsi"/>
          <w:spacing w:val="2"/>
        </w:rPr>
        <w:t>n</w:t>
      </w:r>
      <w:r w:rsidRPr="00F54559">
        <w:rPr>
          <w:rFonts w:asciiTheme="minorHAnsi" w:hAnsiTheme="minorHAnsi" w:cstheme="minorHAnsi"/>
        </w:rPr>
        <w:t>t</w:t>
      </w:r>
      <w:r w:rsidRPr="00F54559">
        <w:rPr>
          <w:rFonts w:asciiTheme="minorHAnsi" w:hAnsiTheme="minorHAnsi" w:cstheme="minorHAnsi"/>
          <w:spacing w:val="2"/>
        </w:rPr>
        <w:t>a</w:t>
      </w:r>
      <w:r w:rsidRPr="00F54559">
        <w:rPr>
          <w:rFonts w:asciiTheme="minorHAnsi" w:hAnsiTheme="minorHAnsi" w:cstheme="minorHAnsi"/>
        </w:rPr>
        <w:t xml:space="preserve">ry </w:t>
      </w:r>
      <w:r w:rsidRPr="00F54559">
        <w:rPr>
          <w:rFonts w:asciiTheme="minorHAnsi" w:hAnsiTheme="minorHAnsi" w:cstheme="minorHAnsi"/>
          <w:spacing w:val="2"/>
        </w:rPr>
        <w:t>Inf</w:t>
      </w:r>
      <w:r w:rsidRPr="00F54559">
        <w:rPr>
          <w:rFonts w:asciiTheme="minorHAnsi" w:hAnsiTheme="minorHAnsi" w:cstheme="minorHAnsi"/>
        </w:rPr>
        <w:t>orm</w:t>
      </w:r>
      <w:r w:rsidRPr="00F54559">
        <w:rPr>
          <w:rFonts w:asciiTheme="minorHAnsi" w:hAnsiTheme="minorHAnsi" w:cstheme="minorHAnsi"/>
          <w:spacing w:val="2"/>
        </w:rPr>
        <w:t>a</w:t>
      </w:r>
      <w:r w:rsidRPr="00F54559">
        <w:rPr>
          <w:rFonts w:asciiTheme="minorHAnsi" w:hAnsiTheme="minorHAnsi" w:cstheme="minorHAnsi"/>
        </w:rPr>
        <w:t>t</w:t>
      </w:r>
      <w:r w:rsidRPr="00F54559">
        <w:rPr>
          <w:rFonts w:asciiTheme="minorHAnsi" w:hAnsiTheme="minorHAnsi" w:cstheme="minorHAnsi"/>
          <w:spacing w:val="2"/>
        </w:rPr>
        <w:t>i</w:t>
      </w:r>
      <w:r w:rsidRPr="00F54559">
        <w:rPr>
          <w:rFonts w:asciiTheme="minorHAnsi" w:hAnsiTheme="minorHAnsi" w:cstheme="minorHAnsi"/>
        </w:rPr>
        <w:t>on:</w:t>
      </w:r>
    </w:p>
    <w:p w14:paraId="7FC1CFC4" w14:textId="4ED9BDD2" w:rsidR="00051D7E" w:rsidRDefault="00051D7E" w:rsidP="00051D7E">
      <w:pPr>
        <w:rPr>
          <w:rFonts w:cstheme="minorHAnsi"/>
          <w:sz w:val="24"/>
          <w:szCs w:val="24"/>
        </w:rPr>
      </w:pPr>
      <w:r w:rsidRPr="00BC1813">
        <w:rPr>
          <w:rFonts w:cstheme="minorHAnsi"/>
          <w:i/>
          <w:sz w:val="24"/>
          <w:szCs w:val="24"/>
        </w:rPr>
        <w:t>Changes of benefit terms:</w:t>
      </w:r>
      <w:r w:rsidRPr="00BC1813">
        <w:rPr>
          <w:rFonts w:cstheme="minorHAnsi"/>
          <w:sz w:val="24"/>
          <w:szCs w:val="24"/>
        </w:rPr>
        <w:t xml:space="preserve"> None</w:t>
      </w:r>
      <w:r>
        <w:rPr>
          <w:rFonts w:cstheme="minorHAnsi"/>
          <w:sz w:val="24"/>
          <w:szCs w:val="24"/>
        </w:rPr>
        <w:t>.</w:t>
      </w:r>
    </w:p>
    <w:p w14:paraId="494C7D0D" w14:textId="77777777" w:rsidR="00051D7E" w:rsidRDefault="00051D7E" w:rsidP="00051D7E">
      <w:pPr>
        <w:rPr>
          <w:rFonts w:cstheme="minorHAnsi"/>
          <w:sz w:val="24"/>
          <w:szCs w:val="24"/>
        </w:rPr>
      </w:pPr>
    </w:p>
    <w:p w14:paraId="16663677" w14:textId="77777777" w:rsidR="00051D7E" w:rsidRDefault="00051D7E" w:rsidP="00051D7E">
      <w:pPr>
        <w:rPr>
          <w:rFonts w:cstheme="minorHAnsi"/>
          <w:i/>
          <w:sz w:val="24"/>
          <w:szCs w:val="24"/>
        </w:rPr>
      </w:pPr>
      <w:r w:rsidRPr="00BC1813">
        <w:rPr>
          <w:rFonts w:cstheme="minorHAnsi"/>
          <w:i/>
          <w:sz w:val="24"/>
          <w:szCs w:val="24"/>
        </w:rPr>
        <w:t>Changes of assumptions and other inputs:</w:t>
      </w:r>
    </w:p>
    <w:p w14:paraId="6A44256E" w14:textId="77777777" w:rsidR="00051D7E" w:rsidRPr="00072C68" w:rsidRDefault="00051D7E" w:rsidP="00051D7E">
      <w:pPr>
        <w:rPr>
          <w:rFonts w:cstheme="minorHAnsi"/>
          <w:sz w:val="12"/>
          <w:szCs w:val="24"/>
        </w:rPr>
      </w:pPr>
    </w:p>
    <w:p w14:paraId="535CE1A0" w14:textId="77777777" w:rsidR="00051D7E" w:rsidRDefault="00051D7E" w:rsidP="00051D7E">
      <w:pPr>
        <w:widowControl w:val="0"/>
        <w:tabs>
          <w:tab w:val="left" w:pos="810"/>
        </w:tabs>
        <w:ind w:left="720" w:hanging="720"/>
        <w:rPr>
          <w:rFonts w:eastAsia="Franklin Gothic Book" w:cstheme="minorHAnsi"/>
          <w:spacing w:val="-1"/>
          <w:sz w:val="24"/>
          <w:szCs w:val="24"/>
        </w:rPr>
      </w:pPr>
      <w:r>
        <w:rPr>
          <w:rFonts w:eastAsia="Franklin Gothic Book" w:cstheme="minorHAnsi"/>
          <w:spacing w:val="-1"/>
          <w:sz w:val="24"/>
          <w:szCs w:val="24"/>
        </w:rPr>
        <w:t>2021:</w:t>
      </w:r>
      <w:r>
        <w:rPr>
          <w:rFonts w:eastAsia="Franklin Gothic Book" w:cstheme="minorHAnsi"/>
          <w:spacing w:val="-1"/>
          <w:sz w:val="24"/>
          <w:szCs w:val="24"/>
        </w:rPr>
        <w:tab/>
        <w:t>The discount rate changed from 2.21% as of the beginning of the measurement period to 2.16% as of the end of the measurement period. In addition, th</w:t>
      </w:r>
      <w:r w:rsidRPr="00F54559">
        <w:rPr>
          <w:rFonts w:cstheme="minorHAnsi"/>
          <w:sz w:val="24"/>
          <w:szCs w:val="24"/>
        </w:rPr>
        <w:t xml:space="preserve">e mortality tables were updated to </w:t>
      </w:r>
      <w:r>
        <w:rPr>
          <w:rFonts w:cstheme="minorHAnsi"/>
          <w:sz w:val="24"/>
          <w:szCs w:val="24"/>
        </w:rPr>
        <w:t>the Pub-2010 mortality tables with mortality improvement scale MP-2020.</w:t>
      </w:r>
    </w:p>
    <w:p w14:paraId="2D4889D9" w14:textId="77777777" w:rsidR="00051D7E" w:rsidRDefault="00051D7E" w:rsidP="00051D7E">
      <w:pPr>
        <w:widowControl w:val="0"/>
        <w:tabs>
          <w:tab w:val="left" w:pos="810"/>
        </w:tabs>
        <w:ind w:left="720" w:hanging="720"/>
        <w:rPr>
          <w:rFonts w:eastAsia="Franklin Gothic Book" w:cstheme="minorHAnsi"/>
          <w:spacing w:val="-1"/>
          <w:sz w:val="24"/>
          <w:szCs w:val="24"/>
        </w:rPr>
      </w:pPr>
      <w:r w:rsidRPr="00F54559">
        <w:rPr>
          <w:rFonts w:eastAsia="Franklin Gothic Book" w:cstheme="minorHAnsi"/>
          <w:spacing w:val="-1"/>
          <w:sz w:val="24"/>
          <w:szCs w:val="24"/>
        </w:rPr>
        <w:t>20</w:t>
      </w:r>
      <w:r>
        <w:rPr>
          <w:rFonts w:eastAsia="Franklin Gothic Book" w:cstheme="minorHAnsi"/>
          <w:spacing w:val="-1"/>
          <w:sz w:val="24"/>
          <w:szCs w:val="24"/>
        </w:rPr>
        <w:t>20</w:t>
      </w:r>
      <w:r w:rsidRPr="00F54559">
        <w:rPr>
          <w:rFonts w:eastAsia="Franklin Gothic Book" w:cstheme="minorHAnsi"/>
          <w:spacing w:val="-1"/>
          <w:sz w:val="24"/>
          <w:szCs w:val="24"/>
        </w:rPr>
        <w:t xml:space="preserve">: </w:t>
      </w:r>
      <w:r>
        <w:rPr>
          <w:rFonts w:eastAsia="Franklin Gothic Book" w:cstheme="minorHAnsi"/>
          <w:spacing w:val="-1"/>
          <w:sz w:val="24"/>
          <w:szCs w:val="24"/>
        </w:rPr>
        <w:tab/>
      </w:r>
      <w:r w:rsidRPr="00F54559">
        <w:rPr>
          <w:rFonts w:eastAsia="Franklin Gothic Book" w:cstheme="minorHAnsi"/>
          <w:spacing w:val="-1"/>
          <w:sz w:val="24"/>
          <w:szCs w:val="24"/>
        </w:rPr>
        <w:t>The discount rate changed from 3.</w:t>
      </w:r>
      <w:r>
        <w:rPr>
          <w:rFonts w:eastAsia="Franklin Gothic Book" w:cstheme="minorHAnsi"/>
          <w:spacing w:val="-1"/>
          <w:sz w:val="24"/>
          <w:szCs w:val="24"/>
        </w:rPr>
        <w:t>5</w:t>
      </w:r>
      <w:r w:rsidRPr="00F54559">
        <w:rPr>
          <w:rFonts w:eastAsia="Franklin Gothic Book" w:cstheme="minorHAnsi"/>
          <w:spacing w:val="-1"/>
          <w:sz w:val="24"/>
          <w:szCs w:val="24"/>
        </w:rPr>
        <w:t xml:space="preserve">% as of the beginning of the measurement period to </w:t>
      </w:r>
      <w:r>
        <w:rPr>
          <w:rFonts w:eastAsia="Franklin Gothic Book" w:cstheme="minorHAnsi"/>
          <w:spacing w:val="-1"/>
          <w:sz w:val="24"/>
          <w:szCs w:val="24"/>
        </w:rPr>
        <w:t>2.21</w:t>
      </w:r>
      <w:r w:rsidRPr="00F54559">
        <w:rPr>
          <w:rFonts w:eastAsia="Franklin Gothic Book" w:cstheme="minorHAnsi"/>
          <w:spacing w:val="-1"/>
          <w:sz w:val="24"/>
          <w:szCs w:val="24"/>
        </w:rPr>
        <w:t>% as of the end of the measurement period.</w:t>
      </w:r>
    </w:p>
    <w:p w14:paraId="52DD11B0" w14:textId="77777777" w:rsidR="00051D7E" w:rsidRPr="00F54559" w:rsidRDefault="00051D7E" w:rsidP="00051D7E">
      <w:pPr>
        <w:widowControl w:val="0"/>
        <w:tabs>
          <w:tab w:val="left" w:pos="810"/>
        </w:tabs>
        <w:ind w:left="720" w:hanging="720"/>
        <w:rPr>
          <w:rFonts w:eastAsia="Franklin Gothic Book" w:cstheme="minorHAnsi"/>
          <w:spacing w:val="-1"/>
          <w:sz w:val="24"/>
          <w:szCs w:val="24"/>
        </w:rPr>
      </w:pPr>
      <w:r w:rsidRPr="00F54559">
        <w:rPr>
          <w:rFonts w:eastAsia="Franklin Gothic Book" w:cstheme="minorHAnsi"/>
          <w:spacing w:val="-1"/>
          <w:sz w:val="24"/>
          <w:szCs w:val="24"/>
        </w:rPr>
        <w:t xml:space="preserve">2019: </w:t>
      </w:r>
      <w:r>
        <w:rPr>
          <w:rFonts w:eastAsia="Franklin Gothic Book" w:cstheme="minorHAnsi"/>
          <w:spacing w:val="-1"/>
          <w:sz w:val="24"/>
          <w:szCs w:val="24"/>
        </w:rPr>
        <w:tab/>
      </w:r>
      <w:r w:rsidRPr="00F54559">
        <w:rPr>
          <w:rFonts w:eastAsia="Franklin Gothic Book" w:cstheme="minorHAnsi"/>
          <w:spacing w:val="-1"/>
          <w:sz w:val="24"/>
          <w:szCs w:val="24"/>
        </w:rPr>
        <w:t>The discount rate changed from 3.87% as of the beginning of the measurement period to 3.5% as of the end of the measurement period.</w:t>
      </w:r>
    </w:p>
    <w:p w14:paraId="05FC6E33" w14:textId="77777777" w:rsidR="00051D7E" w:rsidRPr="00F54559" w:rsidRDefault="00051D7E" w:rsidP="00051D7E">
      <w:pPr>
        <w:widowControl w:val="0"/>
        <w:tabs>
          <w:tab w:val="left" w:pos="810"/>
        </w:tabs>
        <w:ind w:left="720" w:hanging="720"/>
        <w:rPr>
          <w:rFonts w:eastAsia="Franklin Gothic Book" w:cstheme="minorHAnsi"/>
          <w:sz w:val="24"/>
          <w:szCs w:val="24"/>
        </w:rPr>
      </w:pPr>
      <w:r w:rsidRPr="00F54559">
        <w:rPr>
          <w:rFonts w:eastAsia="Franklin Gothic Book" w:cstheme="minorHAnsi"/>
          <w:spacing w:val="-1"/>
          <w:sz w:val="24"/>
          <w:szCs w:val="24"/>
        </w:rPr>
        <w:t xml:space="preserve">2018: </w:t>
      </w:r>
      <w:r>
        <w:rPr>
          <w:rFonts w:eastAsia="Franklin Gothic Book" w:cstheme="minorHAnsi"/>
          <w:spacing w:val="-1"/>
          <w:sz w:val="24"/>
          <w:szCs w:val="24"/>
        </w:rPr>
        <w:tab/>
      </w:r>
      <w:r w:rsidRPr="00F54559">
        <w:rPr>
          <w:rFonts w:eastAsia="Franklin Gothic Book" w:cstheme="minorHAnsi"/>
          <w:spacing w:val="-1"/>
          <w:sz w:val="24"/>
          <w:szCs w:val="24"/>
        </w:rPr>
        <w:t>T</w:t>
      </w:r>
      <w:r w:rsidRPr="00F54559">
        <w:rPr>
          <w:rFonts w:eastAsia="Franklin Gothic Book" w:cstheme="minorHAnsi"/>
          <w:sz w:val="24"/>
          <w:szCs w:val="24"/>
        </w:rPr>
        <w:t>he</w:t>
      </w:r>
      <w:r w:rsidRPr="00F54559">
        <w:rPr>
          <w:rFonts w:eastAsia="Franklin Gothic Book" w:cstheme="minorHAnsi"/>
          <w:spacing w:val="9"/>
          <w:sz w:val="24"/>
          <w:szCs w:val="24"/>
        </w:rPr>
        <w:t xml:space="preserve"> </w:t>
      </w:r>
      <w:r w:rsidRPr="00F54559">
        <w:rPr>
          <w:rFonts w:eastAsia="Franklin Gothic Book" w:cstheme="minorHAnsi"/>
          <w:sz w:val="24"/>
          <w:szCs w:val="24"/>
        </w:rPr>
        <w:t>discount</w:t>
      </w:r>
      <w:r w:rsidRPr="00F54559">
        <w:rPr>
          <w:rFonts w:eastAsia="Franklin Gothic Book" w:cstheme="minorHAnsi"/>
          <w:spacing w:val="12"/>
          <w:sz w:val="24"/>
          <w:szCs w:val="24"/>
        </w:rPr>
        <w:t xml:space="preserve"> </w:t>
      </w:r>
      <w:r w:rsidRPr="00F54559">
        <w:rPr>
          <w:rFonts w:eastAsia="Franklin Gothic Book" w:cstheme="minorHAnsi"/>
          <w:spacing w:val="-1"/>
          <w:sz w:val="24"/>
          <w:szCs w:val="24"/>
        </w:rPr>
        <w:t>r</w:t>
      </w:r>
      <w:r w:rsidRPr="00F54559">
        <w:rPr>
          <w:rFonts w:eastAsia="Franklin Gothic Book" w:cstheme="minorHAnsi"/>
          <w:sz w:val="24"/>
          <w:szCs w:val="24"/>
        </w:rPr>
        <w:t>a</w:t>
      </w:r>
      <w:r w:rsidRPr="00F54559">
        <w:rPr>
          <w:rFonts w:eastAsia="Franklin Gothic Book" w:cstheme="minorHAnsi"/>
          <w:spacing w:val="1"/>
          <w:sz w:val="24"/>
          <w:szCs w:val="24"/>
        </w:rPr>
        <w:t>t</w:t>
      </w:r>
      <w:r w:rsidRPr="00F54559">
        <w:rPr>
          <w:rFonts w:eastAsia="Franklin Gothic Book" w:cstheme="minorHAnsi"/>
          <w:sz w:val="24"/>
          <w:szCs w:val="24"/>
        </w:rPr>
        <w:t>e</w:t>
      </w:r>
      <w:r w:rsidRPr="00F54559">
        <w:rPr>
          <w:rFonts w:eastAsia="Franklin Gothic Book" w:cstheme="minorHAnsi"/>
          <w:spacing w:val="9"/>
          <w:sz w:val="24"/>
          <w:szCs w:val="24"/>
        </w:rPr>
        <w:t xml:space="preserve"> </w:t>
      </w:r>
      <w:r w:rsidRPr="00F54559">
        <w:rPr>
          <w:rFonts w:eastAsia="Franklin Gothic Book" w:cstheme="minorHAnsi"/>
          <w:sz w:val="24"/>
          <w:szCs w:val="24"/>
        </w:rPr>
        <w:t>changed</w:t>
      </w:r>
      <w:r w:rsidRPr="00F54559">
        <w:rPr>
          <w:rFonts w:eastAsia="Franklin Gothic Book" w:cstheme="minorHAnsi"/>
          <w:spacing w:val="11"/>
          <w:sz w:val="24"/>
          <w:szCs w:val="24"/>
        </w:rPr>
        <w:t xml:space="preserve"> </w:t>
      </w:r>
      <w:r w:rsidRPr="00F54559">
        <w:rPr>
          <w:rFonts w:eastAsia="Franklin Gothic Book" w:cstheme="minorHAnsi"/>
          <w:sz w:val="24"/>
          <w:szCs w:val="24"/>
        </w:rPr>
        <w:t>f</w:t>
      </w:r>
      <w:r w:rsidRPr="00F54559">
        <w:rPr>
          <w:rFonts w:eastAsia="Franklin Gothic Book" w:cstheme="minorHAnsi"/>
          <w:spacing w:val="-1"/>
          <w:sz w:val="24"/>
          <w:szCs w:val="24"/>
        </w:rPr>
        <w:t>r</w:t>
      </w:r>
      <w:r w:rsidRPr="00F54559">
        <w:rPr>
          <w:rFonts w:eastAsia="Franklin Gothic Book" w:cstheme="minorHAnsi"/>
          <w:sz w:val="24"/>
          <w:szCs w:val="24"/>
        </w:rPr>
        <w:t>om</w:t>
      </w:r>
      <w:r w:rsidRPr="00F54559">
        <w:rPr>
          <w:rFonts w:eastAsia="Franklin Gothic Book" w:cstheme="minorHAnsi"/>
          <w:spacing w:val="11"/>
          <w:sz w:val="24"/>
          <w:szCs w:val="24"/>
        </w:rPr>
        <w:t xml:space="preserve"> </w:t>
      </w:r>
      <w:r w:rsidRPr="00F54559">
        <w:rPr>
          <w:rFonts w:eastAsia="Franklin Gothic Book" w:cstheme="minorHAnsi"/>
          <w:sz w:val="24"/>
          <w:szCs w:val="24"/>
        </w:rPr>
        <w:t>3.58%</w:t>
      </w:r>
      <w:r w:rsidRPr="00F54559">
        <w:rPr>
          <w:rFonts w:eastAsia="Franklin Gothic Book" w:cstheme="minorHAnsi"/>
          <w:spacing w:val="12"/>
          <w:sz w:val="24"/>
          <w:szCs w:val="24"/>
        </w:rPr>
        <w:t xml:space="preserve"> </w:t>
      </w:r>
      <w:r w:rsidRPr="00F54559">
        <w:rPr>
          <w:rFonts w:eastAsia="Franklin Gothic Book" w:cstheme="minorHAnsi"/>
          <w:sz w:val="24"/>
          <w:szCs w:val="24"/>
        </w:rPr>
        <w:t>as</w:t>
      </w:r>
      <w:r w:rsidRPr="00F54559">
        <w:rPr>
          <w:rFonts w:eastAsia="Franklin Gothic Book" w:cstheme="minorHAnsi"/>
          <w:spacing w:val="11"/>
          <w:sz w:val="24"/>
          <w:szCs w:val="24"/>
        </w:rPr>
        <w:t xml:space="preserve"> </w:t>
      </w:r>
      <w:r w:rsidRPr="00F54559">
        <w:rPr>
          <w:rFonts w:eastAsia="Franklin Gothic Book" w:cstheme="minorHAnsi"/>
          <w:spacing w:val="-1"/>
          <w:sz w:val="24"/>
          <w:szCs w:val="24"/>
        </w:rPr>
        <w:t>o</w:t>
      </w:r>
      <w:r w:rsidRPr="00F54559">
        <w:rPr>
          <w:rFonts w:eastAsia="Franklin Gothic Book" w:cstheme="minorHAnsi"/>
          <w:sz w:val="24"/>
          <w:szCs w:val="24"/>
        </w:rPr>
        <w:t>f</w:t>
      </w:r>
      <w:r w:rsidRPr="00F54559">
        <w:rPr>
          <w:rFonts w:eastAsia="Franklin Gothic Book" w:cstheme="minorHAnsi"/>
          <w:spacing w:val="11"/>
          <w:sz w:val="24"/>
          <w:szCs w:val="24"/>
        </w:rPr>
        <w:t xml:space="preserve"> </w:t>
      </w:r>
      <w:r w:rsidRPr="00F54559">
        <w:rPr>
          <w:rFonts w:eastAsia="Franklin Gothic Book" w:cstheme="minorHAnsi"/>
          <w:sz w:val="24"/>
          <w:szCs w:val="24"/>
        </w:rPr>
        <w:t>the</w:t>
      </w:r>
      <w:r w:rsidRPr="00F54559">
        <w:rPr>
          <w:rFonts w:eastAsia="Franklin Gothic Book" w:cstheme="minorHAnsi"/>
          <w:spacing w:val="10"/>
          <w:sz w:val="24"/>
          <w:szCs w:val="24"/>
        </w:rPr>
        <w:t xml:space="preserve"> </w:t>
      </w:r>
      <w:r w:rsidRPr="00F54559">
        <w:rPr>
          <w:rFonts w:eastAsia="Franklin Gothic Book" w:cstheme="minorHAnsi"/>
          <w:sz w:val="24"/>
          <w:szCs w:val="24"/>
        </w:rPr>
        <w:t>beginning</w:t>
      </w:r>
      <w:r w:rsidRPr="00F54559">
        <w:rPr>
          <w:rFonts w:eastAsia="Franklin Gothic Book" w:cstheme="minorHAnsi"/>
          <w:spacing w:val="11"/>
          <w:sz w:val="24"/>
          <w:szCs w:val="24"/>
        </w:rPr>
        <w:t xml:space="preserve"> </w:t>
      </w:r>
      <w:r w:rsidRPr="00F54559">
        <w:rPr>
          <w:rFonts w:eastAsia="Franklin Gothic Book" w:cstheme="minorHAnsi"/>
          <w:spacing w:val="-1"/>
          <w:sz w:val="24"/>
          <w:szCs w:val="24"/>
        </w:rPr>
        <w:t>o</w:t>
      </w:r>
      <w:r w:rsidRPr="00F54559">
        <w:rPr>
          <w:rFonts w:eastAsia="Franklin Gothic Book" w:cstheme="minorHAnsi"/>
          <w:sz w:val="24"/>
          <w:szCs w:val="24"/>
        </w:rPr>
        <w:t>f</w:t>
      </w:r>
      <w:r w:rsidRPr="00F54559">
        <w:rPr>
          <w:rFonts w:eastAsia="Franklin Gothic Book" w:cstheme="minorHAnsi"/>
          <w:spacing w:val="10"/>
          <w:sz w:val="24"/>
          <w:szCs w:val="24"/>
        </w:rPr>
        <w:t xml:space="preserve"> </w:t>
      </w:r>
      <w:r w:rsidRPr="00F54559">
        <w:rPr>
          <w:rFonts w:eastAsia="Franklin Gothic Book" w:cstheme="minorHAnsi"/>
          <w:sz w:val="24"/>
          <w:szCs w:val="24"/>
        </w:rPr>
        <w:t>the</w:t>
      </w:r>
      <w:r w:rsidRPr="00F54559">
        <w:rPr>
          <w:rFonts w:eastAsia="Franklin Gothic Book" w:cstheme="minorHAnsi"/>
          <w:spacing w:val="8"/>
          <w:sz w:val="24"/>
          <w:szCs w:val="24"/>
        </w:rPr>
        <w:t xml:space="preserve"> </w:t>
      </w:r>
      <w:r w:rsidRPr="00F54559">
        <w:rPr>
          <w:rFonts w:eastAsia="Franklin Gothic Book" w:cstheme="minorHAnsi"/>
          <w:sz w:val="24"/>
          <w:szCs w:val="24"/>
        </w:rPr>
        <w:t>measu</w:t>
      </w:r>
      <w:r w:rsidRPr="00F54559">
        <w:rPr>
          <w:rFonts w:eastAsia="Franklin Gothic Book" w:cstheme="minorHAnsi"/>
          <w:spacing w:val="-1"/>
          <w:sz w:val="24"/>
          <w:szCs w:val="24"/>
        </w:rPr>
        <w:t>r</w:t>
      </w:r>
      <w:r w:rsidRPr="00F54559">
        <w:rPr>
          <w:rFonts w:eastAsia="Franklin Gothic Book" w:cstheme="minorHAnsi"/>
          <w:sz w:val="24"/>
          <w:szCs w:val="24"/>
        </w:rPr>
        <w:t>ement</w:t>
      </w:r>
      <w:r w:rsidRPr="00F54559">
        <w:rPr>
          <w:rFonts w:eastAsia="Franklin Gothic Book" w:cstheme="minorHAnsi"/>
          <w:spacing w:val="12"/>
          <w:sz w:val="24"/>
          <w:szCs w:val="24"/>
        </w:rPr>
        <w:t xml:space="preserve"> </w:t>
      </w:r>
      <w:r w:rsidRPr="00F54559">
        <w:rPr>
          <w:rFonts w:eastAsia="Franklin Gothic Book" w:cstheme="minorHAnsi"/>
          <w:spacing w:val="-1"/>
          <w:sz w:val="24"/>
          <w:szCs w:val="24"/>
        </w:rPr>
        <w:t>p</w:t>
      </w:r>
      <w:r w:rsidRPr="00F54559">
        <w:rPr>
          <w:rFonts w:eastAsia="Franklin Gothic Book" w:cstheme="minorHAnsi"/>
          <w:sz w:val="24"/>
          <w:szCs w:val="24"/>
        </w:rPr>
        <w:t>e</w:t>
      </w:r>
      <w:r w:rsidRPr="00F54559">
        <w:rPr>
          <w:rFonts w:eastAsia="Franklin Gothic Book" w:cstheme="minorHAnsi"/>
          <w:spacing w:val="-2"/>
          <w:sz w:val="24"/>
          <w:szCs w:val="24"/>
        </w:rPr>
        <w:t>r</w:t>
      </w:r>
      <w:r w:rsidRPr="00F54559">
        <w:rPr>
          <w:rFonts w:eastAsia="Franklin Gothic Book" w:cstheme="minorHAnsi"/>
          <w:sz w:val="24"/>
          <w:szCs w:val="24"/>
        </w:rPr>
        <w:t>iod</w:t>
      </w:r>
      <w:r w:rsidRPr="00F54559">
        <w:rPr>
          <w:rFonts w:eastAsia="Franklin Gothic Book" w:cstheme="minorHAnsi"/>
          <w:spacing w:val="8"/>
          <w:sz w:val="24"/>
          <w:szCs w:val="24"/>
        </w:rPr>
        <w:t xml:space="preserve"> </w:t>
      </w:r>
      <w:r w:rsidRPr="00F54559">
        <w:rPr>
          <w:rFonts w:eastAsia="Franklin Gothic Book" w:cstheme="minorHAnsi"/>
          <w:spacing w:val="1"/>
          <w:sz w:val="24"/>
          <w:szCs w:val="24"/>
        </w:rPr>
        <w:t>t</w:t>
      </w:r>
      <w:r w:rsidRPr="00F54559">
        <w:rPr>
          <w:rFonts w:eastAsia="Franklin Gothic Book" w:cstheme="minorHAnsi"/>
          <w:sz w:val="24"/>
          <w:szCs w:val="24"/>
        </w:rPr>
        <w:t>o</w:t>
      </w:r>
      <w:r w:rsidRPr="00F54559">
        <w:rPr>
          <w:rFonts w:eastAsia="Franklin Gothic Book" w:cstheme="minorHAnsi"/>
          <w:spacing w:val="10"/>
          <w:sz w:val="24"/>
          <w:szCs w:val="24"/>
        </w:rPr>
        <w:t xml:space="preserve"> </w:t>
      </w:r>
      <w:r w:rsidRPr="00F54559">
        <w:rPr>
          <w:rFonts w:eastAsia="Franklin Gothic Book" w:cstheme="minorHAnsi"/>
          <w:sz w:val="24"/>
          <w:szCs w:val="24"/>
        </w:rPr>
        <w:t>3.87%</w:t>
      </w:r>
      <w:r w:rsidRPr="00F54559">
        <w:rPr>
          <w:rFonts w:eastAsia="Franklin Gothic Book" w:cstheme="minorHAnsi"/>
          <w:spacing w:val="8"/>
          <w:sz w:val="24"/>
          <w:szCs w:val="24"/>
        </w:rPr>
        <w:t xml:space="preserve"> </w:t>
      </w:r>
      <w:r w:rsidRPr="00F54559">
        <w:rPr>
          <w:rFonts w:eastAsia="Franklin Gothic Book" w:cstheme="minorHAnsi"/>
          <w:sz w:val="24"/>
          <w:szCs w:val="24"/>
        </w:rPr>
        <w:t>as</w:t>
      </w:r>
      <w:r w:rsidRPr="00F54559">
        <w:rPr>
          <w:rFonts w:eastAsia="Franklin Gothic Book" w:cstheme="minorHAnsi"/>
          <w:spacing w:val="12"/>
          <w:sz w:val="24"/>
          <w:szCs w:val="24"/>
        </w:rPr>
        <w:t xml:space="preserve"> </w:t>
      </w:r>
      <w:r w:rsidRPr="00F54559">
        <w:rPr>
          <w:rFonts w:eastAsia="Franklin Gothic Book" w:cstheme="minorHAnsi"/>
          <w:spacing w:val="-1"/>
          <w:sz w:val="24"/>
          <w:szCs w:val="24"/>
        </w:rPr>
        <w:t>o</w:t>
      </w:r>
      <w:r w:rsidRPr="00F54559">
        <w:rPr>
          <w:rFonts w:eastAsia="Franklin Gothic Book" w:cstheme="minorHAnsi"/>
          <w:sz w:val="24"/>
          <w:szCs w:val="24"/>
        </w:rPr>
        <w:t>f</w:t>
      </w:r>
      <w:r w:rsidRPr="00F54559">
        <w:rPr>
          <w:rFonts w:eastAsia="Franklin Gothic Book" w:cstheme="minorHAnsi"/>
          <w:spacing w:val="8"/>
          <w:sz w:val="24"/>
          <w:szCs w:val="24"/>
        </w:rPr>
        <w:t xml:space="preserve"> </w:t>
      </w:r>
      <w:r w:rsidRPr="00F54559">
        <w:rPr>
          <w:rFonts w:eastAsia="Franklin Gothic Book" w:cstheme="minorHAnsi"/>
          <w:sz w:val="24"/>
          <w:szCs w:val="24"/>
        </w:rPr>
        <w:t>the</w:t>
      </w:r>
      <w:r w:rsidRPr="00F54559">
        <w:rPr>
          <w:rFonts w:eastAsia="Franklin Gothic Book" w:cstheme="minorHAnsi"/>
          <w:w w:val="99"/>
          <w:sz w:val="24"/>
          <w:szCs w:val="24"/>
        </w:rPr>
        <w:t xml:space="preserve"> </w:t>
      </w:r>
      <w:r w:rsidRPr="00F54559">
        <w:rPr>
          <w:rFonts w:eastAsia="Franklin Gothic Book" w:cstheme="minorHAnsi"/>
          <w:sz w:val="24"/>
          <w:szCs w:val="24"/>
        </w:rPr>
        <w:t>end</w:t>
      </w:r>
      <w:r w:rsidRPr="00F54559">
        <w:rPr>
          <w:rFonts w:eastAsia="Franklin Gothic Book" w:cstheme="minorHAnsi"/>
          <w:spacing w:val="-7"/>
          <w:sz w:val="24"/>
          <w:szCs w:val="24"/>
        </w:rPr>
        <w:t xml:space="preserve"> </w:t>
      </w:r>
      <w:r w:rsidRPr="00F54559">
        <w:rPr>
          <w:rFonts w:eastAsia="Franklin Gothic Book" w:cstheme="minorHAnsi"/>
          <w:sz w:val="24"/>
          <w:szCs w:val="24"/>
        </w:rPr>
        <w:t>of</w:t>
      </w:r>
      <w:r w:rsidRPr="00F54559">
        <w:rPr>
          <w:rFonts w:eastAsia="Franklin Gothic Book" w:cstheme="minorHAnsi"/>
          <w:spacing w:val="-7"/>
          <w:sz w:val="24"/>
          <w:szCs w:val="24"/>
        </w:rPr>
        <w:t xml:space="preserve"> </w:t>
      </w:r>
      <w:r w:rsidRPr="00F54559">
        <w:rPr>
          <w:rFonts w:eastAsia="Franklin Gothic Book" w:cstheme="minorHAnsi"/>
          <w:spacing w:val="1"/>
          <w:sz w:val="24"/>
          <w:szCs w:val="24"/>
        </w:rPr>
        <w:t>t</w:t>
      </w:r>
      <w:r w:rsidRPr="00F54559">
        <w:rPr>
          <w:rFonts w:eastAsia="Franklin Gothic Book" w:cstheme="minorHAnsi"/>
          <w:sz w:val="24"/>
          <w:szCs w:val="24"/>
        </w:rPr>
        <w:t>he</w:t>
      </w:r>
      <w:r w:rsidRPr="00F54559">
        <w:rPr>
          <w:rFonts w:eastAsia="Franklin Gothic Book" w:cstheme="minorHAnsi"/>
          <w:spacing w:val="-7"/>
          <w:sz w:val="24"/>
          <w:szCs w:val="24"/>
        </w:rPr>
        <w:t xml:space="preserve"> </w:t>
      </w:r>
      <w:r w:rsidRPr="00F54559">
        <w:rPr>
          <w:rFonts w:eastAsia="Franklin Gothic Book" w:cstheme="minorHAnsi"/>
          <w:spacing w:val="1"/>
          <w:sz w:val="24"/>
          <w:szCs w:val="24"/>
        </w:rPr>
        <w:t>m</w:t>
      </w:r>
      <w:r w:rsidRPr="00F54559">
        <w:rPr>
          <w:rFonts w:eastAsia="Franklin Gothic Book" w:cstheme="minorHAnsi"/>
          <w:sz w:val="24"/>
          <w:szCs w:val="24"/>
        </w:rPr>
        <w:t>easu</w:t>
      </w:r>
      <w:r w:rsidRPr="00F54559">
        <w:rPr>
          <w:rFonts w:eastAsia="Franklin Gothic Book" w:cstheme="minorHAnsi"/>
          <w:spacing w:val="-1"/>
          <w:sz w:val="24"/>
          <w:szCs w:val="24"/>
        </w:rPr>
        <w:t>r</w:t>
      </w:r>
      <w:r w:rsidRPr="00F54559">
        <w:rPr>
          <w:rFonts w:eastAsia="Franklin Gothic Book" w:cstheme="minorHAnsi"/>
          <w:sz w:val="24"/>
          <w:szCs w:val="24"/>
        </w:rPr>
        <w:t>ement</w:t>
      </w:r>
      <w:r w:rsidRPr="00F54559">
        <w:rPr>
          <w:rFonts w:eastAsia="Franklin Gothic Book" w:cstheme="minorHAnsi"/>
          <w:spacing w:val="-6"/>
          <w:sz w:val="24"/>
          <w:szCs w:val="24"/>
        </w:rPr>
        <w:t xml:space="preserve"> </w:t>
      </w:r>
      <w:r w:rsidRPr="00F54559">
        <w:rPr>
          <w:rFonts w:eastAsia="Franklin Gothic Book" w:cstheme="minorHAnsi"/>
          <w:spacing w:val="-1"/>
          <w:sz w:val="24"/>
          <w:szCs w:val="24"/>
        </w:rPr>
        <w:t>p</w:t>
      </w:r>
      <w:r w:rsidRPr="00F54559">
        <w:rPr>
          <w:rFonts w:eastAsia="Franklin Gothic Book" w:cstheme="minorHAnsi"/>
          <w:sz w:val="24"/>
          <w:szCs w:val="24"/>
        </w:rPr>
        <w:t>e</w:t>
      </w:r>
      <w:r w:rsidRPr="00F54559">
        <w:rPr>
          <w:rFonts w:eastAsia="Franklin Gothic Book" w:cstheme="minorHAnsi"/>
          <w:spacing w:val="-2"/>
          <w:sz w:val="24"/>
          <w:szCs w:val="24"/>
        </w:rPr>
        <w:t>r</w:t>
      </w:r>
      <w:r w:rsidRPr="00F54559">
        <w:rPr>
          <w:rFonts w:eastAsia="Franklin Gothic Book" w:cstheme="minorHAnsi"/>
          <w:sz w:val="24"/>
          <w:szCs w:val="24"/>
        </w:rPr>
        <w:t>iod.</w:t>
      </w:r>
    </w:p>
    <w:p w14:paraId="401C4529" w14:textId="77777777" w:rsidR="00051D7E" w:rsidRDefault="00051D7E" w:rsidP="00051D7E">
      <w:pPr>
        <w:ind w:left="720" w:hanging="720"/>
        <w:rPr>
          <w:rFonts w:eastAsia="Franklin Gothic Book" w:cstheme="minorHAnsi"/>
          <w:sz w:val="24"/>
          <w:szCs w:val="24"/>
        </w:rPr>
      </w:pPr>
      <w:r w:rsidRPr="00F54559">
        <w:rPr>
          <w:rFonts w:eastAsia="Franklin Gothic Book" w:cstheme="minorHAnsi"/>
          <w:spacing w:val="-1"/>
          <w:sz w:val="24"/>
          <w:szCs w:val="24"/>
        </w:rPr>
        <w:t xml:space="preserve">2017: </w:t>
      </w:r>
      <w:r>
        <w:rPr>
          <w:rFonts w:eastAsia="Franklin Gothic Book" w:cstheme="minorHAnsi"/>
          <w:spacing w:val="-1"/>
          <w:sz w:val="24"/>
          <w:szCs w:val="24"/>
        </w:rPr>
        <w:tab/>
      </w:r>
      <w:r w:rsidRPr="00F54559">
        <w:rPr>
          <w:rFonts w:eastAsia="Franklin Gothic Book" w:cstheme="minorHAnsi"/>
          <w:spacing w:val="-1"/>
          <w:sz w:val="24"/>
          <w:szCs w:val="24"/>
        </w:rPr>
        <w:t>T</w:t>
      </w:r>
      <w:r w:rsidRPr="00F54559">
        <w:rPr>
          <w:rFonts w:eastAsia="Franklin Gothic Book" w:cstheme="minorHAnsi"/>
          <w:sz w:val="24"/>
          <w:szCs w:val="24"/>
        </w:rPr>
        <w:t>he</w:t>
      </w:r>
      <w:r w:rsidRPr="00F54559">
        <w:rPr>
          <w:rFonts w:eastAsia="Franklin Gothic Book" w:cstheme="minorHAnsi"/>
          <w:spacing w:val="9"/>
          <w:sz w:val="24"/>
          <w:szCs w:val="24"/>
        </w:rPr>
        <w:t xml:space="preserve"> </w:t>
      </w:r>
      <w:r w:rsidRPr="00F54559">
        <w:rPr>
          <w:rFonts w:eastAsia="Franklin Gothic Book" w:cstheme="minorHAnsi"/>
          <w:sz w:val="24"/>
          <w:szCs w:val="24"/>
        </w:rPr>
        <w:t>discount</w:t>
      </w:r>
      <w:r w:rsidRPr="00F54559">
        <w:rPr>
          <w:rFonts w:eastAsia="Franklin Gothic Book" w:cstheme="minorHAnsi"/>
          <w:spacing w:val="12"/>
          <w:sz w:val="24"/>
          <w:szCs w:val="24"/>
        </w:rPr>
        <w:t xml:space="preserve"> </w:t>
      </w:r>
      <w:r w:rsidRPr="00F54559">
        <w:rPr>
          <w:rFonts w:eastAsia="Franklin Gothic Book" w:cstheme="minorHAnsi"/>
          <w:spacing w:val="-1"/>
          <w:sz w:val="24"/>
          <w:szCs w:val="24"/>
        </w:rPr>
        <w:t>r</w:t>
      </w:r>
      <w:r w:rsidRPr="00F54559">
        <w:rPr>
          <w:rFonts w:eastAsia="Franklin Gothic Book" w:cstheme="minorHAnsi"/>
          <w:sz w:val="24"/>
          <w:szCs w:val="24"/>
        </w:rPr>
        <w:t>a</w:t>
      </w:r>
      <w:r w:rsidRPr="00F54559">
        <w:rPr>
          <w:rFonts w:eastAsia="Franklin Gothic Book" w:cstheme="minorHAnsi"/>
          <w:spacing w:val="1"/>
          <w:sz w:val="24"/>
          <w:szCs w:val="24"/>
        </w:rPr>
        <w:t>t</w:t>
      </w:r>
      <w:r w:rsidRPr="00F54559">
        <w:rPr>
          <w:rFonts w:eastAsia="Franklin Gothic Book" w:cstheme="minorHAnsi"/>
          <w:sz w:val="24"/>
          <w:szCs w:val="24"/>
        </w:rPr>
        <w:t>e</w:t>
      </w:r>
      <w:r w:rsidRPr="00F54559">
        <w:rPr>
          <w:rFonts w:eastAsia="Franklin Gothic Book" w:cstheme="minorHAnsi"/>
          <w:spacing w:val="9"/>
          <w:sz w:val="24"/>
          <w:szCs w:val="24"/>
        </w:rPr>
        <w:t xml:space="preserve"> </w:t>
      </w:r>
      <w:r w:rsidRPr="00F54559">
        <w:rPr>
          <w:rFonts w:eastAsia="Franklin Gothic Book" w:cstheme="minorHAnsi"/>
          <w:sz w:val="24"/>
          <w:szCs w:val="24"/>
        </w:rPr>
        <w:t>changed</w:t>
      </w:r>
      <w:r w:rsidRPr="00F54559">
        <w:rPr>
          <w:rFonts w:eastAsia="Franklin Gothic Book" w:cstheme="minorHAnsi"/>
          <w:spacing w:val="11"/>
          <w:sz w:val="24"/>
          <w:szCs w:val="24"/>
        </w:rPr>
        <w:t xml:space="preserve"> </w:t>
      </w:r>
      <w:r w:rsidRPr="00F54559">
        <w:rPr>
          <w:rFonts w:eastAsia="Franklin Gothic Book" w:cstheme="minorHAnsi"/>
          <w:sz w:val="24"/>
          <w:szCs w:val="24"/>
        </w:rPr>
        <w:t>f</w:t>
      </w:r>
      <w:r w:rsidRPr="00F54559">
        <w:rPr>
          <w:rFonts w:eastAsia="Franklin Gothic Book" w:cstheme="minorHAnsi"/>
          <w:spacing w:val="-1"/>
          <w:sz w:val="24"/>
          <w:szCs w:val="24"/>
        </w:rPr>
        <w:t>r</w:t>
      </w:r>
      <w:r w:rsidRPr="00F54559">
        <w:rPr>
          <w:rFonts w:eastAsia="Franklin Gothic Book" w:cstheme="minorHAnsi"/>
          <w:sz w:val="24"/>
          <w:szCs w:val="24"/>
        </w:rPr>
        <w:t>om</w:t>
      </w:r>
      <w:r w:rsidRPr="00F54559">
        <w:rPr>
          <w:rFonts w:eastAsia="Franklin Gothic Book" w:cstheme="minorHAnsi"/>
          <w:spacing w:val="11"/>
          <w:sz w:val="24"/>
          <w:szCs w:val="24"/>
        </w:rPr>
        <w:t xml:space="preserve"> </w:t>
      </w:r>
      <w:r w:rsidRPr="00F54559">
        <w:rPr>
          <w:rFonts w:eastAsia="Franklin Gothic Book" w:cstheme="minorHAnsi"/>
          <w:sz w:val="24"/>
          <w:szCs w:val="24"/>
        </w:rPr>
        <w:t>2.85%</w:t>
      </w:r>
      <w:r w:rsidRPr="00F54559">
        <w:rPr>
          <w:rFonts w:eastAsia="Franklin Gothic Book" w:cstheme="minorHAnsi"/>
          <w:spacing w:val="12"/>
          <w:sz w:val="24"/>
          <w:szCs w:val="24"/>
        </w:rPr>
        <w:t xml:space="preserve"> </w:t>
      </w:r>
      <w:r w:rsidRPr="00F54559">
        <w:rPr>
          <w:rFonts w:eastAsia="Franklin Gothic Book" w:cstheme="minorHAnsi"/>
          <w:sz w:val="24"/>
          <w:szCs w:val="24"/>
        </w:rPr>
        <w:t>as</w:t>
      </w:r>
      <w:r w:rsidRPr="00F54559">
        <w:rPr>
          <w:rFonts w:eastAsia="Franklin Gothic Book" w:cstheme="minorHAnsi"/>
          <w:spacing w:val="11"/>
          <w:sz w:val="24"/>
          <w:szCs w:val="24"/>
        </w:rPr>
        <w:t xml:space="preserve"> </w:t>
      </w:r>
      <w:r w:rsidRPr="00F54559">
        <w:rPr>
          <w:rFonts w:eastAsia="Franklin Gothic Book" w:cstheme="minorHAnsi"/>
          <w:spacing w:val="-1"/>
          <w:sz w:val="24"/>
          <w:szCs w:val="24"/>
        </w:rPr>
        <w:t>o</w:t>
      </w:r>
      <w:r w:rsidRPr="00F54559">
        <w:rPr>
          <w:rFonts w:eastAsia="Franklin Gothic Book" w:cstheme="minorHAnsi"/>
          <w:sz w:val="24"/>
          <w:szCs w:val="24"/>
        </w:rPr>
        <w:t>f</w:t>
      </w:r>
      <w:r w:rsidRPr="00F54559">
        <w:rPr>
          <w:rFonts w:eastAsia="Franklin Gothic Book" w:cstheme="minorHAnsi"/>
          <w:spacing w:val="11"/>
          <w:sz w:val="24"/>
          <w:szCs w:val="24"/>
        </w:rPr>
        <w:t xml:space="preserve"> </w:t>
      </w:r>
      <w:r w:rsidRPr="00F54559">
        <w:rPr>
          <w:rFonts w:eastAsia="Franklin Gothic Book" w:cstheme="minorHAnsi"/>
          <w:sz w:val="24"/>
          <w:szCs w:val="24"/>
        </w:rPr>
        <w:t>the</w:t>
      </w:r>
      <w:r w:rsidRPr="00F54559">
        <w:rPr>
          <w:rFonts w:eastAsia="Franklin Gothic Book" w:cstheme="minorHAnsi"/>
          <w:spacing w:val="10"/>
          <w:sz w:val="24"/>
          <w:szCs w:val="24"/>
        </w:rPr>
        <w:t xml:space="preserve"> </w:t>
      </w:r>
      <w:r w:rsidRPr="00F54559">
        <w:rPr>
          <w:rFonts w:eastAsia="Franklin Gothic Book" w:cstheme="minorHAnsi"/>
          <w:sz w:val="24"/>
          <w:szCs w:val="24"/>
        </w:rPr>
        <w:t>beginning</w:t>
      </w:r>
      <w:r w:rsidRPr="00F54559">
        <w:rPr>
          <w:rFonts w:eastAsia="Franklin Gothic Book" w:cstheme="minorHAnsi"/>
          <w:spacing w:val="11"/>
          <w:sz w:val="24"/>
          <w:szCs w:val="24"/>
        </w:rPr>
        <w:t xml:space="preserve"> </w:t>
      </w:r>
      <w:r w:rsidRPr="00F54559">
        <w:rPr>
          <w:rFonts w:eastAsia="Franklin Gothic Book" w:cstheme="minorHAnsi"/>
          <w:spacing w:val="-1"/>
          <w:sz w:val="24"/>
          <w:szCs w:val="24"/>
        </w:rPr>
        <w:t>o</w:t>
      </w:r>
      <w:r w:rsidRPr="00F54559">
        <w:rPr>
          <w:rFonts w:eastAsia="Franklin Gothic Book" w:cstheme="minorHAnsi"/>
          <w:sz w:val="24"/>
          <w:szCs w:val="24"/>
        </w:rPr>
        <w:t>f</w:t>
      </w:r>
      <w:r w:rsidRPr="00F54559">
        <w:rPr>
          <w:rFonts w:eastAsia="Franklin Gothic Book" w:cstheme="minorHAnsi"/>
          <w:spacing w:val="10"/>
          <w:sz w:val="24"/>
          <w:szCs w:val="24"/>
        </w:rPr>
        <w:t xml:space="preserve"> </w:t>
      </w:r>
      <w:r w:rsidRPr="00F54559">
        <w:rPr>
          <w:rFonts w:eastAsia="Franklin Gothic Book" w:cstheme="minorHAnsi"/>
          <w:sz w:val="24"/>
          <w:szCs w:val="24"/>
        </w:rPr>
        <w:t>the</w:t>
      </w:r>
      <w:r w:rsidRPr="00F54559">
        <w:rPr>
          <w:rFonts w:eastAsia="Franklin Gothic Book" w:cstheme="minorHAnsi"/>
          <w:spacing w:val="8"/>
          <w:sz w:val="24"/>
          <w:szCs w:val="24"/>
        </w:rPr>
        <w:t xml:space="preserve"> </w:t>
      </w:r>
      <w:r w:rsidRPr="00F54559">
        <w:rPr>
          <w:rFonts w:eastAsia="Franklin Gothic Book" w:cstheme="minorHAnsi"/>
          <w:sz w:val="24"/>
          <w:szCs w:val="24"/>
        </w:rPr>
        <w:t>measu</w:t>
      </w:r>
      <w:r w:rsidRPr="00F54559">
        <w:rPr>
          <w:rFonts w:eastAsia="Franklin Gothic Book" w:cstheme="minorHAnsi"/>
          <w:spacing w:val="-1"/>
          <w:sz w:val="24"/>
          <w:szCs w:val="24"/>
        </w:rPr>
        <w:t>r</w:t>
      </w:r>
      <w:r w:rsidRPr="00F54559">
        <w:rPr>
          <w:rFonts w:eastAsia="Franklin Gothic Book" w:cstheme="minorHAnsi"/>
          <w:sz w:val="24"/>
          <w:szCs w:val="24"/>
        </w:rPr>
        <w:t>ement</w:t>
      </w:r>
      <w:r w:rsidRPr="00F54559">
        <w:rPr>
          <w:rFonts w:eastAsia="Franklin Gothic Book" w:cstheme="minorHAnsi"/>
          <w:spacing w:val="12"/>
          <w:sz w:val="24"/>
          <w:szCs w:val="24"/>
        </w:rPr>
        <w:t xml:space="preserve"> </w:t>
      </w:r>
      <w:r w:rsidRPr="00F54559">
        <w:rPr>
          <w:rFonts w:eastAsia="Franklin Gothic Book" w:cstheme="minorHAnsi"/>
          <w:spacing w:val="-1"/>
          <w:sz w:val="24"/>
          <w:szCs w:val="24"/>
        </w:rPr>
        <w:t>p</w:t>
      </w:r>
      <w:r w:rsidRPr="00F54559">
        <w:rPr>
          <w:rFonts w:eastAsia="Franklin Gothic Book" w:cstheme="minorHAnsi"/>
          <w:sz w:val="24"/>
          <w:szCs w:val="24"/>
        </w:rPr>
        <w:t>e</w:t>
      </w:r>
      <w:r w:rsidRPr="00F54559">
        <w:rPr>
          <w:rFonts w:eastAsia="Franklin Gothic Book" w:cstheme="minorHAnsi"/>
          <w:spacing w:val="-2"/>
          <w:sz w:val="24"/>
          <w:szCs w:val="24"/>
        </w:rPr>
        <w:t>r</w:t>
      </w:r>
      <w:r w:rsidRPr="00F54559">
        <w:rPr>
          <w:rFonts w:eastAsia="Franklin Gothic Book" w:cstheme="minorHAnsi"/>
          <w:sz w:val="24"/>
          <w:szCs w:val="24"/>
        </w:rPr>
        <w:t>iod</w:t>
      </w:r>
      <w:r w:rsidRPr="00F54559">
        <w:rPr>
          <w:rFonts w:eastAsia="Franklin Gothic Book" w:cstheme="minorHAnsi"/>
          <w:spacing w:val="8"/>
          <w:sz w:val="24"/>
          <w:szCs w:val="24"/>
        </w:rPr>
        <w:t xml:space="preserve"> </w:t>
      </w:r>
      <w:r w:rsidRPr="00F54559">
        <w:rPr>
          <w:rFonts w:eastAsia="Franklin Gothic Book" w:cstheme="minorHAnsi"/>
          <w:spacing w:val="1"/>
          <w:sz w:val="24"/>
          <w:szCs w:val="24"/>
        </w:rPr>
        <w:t>t</w:t>
      </w:r>
      <w:r w:rsidRPr="00F54559">
        <w:rPr>
          <w:rFonts w:eastAsia="Franklin Gothic Book" w:cstheme="minorHAnsi"/>
          <w:sz w:val="24"/>
          <w:szCs w:val="24"/>
        </w:rPr>
        <w:t>o</w:t>
      </w:r>
      <w:r w:rsidRPr="00F54559">
        <w:rPr>
          <w:rFonts w:eastAsia="Franklin Gothic Book" w:cstheme="minorHAnsi"/>
          <w:spacing w:val="10"/>
          <w:sz w:val="24"/>
          <w:szCs w:val="24"/>
        </w:rPr>
        <w:t xml:space="preserve"> </w:t>
      </w:r>
      <w:r w:rsidRPr="00F54559">
        <w:rPr>
          <w:rFonts w:eastAsia="Franklin Gothic Book" w:cstheme="minorHAnsi"/>
          <w:sz w:val="24"/>
          <w:szCs w:val="24"/>
        </w:rPr>
        <w:t>3.58%</w:t>
      </w:r>
      <w:r w:rsidRPr="00F54559">
        <w:rPr>
          <w:rFonts w:eastAsia="Franklin Gothic Book" w:cstheme="minorHAnsi"/>
          <w:spacing w:val="8"/>
          <w:sz w:val="24"/>
          <w:szCs w:val="24"/>
        </w:rPr>
        <w:t xml:space="preserve"> </w:t>
      </w:r>
      <w:r w:rsidRPr="00F54559">
        <w:rPr>
          <w:rFonts w:eastAsia="Franklin Gothic Book" w:cstheme="minorHAnsi"/>
          <w:sz w:val="24"/>
          <w:szCs w:val="24"/>
        </w:rPr>
        <w:t>as</w:t>
      </w:r>
      <w:r w:rsidRPr="00F54559">
        <w:rPr>
          <w:rFonts w:eastAsia="Franklin Gothic Book" w:cstheme="minorHAnsi"/>
          <w:spacing w:val="12"/>
          <w:sz w:val="24"/>
          <w:szCs w:val="24"/>
        </w:rPr>
        <w:t xml:space="preserve"> </w:t>
      </w:r>
      <w:r w:rsidRPr="00F54559">
        <w:rPr>
          <w:rFonts w:eastAsia="Franklin Gothic Book" w:cstheme="minorHAnsi"/>
          <w:spacing w:val="-1"/>
          <w:sz w:val="24"/>
          <w:szCs w:val="24"/>
        </w:rPr>
        <w:t>o</w:t>
      </w:r>
      <w:r w:rsidRPr="00F54559">
        <w:rPr>
          <w:rFonts w:eastAsia="Franklin Gothic Book" w:cstheme="minorHAnsi"/>
          <w:sz w:val="24"/>
          <w:szCs w:val="24"/>
        </w:rPr>
        <w:t>f</w:t>
      </w:r>
      <w:r w:rsidRPr="00F54559">
        <w:rPr>
          <w:rFonts w:eastAsia="Franklin Gothic Book" w:cstheme="minorHAnsi"/>
          <w:spacing w:val="8"/>
          <w:sz w:val="24"/>
          <w:szCs w:val="24"/>
        </w:rPr>
        <w:t xml:space="preserve"> </w:t>
      </w:r>
      <w:r w:rsidRPr="00F54559">
        <w:rPr>
          <w:rFonts w:eastAsia="Franklin Gothic Book" w:cstheme="minorHAnsi"/>
          <w:sz w:val="24"/>
          <w:szCs w:val="24"/>
        </w:rPr>
        <w:t>the</w:t>
      </w:r>
      <w:r w:rsidRPr="00F54559">
        <w:rPr>
          <w:rFonts w:eastAsia="Franklin Gothic Book" w:cstheme="minorHAnsi"/>
          <w:w w:val="99"/>
          <w:sz w:val="24"/>
          <w:szCs w:val="24"/>
        </w:rPr>
        <w:t xml:space="preserve"> </w:t>
      </w:r>
      <w:r w:rsidRPr="00F54559">
        <w:rPr>
          <w:rFonts w:eastAsia="Franklin Gothic Book" w:cstheme="minorHAnsi"/>
          <w:sz w:val="24"/>
          <w:szCs w:val="24"/>
        </w:rPr>
        <w:t>end</w:t>
      </w:r>
      <w:r w:rsidRPr="00F54559">
        <w:rPr>
          <w:rFonts w:eastAsia="Franklin Gothic Book" w:cstheme="minorHAnsi"/>
          <w:spacing w:val="-7"/>
          <w:sz w:val="24"/>
          <w:szCs w:val="24"/>
        </w:rPr>
        <w:t xml:space="preserve"> </w:t>
      </w:r>
      <w:r w:rsidRPr="00F54559">
        <w:rPr>
          <w:rFonts w:eastAsia="Franklin Gothic Book" w:cstheme="minorHAnsi"/>
          <w:sz w:val="24"/>
          <w:szCs w:val="24"/>
        </w:rPr>
        <w:t>of</w:t>
      </w:r>
      <w:r w:rsidRPr="00F54559">
        <w:rPr>
          <w:rFonts w:eastAsia="Franklin Gothic Book" w:cstheme="minorHAnsi"/>
          <w:spacing w:val="-7"/>
          <w:sz w:val="24"/>
          <w:szCs w:val="24"/>
        </w:rPr>
        <w:t xml:space="preserve"> </w:t>
      </w:r>
      <w:r w:rsidRPr="00F54559">
        <w:rPr>
          <w:rFonts w:eastAsia="Franklin Gothic Book" w:cstheme="minorHAnsi"/>
          <w:spacing w:val="1"/>
          <w:sz w:val="24"/>
          <w:szCs w:val="24"/>
        </w:rPr>
        <w:t>t</w:t>
      </w:r>
      <w:r w:rsidRPr="00F54559">
        <w:rPr>
          <w:rFonts w:eastAsia="Franklin Gothic Book" w:cstheme="minorHAnsi"/>
          <w:sz w:val="24"/>
          <w:szCs w:val="24"/>
        </w:rPr>
        <w:t>he</w:t>
      </w:r>
      <w:r w:rsidRPr="00F54559">
        <w:rPr>
          <w:rFonts w:eastAsia="Franklin Gothic Book" w:cstheme="minorHAnsi"/>
          <w:spacing w:val="-7"/>
          <w:sz w:val="24"/>
          <w:szCs w:val="24"/>
        </w:rPr>
        <w:t xml:space="preserve"> </w:t>
      </w:r>
      <w:r w:rsidRPr="00F54559">
        <w:rPr>
          <w:rFonts w:eastAsia="Franklin Gothic Book" w:cstheme="minorHAnsi"/>
          <w:spacing w:val="1"/>
          <w:sz w:val="24"/>
          <w:szCs w:val="24"/>
        </w:rPr>
        <w:t>m</w:t>
      </w:r>
      <w:r w:rsidRPr="00F54559">
        <w:rPr>
          <w:rFonts w:eastAsia="Franklin Gothic Book" w:cstheme="minorHAnsi"/>
          <w:sz w:val="24"/>
          <w:szCs w:val="24"/>
        </w:rPr>
        <w:t>easu</w:t>
      </w:r>
      <w:r w:rsidRPr="00F54559">
        <w:rPr>
          <w:rFonts w:eastAsia="Franklin Gothic Book" w:cstheme="minorHAnsi"/>
          <w:spacing w:val="-1"/>
          <w:sz w:val="24"/>
          <w:szCs w:val="24"/>
        </w:rPr>
        <w:t>r</w:t>
      </w:r>
      <w:r w:rsidRPr="00F54559">
        <w:rPr>
          <w:rFonts w:eastAsia="Franklin Gothic Book" w:cstheme="minorHAnsi"/>
          <w:sz w:val="24"/>
          <w:szCs w:val="24"/>
        </w:rPr>
        <w:t>ement</w:t>
      </w:r>
      <w:r w:rsidRPr="00F54559">
        <w:rPr>
          <w:rFonts w:eastAsia="Franklin Gothic Book" w:cstheme="minorHAnsi"/>
          <w:spacing w:val="-6"/>
          <w:sz w:val="24"/>
          <w:szCs w:val="24"/>
        </w:rPr>
        <w:t xml:space="preserve"> </w:t>
      </w:r>
      <w:r w:rsidRPr="00F54559">
        <w:rPr>
          <w:rFonts w:eastAsia="Franklin Gothic Book" w:cstheme="minorHAnsi"/>
          <w:spacing w:val="-1"/>
          <w:sz w:val="24"/>
          <w:szCs w:val="24"/>
        </w:rPr>
        <w:t>p</w:t>
      </w:r>
      <w:r w:rsidRPr="00F54559">
        <w:rPr>
          <w:rFonts w:eastAsia="Franklin Gothic Book" w:cstheme="minorHAnsi"/>
          <w:sz w:val="24"/>
          <w:szCs w:val="24"/>
        </w:rPr>
        <w:t>e</w:t>
      </w:r>
      <w:r w:rsidRPr="00F54559">
        <w:rPr>
          <w:rFonts w:eastAsia="Franklin Gothic Book" w:cstheme="minorHAnsi"/>
          <w:spacing w:val="-2"/>
          <w:sz w:val="24"/>
          <w:szCs w:val="24"/>
        </w:rPr>
        <w:t>r</w:t>
      </w:r>
      <w:r w:rsidRPr="00F54559">
        <w:rPr>
          <w:rFonts w:eastAsia="Franklin Gothic Book" w:cstheme="minorHAnsi"/>
          <w:sz w:val="24"/>
          <w:szCs w:val="24"/>
        </w:rPr>
        <w:t>iod.</w:t>
      </w:r>
    </w:p>
    <w:p w14:paraId="17961D4C" w14:textId="77777777" w:rsidR="00051D7E" w:rsidRDefault="00051D7E" w:rsidP="00051D7E">
      <w:pPr>
        <w:ind w:left="720" w:hanging="720"/>
        <w:rPr>
          <w:rFonts w:eastAsia="Franklin Gothic Book" w:cstheme="minorHAnsi"/>
          <w:sz w:val="24"/>
          <w:szCs w:val="24"/>
        </w:rPr>
      </w:pPr>
    </w:p>
    <w:p w14:paraId="74EEB98F" w14:textId="77777777" w:rsidR="00051D7E" w:rsidRDefault="00051D7E" w:rsidP="00051D7E">
      <w:pPr>
        <w:ind w:left="720" w:hanging="720"/>
        <w:rPr>
          <w:rFonts w:eastAsia="Franklin Gothic Book" w:cstheme="minorHAnsi"/>
          <w:i/>
          <w:sz w:val="24"/>
          <w:szCs w:val="24"/>
        </w:rPr>
      </w:pPr>
      <w:r w:rsidRPr="00F54559">
        <w:rPr>
          <w:rFonts w:eastAsia="Franklin Gothic Book" w:cstheme="minorHAnsi"/>
          <w:i/>
          <w:sz w:val="24"/>
          <w:szCs w:val="24"/>
        </w:rPr>
        <w:t>Me</w:t>
      </w:r>
      <w:r w:rsidRPr="00F54559">
        <w:rPr>
          <w:rFonts w:eastAsia="Franklin Gothic Book" w:cstheme="minorHAnsi"/>
          <w:i/>
          <w:spacing w:val="-2"/>
          <w:sz w:val="24"/>
          <w:szCs w:val="24"/>
        </w:rPr>
        <w:t>t</w:t>
      </w:r>
      <w:r w:rsidRPr="00F54559">
        <w:rPr>
          <w:rFonts w:eastAsia="Franklin Gothic Book" w:cstheme="minorHAnsi"/>
          <w:i/>
          <w:sz w:val="24"/>
          <w:szCs w:val="24"/>
        </w:rPr>
        <w:t>h</w:t>
      </w:r>
      <w:r w:rsidRPr="00F54559">
        <w:rPr>
          <w:rFonts w:eastAsia="Franklin Gothic Book" w:cstheme="minorHAnsi"/>
          <w:i/>
          <w:spacing w:val="-1"/>
          <w:sz w:val="24"/>
          <w:szCs w:val="24"/>
        </w:rPr>
        <w:t>o</w:t>
      </w:r>
      <w:r w:rsidRPr="00F54559">
        <w:rPr>
          <w:rFonts w:eastAsia="Franklin Gothic Book" w:cstheme="minorHAnsi"/>
          <w:i/>
          <w:sz w:val="24"/>
          <w:szCs w:val="24"/>
        </w:rPr>
        <w:t>ds</w:t>
      </w:r>
      <w:r w:rsidRPr="00F54559">
        <w:rPr>
          <w:rFonts w:eastAsia="Franklin Gothic Book" w:cstheme="minorHAnsi"/>
          <w:i/>
          <w:spacing w:val="-9"/>
          <w:sz w:val="24"/>
          <w:szCs w:val="24"/>
        </w:rPr>
        <w:t xml:space="preserve"> </w:t>
      </w:r>
      <w:r w:rsidRPr="00F54559">
        <w:rPr>
          <w:rFonts w:eastAsia="Franklin Gothic Book" w:cstheme="minorHAnsi"/>
          <w:i/>
          <w:spacing w:val="-2"/>
          <w:sz w:val="24"/>
          <w:szCs w:val="24"/>
        </w:rPr>
        <w:t>an</w:t>
      </w:r>
      <w:r w:rsidRPr="00F54559">
        <w:rPr>
          <w:rFonts w:eastAsia="Franklin Gothic Book" w:cstheme="minorHAnsi"/>
          <w:i/>
          <w:sz w:val="24"/>
          <w:szCs w:val="24"/>
        </w:rPr>
        <w:t>d</w:t>
      </w:r>
      <w:r w:rsidRPr="00F54559">
        <w:rPr>
          <w:rFonts w:eastAsia="Franklin Gothic Book" w:cstheme="minorHAnsi"/>
          <w:i/>
          <w:spacing w:val="-8"/>
          <w:sz w:val="24"/>
          <w:szCs w:val="24"/>
        </w:rPr>
        <w:t xml:space="preserve"> </w:t>
      </w:r>
      <w:r w:rsidRPr="00F54559">
        <w:rPr>
          <w:rFonts w:eastAsia="Franklin Gothic Book" w:cstheme="minorHAnsi"/>
          <w:i/>
          <w:spacing w:val="-2"/>
          <w:sz w:val="24"/>
          <w:szCs w:val="24"/>
        </w:rPr>
        <w:t>a</w:t>
      </w:r>
      <w:r w:rsidRPr="00F54559">
        <w:rPr>
          <w:rFonts w:eastAsia="Franklin Gothic Book" w:cstheme="minorHAnsi"/>
          <w:i/>
          <w:spacing w:val="-1"/>
          <w:sz w:val="24"/>
          <w:szCs w:val="24"/>
        </w:rPr>
        <w:t>ss</w:t>
      </w:r>
      <w:r w:rsidRPr="00F54559">
        <w:rPr>
          <w:rFonts w:eastAsia="Franklin Gothic Book" w:cstheme="minorHAnsi"/>
          <w:i/>
          <w:sz w:val="24"/>
          <w:szCs w:val="24"/>
        </w:rPr>
        <w:t>um</w:t>
      </w:r>
      <w:r w:rsidRPr="00F54559">
        <w:rPr>
          <w:rFonts w:eastAsia="Franklin Gothic Book" w:cstheme="minorHAnsi"/>
          <w:i/>
          <w:spacing w:val="-1"/>
          <w:sz w:val="24"/>
          <w:szCs w:val="24"/>
        </w:rPr>
        <w:t>p</w:t>
      </w:r>
      <w:r w:rsidRPr="00F54559">
        <w:rPr>
          <w:rFonts w:eastAsia="Franklin Gothic Book" w:cstheme="minorHAnsi"/>
          <w:i/>
          <w:spacing w:val="-2"/>
          <w:sz w:val="24"/>
          <w:szCs w:val="24"/>
        </w:rPr>
        <w:t>t</w:t>
      </w:r>
      <w:r w:rsidRPr="00F54559">
        <w:rPr>
          <w:rFonts w:eastAsia="Franklin Gothic Book" w:cstheme="minorHAnsi"/>
          <w:i/>
          <w:sz w:val="24"/>
          <w:szCs w:val="24"/>
        </w:rPr>
        <w:t>i</w:t>
      </w:r>
      <w:r w:rsidRPr="00F54559">
        <w:rPr>
          <w:rFonts w:eastAsia="Franklin Gothic Book" w:cstheme="minorHAnsi"/>
          <w:i/>
          <w:spacing w:val="-1"/>
          <w:sz w:val="24"/>
          <w:szCs w:val="24"/>
        </w:rPr>
        <w:t>o</w:t>
      </w:r>
      <w:r w:rsidRPr="00F54559">
        <w:rPr>
          <w:rFonts w:eastAsia="Franklin Gothic Book" w:cstheme="minorHAnsi"/>
          <w:i/>
          <w:spacing w:val="-2"/>
          <w:sz w:val="24"/>
          <w:szCs w:val="24"/>
        </w:rPr>
        <w:t>n</w:t>
      </w:r>
      <w:r w:rsidRPr="00F54559">
        <w:rPr>
          <w:rFonts w:eastAsia="Franklin Gothic Book" w:cstheme="minorHAnsi"/>
          <w:i/>
          <w:sz w:val="24"/>
          <w:szCs w:val="24"/>
        </w:rPr>
        <w:t>s</w:t>
      </w:r>
      <w:r w:rsidRPr="00F54559">
        <w:rPr>
          <w:rFonts w:eastAsia="Franklin Gothic Book" w:cstheme="minorHAnsi"/>
          <w:i/>
          <w:spacing w:val="-9"/>
          <w:sz w:val="24"/>
          <w:szCs w:val="24"/>
        </w:rPr>
        <w:t xml:space="preserve"> </w:t>
      </w:r>
      <w:r w:rsidRPr="00F54559">
        <w:rPr>
          <w:rFonts w:eastAsia="Franklin Gothic Book" w:cstheme="minorHAnsi"/>
          <w:i/>
          <w:sz w:val="24"/>
          <w:szCs w:val="24"/>
        </w:rPr>
        <w:t>u</w:t>
      </w:r>
      <w:r w:rsidRPr="00F54559">
        <w:rPr>
          <w:rFonts w:eastAsia="Franklin Gothic Book" w:cstheme="minorHAnsi"/>
          <w:i/>
          <w:spacing w:val="-1"/>
          <w:sz w:val="24"/>
          <w:szCs w:val="24"/>
        </w:rPr>
        <w:t>s</w:t>
      </w:r>
      <w:r w:rsidRPr="00F54559">
        <w:rPr>
          <w:rFonts w:eastAsia="Franklin Gothic Book" w:cstheme="minorHAnsi"/>
          <w:i/>
          <w:sz w:val="24"/>
          <w:szCs w:val="24"/>
        </w:rPr>
        <w:t>ed</w:t>
      </w:r>
      <w:r w:rsidRPr="00F54559">
        <w:rPr>
          <w:rFonts w:eastAsia="Franklin Gothic Book" w:cstheme="minorHAnsi"/>
          <w:i/>
          <w:spacing w:val="-7"/>
          <w:sz w:val="24"/>
          <w:szCs w:val="24"/>
        </w:rPr>
        <w:t xml:space="preserve"> </w:t>
      </w:r>
      <w:r w:rsidRPr="00F54559">
        <w:rPr>
          <w:rFonts w:eastAsia="Franklin Gothic Book" w:cstheme="minorHAnsi"/>
          <w:i/>
          <w:sz w:val="24"/>
          <w:szCs w:val="24"/>
        </w:rPr>
        <w:t>in</w:t>
      </w:r>
      <w:r w:rsidRPr="00F54559">
        <w:rPr>
          <w:rFonts w:eastAsia="Franklin Gothic Book" w:cstheme="minorHAnsi"/>
          <w:i/>
          <w:spacing w:val="-10"/>
          <w:sz w:val="24"/>
          <w:szCs w:val="24"/>
        </w:rPr>
        <w:t xml:space="preserve"> </w:t>
      </w:r>
      <w:r w:rsidRPr="00F54559">
        <w:rPr>
          <w:rFonts w:eastAsia="Franklin Gothic Book" w:cstheme="minorHAnsi"/>
          <w:i/>
          <w:spacing w:val="-1"/>
          <w:sz w:val="24"/>
          <w:szCs w:val="24"/>
        </w:rPr>
        <w:t>c</w:t>
      </w:r>
      <w:r w:rsidRPr="00F54559">
        <w:rPr>
          <w:rFonts w:eastAsia="Franklin Gothic Book" w:cstheme="minorHAnsi"/>
          <w:i/>
          <w:spacing w:val="-2"/>
          <w:sz w:val="24"/>
          <w:szCs w:val="24"/>
        </w:rPr>
        <w:t>a</w:t>
      </w:r>
      <w:r w:rsidRPr="00F54559">
        <w:rPr>
          <w:rFonts w:eastAsia="Franklin Gothic Book" w:cstheme="minorHAnsi"/>
          <w:i/>
          <w:sz w:val="24"/>
          <w:szCs w:val="24"/>
        </w:rPr>
        <w:t>l</w:t>
      </w:r>
      <w:r w:rsidRPr="00F54559">
        <w:rPr>
          <w:rFonts w:eastAsia="Franklin Gothic Book" w:cstheme="minorHAnsi"/>
          <w:i/>
          <w:spacing w:val="-1"/>
          <w:sz w:val="24"/>
          <w:szCs w:val="24"/>
        </w:rPr>
        <w:t>c</w:t>
      </w:r>
      <w:r w:rsidRPr="00F54559">
        <w:rPr>
          <w:rFonts w:eastAsia="Franklin Gothic Book" w:cstheme="minorHAnsi"/>
          <w:i/>
          <w:sz w:val="24"/>
          <w:szCs w:val="24"/>
        </w:rPr>
        <w:t>ul</w:t>
      </w:r>
      <w:r w:rsidRPr="00F54559">
        <w:rPr>
          <w:rFonts w:eastAsia="Franklin Gothic Book" w:cstheme="minorHAnsi"/>
          <w:i/>
          <w:spacing w:val="-2"/>
          <w:sz w:val="24"/>
          <w:szCs w:val="24"/>
        </w:rPr>
        <w:t>at</w:t>
      </w:r>
      <w:r w:rsidRPr="00F54559">
        <w:rPr>
          <w:rFonts w:eastAsia="Franklin Gothic Book" w:cstheme="minorHAnsi"/>
          <w:i/>
          <w:sz w:val="24"/>
          <w:szCs w:val="24"/>
        </w:rPr>
        <w:t>i</w:t>
      </w:r>
      <w:r w:rsidRPr="00F54559">
        <w:rPr>
          <w:rFonts w:eastAsia="Franklin Gothic Book" w:cstheme="minorHAnsi"/>
          <w:i/>
          <w:spacing w:val="-1"/>
          <w:sz w:val="24"/>
          <w:szCs w:val="24"/>
        </w:rPr>
        <w:t>o</w:t>
      </w:r>
      <w:r w:rsidRPr="00F54559">
        <w:rPr>
          <w:rFonts w:eastAsia="Franklin Gothic Book" w:cstheme="minorHAnsi"/>
          <w:i/>
          <w:spacing w:val="-2"/>
          <w:sz w:val="24"/>
          <w:szCs w:val="24"/>
        </w:rPr>
        <w:t>n</w:t>
      </w:r>
      <w:r w:rsidRPr="00F54559">
        <w:rPr>
          <w:rFonts w:eastAsia="Franklin Gothic Book" w:cstheme="minorHAnsi"/>
          <w:i/>
          <w:sz w:val="24"/>
          <w:szCs w:val="24"/>
        </w:rPr>
        <w:t>s</w:t>
      </w:r>
      <w:r w:rsidRPr="00F54559">
        <w:rPr>
          <w:rFonts w:eastAsia="Franklin Gothic Book" w:cstheme="minorHAnsi"/>
          <w:i/>
          <w:spacing w:val="-9"/>
          <w:sz w:val="24"/>
          <w:szCs w:val="24"/>
        </w:rPr>
        <w:t xml:space="preserve"> </w:t>
      </w:r>
      <w:r w:rsidRPr="00F54559">
        <w:rPr>
          <w:rFonts w:eastAsia="Franklin Gothic Book" w:cstheme="minorHAnsi"/>
          <w:i/>
          <w:sz w:val="24"/>
          <w:szCs w:val="24"/>
        </w:rPr>
        <w:t>of</w:t>
      </w:r>
      <w:r w:rsidRPr="00F54559">
        <w:rPr>
          <w:rFonts w:eastAsia="Franklin Gothic Book" w:cstheme="minorHAnsi"/>
          <w:i/>
          <w:spacing w:val="-8"/>
          <w:sz w:val="24"/>
          <w:szCs w:val="24"/>
        </w:rPr>
        <w:t xml:space="preserve"> </w:t>
      </w:r>
      <w:r w:rsidRPr="00F54559">
        <w:rPr>
          <w:rFonts w:eastAsia="Franklin Gothic Book" w:cstheme="minorHAnsi"/>
          <w:i/>
          <w:spacing w:val="-1"/>
          <w:sz w:val="24"/>
          <w:szCs w:val="24"/>
        </w:rPr>
        <w:t>ac</w:t>
      </w:r>
      <w:r w:rsidRPr="00F54559">
        <w:rPr>
          <w:rFonts w:eastAsia="Franklin Gothic Book" w:cstheme="minorHAnsi"/>
          <w:i/>
          <w:spacing w:val="-2"/>
          <w:sz w:val="24"/>
          <w:szCs w:val="24"/>
        </w:rPr>
        <w:t>t</w:t>
      </w:r>
      <w:r w:rsidRPr="00F54559">
        <w:rPr>
          <w:rFonts w:eastAsia="Franklin Gothic Book" w:cstheme="minorHAnsi"/>
          <w:i/>
          <w:sz w:val="24"/>
          <w:szCs w:val="24"/>
        </w:rPr>
        <w:t>u</w:t>
      </w:r>
      <w:r w:rsidRPr="00F54559">
        <w:rPr>
          <w:rFonts w:eastAsia="Franklin Gothic Book" w:cstheme="minorHAnsi"/>
          <w:i/>
          <w:spacing w:val="-2"/>
          <w:sz w:val="24"/>
          <w:szCs w:val="24"/>
        </w:rPr>
        <w:t>a</w:t>
      </w:r>
      <w:r w:rsidRPr="00F54559">
        <w:rPr>
          <w:rFonts w:eastAsia="Franklin Gothic Book" w:cstheme="minorHAnsi"/>
          <w:i/>
          <w:sz w:val="24"/>
          <w:szCs w:val="24"/>
        </w:rPr>
        <w:t>ri</w:t>
      </w:r>
      <w:r w:rsidRPr="00F54559">
        <w:rPr>
          <w:rFonts w:eastAsia="Franklin Gothic Book" w:cstheme="minorHAnsi"/>
          <w:i/>
          <w:spacing w:val="-2"/>
          <w:sz w:val="24"/>
          <w:szCs w:val="24"/>
        </w:rPr>
        <w:t>a</w:t>
      </w:r>
      <w:r w:rsidRPr="00F54559">
        <w:rPr>
          <w:rFonts w:eastAsia="Franklin Gothic Book" w:cstheme="minorHAnsi"/>
          <w:i/>
          <w:sz w:val="24"/>
          <w:szCs w:val="24"/>
        </w:rPr>
        <w:t>lly</w:t>
      </w:r>
      <w:r w:rsidRPr="00F54559">
        <w:rPr>
          <w:rFonts w:eastAsia="Franklin Gothic Book" w:cstheme="minorHAnsi"/>
          <w:i/>
          <w:spacing w:val="-9"/>
          <w:sz w:val="24"/>
          <w:szCs w:val="24"/>
        </w:rPr>
        <w:t xml:space="preserve"> </w:t>
      </w:r>
      <w:r w:rsidRPr="00F54559">
        <w:rPr>
          <w:rFonts w:eastAsia="Franklin Gothic Book" w:cstheme="minorHAnsi"/>
          <w:i/>
          <w:sz w:val="24"/>
          <w:szCs w:val="24"/>
        </w:rPr>
        <w:t>de</w:t>
      </w:r>
      <w:r w:rsidRPr="00F54559">
        <w:rPr>
          <w:rFonts w:eastAsia="Franklin Gothic Book" w:cstheme="minorHAnsi"/>
          <w:i/>
          <w:spacing w:val="-2"/>
          <w:sz w:val="24"/>
          <w:szCs w:val="24"/>
        </w:rPr>
        <w:t>t</w:t>
      </w:r>
      <w:r w:rsidRPr="00F54559">
        <w:rPr>
          <w:rFonts w:eastAsia="Franklin Gothic Book" w:cstheme="minorHAnsi"/>
          <w:i/>
          <w:sz w:val="24"/>
          <w:szCs w:val="24"/>
        </w:rPr>
        <w:t>e</w:t>
      </w:r>
      <w:r w:rsidRPr="00F54559">
        <w:rPr>
          <w:rFonts w:eastAsia="Franklin Gothic Book" w:cstheme="minorHAnsi"/>
          <w:i/>
          <w:spacing w:val="-1"/>
          <w:sz w:val="24"/>
          <w:szCs w:val="24"/>
        </w:rPr>
        <w:t>r</w:t>
      </w:r>
      <w:r w:rsidRPr="00F54559">
        <w:rPr>
          <w:rFonts w:eastAsia="Franklin Gothic Book" w:cstheme="minorHAnsi"/>
          <w:i/>
          <w:sz w:val="24"/>
          <w:szCs w:val="24"/>
        </w:rPr>
        <w:t>mi</w:t>
      </w:r>
      <w:r w:rsidRPr="00F54559">
        <w:rPr>
          <w:rFonts w:eastAsia="Franklin Gothic Book" w:cstheme="minorHAnsi"/>
          <w:i/>
          <w:spacing w:val="-1"/>
          <w:sz w:val="24"/>
          <w:szCs w:val="24"/>
        </w:rPr>
        <w:t>n</w:t>
      </w:r>
      <w:r w:rsidRPr="00F54559">
        <w:rPr>
          <w:rFonts w:eastAsia="Franklin Gothic Book" w:cstheme="minorHAnsi"/>
          <w:i/>
          <w:sz w:val="24"/>
          <w:szCs w:val="24"/>
        </w:rPr>
        <w:t>ed</w:t>
      </w:r>
      <w:r w:rsidRPr="00F54559">
        <w:rPr>
          <w:rFonts w:eastAsia="Franklin Gothic Book" w:cstheme="minorHAnsi"/>
          <w:i/>
          <w:spacing w:val="-8"/>
          <w:sz w:val="24"/>
          <w:szCs w:val="24"/>
        </w:rPr>
        <w:t xml:space="preserve"> </w:t>
      </w:r>
      <w:r w:rsidRPr="00F54559">
        <w:rPr>
          <w:rFonts w:eastAsia="Franklin Gothic Book" w:cstheme="minorHAnsi"/>
          <w:i/>
          <w:spacing w:val="-1"/>
          <w:sz w:val="24"/>
          <w:szCs w:val="24"/>
        </w:rPr>
        <w:t>c</w:t>
      </w:r>
      <w:r w:rsidRPr="00F54559">
        <w:rPr>
          <w:rFonts w:eastAsia="Franklin Gothic Book" w:cstheme="minorHAnsi"/>
          <w:i/>
          <w:sz w:val="24"/>
          <w:szCs w:val="24"/>
        </w:rPr>
        <w:t>o</w:t>
      </w:r>
      <w:r w:rsidRPr="00F54559">
        <w:rPr>
          <w:rFonts w:eastAsia="Franklin Gothic Book" w:cstheme="minorHAnsi"/>
          <w:i/>
          <w:spacing w:val="-2"/>
          <w:sz w:val="24"/>
          <w:szCs w:val="24"/>
        </w:rPr>
        <w:t>nt</w:t>
      </w:r>
      <w:r w:rsidRPr="00F54559">
        <w:rPr>
          <w:rFonts w:eastAsia="Franklin Gothic Book" w:cstheme="minorHAnsi"/>
          <w:i/>
          <w:sz w:val="24"/>
          <w:szCs w:val="24"/>
        </w:rPr>
        <w:t>ribu</w:t>
      </w:r>
      <w:r w:rsidRPr="00F54559">
        <w:rPr>
          <w:rFonts w:eastAsia="Franklin Gothic Book" w:cstheme="minorHAnsi"/>
          <w:i/>
          <w:spacing w:val="-1"/>
          <w:sz w:val="24"/>
          <w:szCs w:val="24"/>
        </w:rPr>
        <w:t>t</w:t>
      </w:r>
      <w:r w:rsidRPr="00F54559">
        <w:rPr>
          <w:rFonts w:eastAsia="Franklin Gothic Book" w:cstheme="minorHAnsi"/>
          <w:i/>
          <w:sz w:val="24"/>
          <w:szCs w:val="24"/>
        </w:rPr>
        <w:t>i</w:t>
      </w:r>
      <w:r w:rsidRPr="00F54559">
        <w:rPr>
          <w:rFonts w:eastAsia="Franklin Gothic Book" w:cstheme="minorHAnsi"/>
          <w:i/>
          <w:spacing w:val="-1"/>
          <w:sz w:val="24"/>
          <w:szCs w:val="24"/>
        </w:rPr>
        <w:t>o</w:t>
      </w:r>
      <w:r w:rsidRPr="00F54559">
        <w:rPr>
          <w:rFonts w:eastAsia="Franklin Gothic Book" w:cstheme="minorHAnsi"/>
          <w:i/>
          <w:spacing w:val="-2"/>
          <w:sz w:val="24"/>
          <w:szCs w:val="24"/>
        </w:rPr>
        <w:t>n</w:t>
      </w:r>
      <w:r w:rsidRPr="00F54559">
        <w:rPr>
          <w:rFonts w:eastAsia="Franklin Gothic Book" w:cstheme="minorHAnsi"/>
          <w:i/>
          <w:spacing w:val="-1"/>
          <w:sz w:val="24"/>
          <w:szCs w:val="24"/>
        </w:rPr>
        <w:t>s</w:t>
      </w:r>
      <w:r w:rsidRPr="00F54559">
        <w:rPr>
          <w:rFonts w:eastAsia="Franklin Gothic Book" w:cstheme="minorHAnsi"/>
          <w:i/>
          <w:sz w:val="24"/>
          <w:szCs w:val="24"/>
        </w:rPr>
        <w:t>:</w:t>
      </w:r>
    </w:p>
    <w:p w14:paraId="055191B2" w14:textId="77777777" w:rsidR="00051D7E" w:rsidRPr="00BC1813" w:rsidRDefault="00051D7E" w:rsidP="00051D7E">
      <w:pPr>
        <w:ind w:left="720" w:hanging="720"/>
        <w:rPr>
          <w:rFonts w:eastAsia="Franklin Gothic Book" w:cstheme="minorHAnsi"/>
          <w:sz w:val="24"/>
          <w:szCs w:val="24"/>
        </w:rPr>
      </w:pPr>
    </w:p>
    <w:p w14:paraId="254F1F20" w14:textId="77777777" w:rsidR="00051D7E" w:rsidRDefault="00051D7E" w:rsidP="00051D7E">
      <w:pPr>
        <w:rPr>
          <w:rFonts w:eastAsia="Franklin Gothic Book" w:cstheme="minorHAnsi"/>
          <w:sz w:val="24"/>
          <w:szCs w:val="24"/>
        </w:rPr>
      </w:pPr>
      <w:r w:rsidRPr="00F54559">
        <w:rPr>
          <w:rFonts w:eastAsia="Franklin Gothic Book" w:cstheme="minorHAnsi"/>
          <w:spacing w:val="-1"/>
          <w:sz w:val="24"/>
          <w:szCs w:val="24"/>
        </w:rPr>
        <w:t>T</w:t>
      </w:r>
      <w:r w:rsidRPr="00F54559">
        <w:rPr>
          <w:rFonts w:eastAsia="Franklin Gothic Book" w:cstheme="minorHAnsi"/>
          <w:sz w:val="24"/>
          <w:szCs w:val="24"/>
        </w:rPr>
        <w:t>he</w:t>
      </w:r>
      <w:r w:rsidRPr="00F54559">
        <w:rPr>
          <w:rFonts w:eastAsia="Franklin Gothic Book" w:cstheme="minorHAnsi"/>
          <w:spacing w:val="16"/>
          <w:sz w:val="24"/>
          <w:szCs w:val="24"/>
        </w:rPr>
        <w:t xml:space="preserve"> </w:t>
      </w:r>
      <w:r w:rsidRPr="00F54559">
        <w:rPr>
          <w:rFonts w:eastAsia="Franklin Gothic Book" w:cstheme="minorHAnsi"/>
          <w:spacing w:val="-1"/>
          <w:sz w:val="24"/>
          <w:szCs w:val="24"/>
        </w:rPr>
        <w:t>U</w:t>
      </w:r>
      <w:r w:rsidRPr="00F54559">
        <w:rPr>
          <w:rFonts w:eastAsia="Franklin Gothic Book" w:cstheme="minorHAnsi"/>
          <w:sz w:val="24"/>
          <w:szCs w:val="24"/>
        </w:rPr>
        <w:t>ni</w:t>
      </w:r>
      <w:r w:rsidRPr="00F54559">
        <w:rPr>
          <w:rFonts w:eastAsia="Franklin Gothic Book" w:cstheme="minorHAnsi"/>
          <w:spacing w:val="-1"/>
          <w:sz w:val="24"/>
          <w:szCs w:val="24"/>
        </w:rPr>
        <w:t>v</w:t>
      </w:r>
      <w:r w:rsidRPr="00F54559">
        <w:rPr>
          <w:rFonts w:eastAsia="Franklin Gothic Book" w:cstheme="minorHAnsi"/>
          <w:sz w:val="24"/>
          <w:szCs w:val="24"/>
        </w:rPr>
        <w:t>e</w:t>
      </w:r>
      <w:r w:rsidRPr="00F54559">
        <w:rPr>
          <w:rFonts w:eastAsia="Franklin Gothic Book" w:cstheme="minorHAnsi"/>
          <w:spacing w:val="-2"/>
          <w:sz w:val="24"/>
          <w:szCs w:val="24"/>
        </w:rPr>
        <w:t>r</w:t>
      </w:r>
      <w:r w:rsidRPr="00F54559">
        <w:rPr>
          <w:rFonts w:eastAsia="Franklin Gothic Book" w:cstheme="minorHAnsi"/>
          <w:spacing w:val="1"/>
          <w:sz w:val="24"/>
          <w:szCs w:val="24"/>
        </w:rPr>
        <w:t>s</w:t>
      </w:r>
      <w:r w:rsidRPr="00F54559">
        <w:rPr>
          <w:rFonts w:eastAsia="Franklin Gothic Book" w:cstheme="minorHAnsi"/>
          <w:sz w:val="24"/>
          <w:szCs w:val="24"/>
        </w:rPr>
        <w:t>ity</w:t>
      </w:r>
      <w:r w:rsidRPr="00F54559">
        <w:rPr>
          <w:rFonts w:eastAsia="Franklin Gothic Book" w:cstheme="minorHAnsi"/>
          <w:spacing w:val="16"/>
          <w:sz w:val="24"/>
          <w:szCs w:val="24"/>
        </w:rPr>
        <w:t xml:space="preserve"> </w:t>
      </w:r>
      <w:r w:rsidRPr="00F54559">
        <w:rPr>
          <w:rFonts w:eastAsia="Franklin Gothic Book" w:cstheme="minorHAnsi"/>
          <w:spacing w:val="-1"/>
          <w:sz w:val="24"/>
          <w:szCs w:val="24"/>
        </w:rPr>
        <w:t>o</w:t>
      </w:r>
      <w:r w:rsidRPr="00F54559">
        <w:rPr>
          <w:rFonts w:eastAsia="Franklin Gothic Book" w:cstheme="minorHAnsi"/>
          <w:sz w:val="24"/>
          <w:szCs w:val="24"/>
        </w:rPr>
        <w:t>f</w:t>
      </w:r>
      <w:r w:rsidRPr="00F54559">
        <w:rPr>
          <w:rFonts w:eastAsia="Franklin Gothic Book" w:cstheme="minorHAnsi"/>
          <w:spacing w:val="17"/>
          <w:sz w:val="24"/>
          <w:szCs w:val="24"/>
        </w:rPr>
        <w:t xml:space="preserve"> </w:t>
      </w:r>
      <w:r w:rsidRPr="00F54559">
        <w:rPr>
          <w:rFonts w:eastAsia="Franklin Gothic Book" w:cstheme="minorHAnsi"/>
          <w:sz w:val="24"/>
          <w:szCs w:val="24"/>
        </w:rPr>
        <w:t>Maine</w:t>
      </w:r>
      <w:r w:rsidRPr="00F54559">
        <w:rPr>
          <w:rFonts w:eastAsia="Franklin Gothic Book" w:cstheme="minorHAnsi"/>
          <w:spacing w:val="16"/>
          <w:sz w:val="24"/>
          <w:szCs w:val="24"/>
        </w:rPr>
        <w:t xml:space="preserve"> </w:t>
      </w:r>
      <w:r w:rsidRPr="00F54559">
        <w:rPr>
          <w:rFonts w:eastAsia="Franklin Gothic Book" w:cstheme="minorHAnsi"/>
          <w:sz w:val="24"/>
          <w:szCs w:val="24"/>
        </w:rPr>
        <w:t>S</w:t>
      </w:r>
      <w:r w:rsidRPr="00F54559">
        <w:rPr>
          <w:rFonts w:eastAsia="Franklin Gothic Book" w:cstheme="minorHAnsi"/>
          <w:spacing w:val="-2"/>
          <w:sz w:val="24"/>
          <w:szCs w:val="24"/>
        </w:rPr>
        <w:t>y</w:t>
      </w:r>
      <w:r w:rsidRPr="00F54559">
        <w:rPr>
          <w:rFonts w:eastAsia="Franklin Gothic Book" w:cstheme="minorHAnsi"/>
          <w:spacing w:val="1"/>
          <w:sz w:val="24"/>
          <w:szCs w:val="24"/>
        </w:rPr>
        <w:t>s</w:t>
      </w:r>
      <w:r w:rsidRPr="00F54559">
        <w:rPr>
          <w:rFonts w:eastAsia="Franklin Gothic Book" w:cstheme="minorHAnsi"/>
          <w:sz w:val="24"/>
          <w:szCs w:val="24"/>
        </w:rPr>
        <w:t>tem</w:t>
      </w:r>
      <w:r w:rsidRPr="00F54559">
        <w:rPr>
          <w:rFonts w:eastAsia="Franklin Gothic Book" w:cstheme="minorHAnsi"/>
          <w:spacing w:val="20"/>
          <w:sz w:val="24"/>
          <w:szCs w:val="24"/>
        </w:rPr>
        <w:t xml:space="preserve"> </w:t>
      </w:r>
      <w:r w:rsidRPr="00F54559">
        <w:rPr>
          <w:rFonts w:eastAsia="Franklin Gothic Book" w:cstheme="minorHAnsi"/>
          <w:sz w:val="24"/>
          <w:szCs w:val="24"/>
        </w:rPr>
        <w:t>Incentive</w:t>
      </w:r>
      <w:r w:rsidRPr="00F54559">
        <w:rPr>
          <w:rFonts w:eastAsia="Franklin Gothic Book" w:cstheme="minorHAnsi"/>
          <w:spacing w:val="16"/>
          <w:sz w:val="24"/>
          <w:szCs w:val="24"/>
        </w:rPr>
        <w:t xml:space="preserve"> </w:t>
      </w:r>
      <w:r w:rsidRPr="00F54559">
        <w:rPr>
          <w:rFonts w:eastAsia="Franklin Gothic Book" w:cstheme="minorHAnsi"/>
          <w:sz w:val="24"/>
          <w:szCs w:val="24"/>
        </w:rPr>
        <w:t>Reti</w:t>
      </w:r>
      <w:r w:rsidRPr="00F54559">
        <w:rPr>
          <w:rFonts w:eastAsia="Franklin Gothic Book" w:cstheme="minorHAnsi"/>
          <w:spacing w:val="-1"/>
          <w:sz w:val="24"/>
          <w:szCs w:val="24"/>
        </w:rPr>
        <w:t>r</w:t>
      </w:r>
      <w:r w:rsidRPr="00F54559">
        <w:rPr>
          <w:rFonts w:eastAsia="Franklin Gothic Book" w:cstheme="minorHAnsi"/>
          <w:sz w:val="24"/>
          <w:szCs w:val="24"/>
        </w:rPr>
        <w:t>ement</w:t>
      </w:r>
      <w:r w:rsidRPr="00F54559">
        <w:rPr>
          <w:rFonts w:eastAsia="Franklin Gothic Book" w:cstheme="minorHAnsi"/>
          <w:spacing w:val="20"/>
          <w:sz w:val="24"/>
          <w:szCs w:val="24"/>
        </w:rPr>
        <w:t xml:space="preserve"> </w:t>
      </w:r>
      <w:r w:rsidRPr="00F54559">
        <w:rPr>
          <w:rFonts w:eastAsia="Franklin Gothic Book" w:cstheme="minorHAnsi"/>
          <w:spacing w:val="-1"/>
          <w:sz w:val="24"/>
          <w:szCs w:val="24"/>
        </w:rPr>
        <w:t>P</w:t>
      </w:r>
      <w:r w:rsidRPr="00F54559">
        <w:rPr>
          <w:rFonts w:eastAsia="Franklin Gothic Book" w:cstheme="minorHAnsi"/>
          <w:sz w:val="24"/>
          <w:szCs w:val="24"/>
        </w:rPr>
        <w:t>lan</w:t>
      </w:r>
      <w:r w:rsidRPr="00F54559">
        <w:rPr>
          <w:rFonts w:eastAsia="Franklin Gothic Book" w:cstheme="minorHAnsi"/>
          <w:spacing w:val="17"/>
          <w:sz w:val="24"/>
          <w:szCs w:val="24"/>
        </w:rPr>
        <w:t xml:space="preserve"> </w:t>
      </w:r>
      <w:r w:rsidRPr="00F54559">
        <w:rPr>
          <w:rFonts w:eastAsia="Franklin Gothic Book" w:cstheme="minorHAnsi"/>
          <w:sz w:val="24"/>
          <w:szCs w:val="24"/>
        </w:rPr>
        <w:t>is</w:t>
      </w:r>
      <w:r w:rsidRPr="00F54559">
        <w:rPr>
          <w:rFonts w:eastAsia="Franklin Gothic Book" w:cstheme="minorHAnsi"/>
          <w:spacing w:val="20"/>
          <w:sz w:val="24"/>
          <w:szCs w:val="24"/>
        </w:rPr>
        <w:t xml:space="preserve"> </w:t>
      </w:r>
      <w:r w:rsidRPr="00F54559">
        <w:rPr>
          <w:rFonts w:eastAsia="Franklin Gothic Book" w:cstheme="minorHAnsi"/>
          <w:sz w:val="24"/>
          <w:szCs w:val="24"/>
        </w:rPr>
        <w:t>fun</w:t>
      </w:r>
      <w:r w:rsidRPr="00F54559">
        <w:rPr>
          <w:rFonts w:eastAsia="Franklin Gothic Book" w:cstheme="minorHAnsi"/>
          <w:spacing w:val="1"/>
          <w:sz w:val="24"/>
          <w:szCs w:val="24"/>
        </w:rPr>
        <w:t>d</w:t>
      </w:r>
      <w:r w:rsidRPr="00F54559">
        <w:rPr>
          <w:rFonts w:eastAsia="Franklin Gothic Book" w:cstheme="minorHAnsi"/>
          <w:sz w:val="24"/>
          <w:szCs w:val="24"/>
        </w:rPr>
        <w:t>ed</w:t>
      </w:r>
      <w:r w:rsidRPr="00F54559">
        <w:rPr>
          <w:rFonts w:eastAsia="Franklin Gothic Book" w:cstheme="minorHAnsi"/>
          <w:spacing w:val="17"/>
          <w:sz w:val="24"/>
          <w:szCs w:val="24"/>
        </w:rPr>
        <w:t xml:space="preserve"> </w:t>
      </w:r>
      <w:r w:rsidRPr="00F54559">
        <w:rPr>
          <w:rFonts w:eastAsia="Franklin Gothic Book" w:cstheme="minorHAnsi"/>
          <w:spacing w:val="-1"/>
          <w:sz w:val="24"/>
          <w:szCs w:val="24"/>
        </w:rPr>
        <w:t>o</w:t>
      </w:r>
      <w:r w:rsidRPr="00F54559">
        <w:rPr>
          <w:rFonts w:eastAsia="Franklin Gothic Book" w:cstheme="minorHAnsi"/>
          <w:sz w:val="24"/>
          <w:szCs w:val="24"/>
        </w:rPr>
        <w:t>n</w:t>
      </w:r>
      <w:r w:rsidRPr="00F54559">
        <w:rPr>
          <w:rFonts w:eastAsia="Franklin Gothic Book" w:cstheme="minorHAnsi"/>
          <w:spacing w:val="19"/>
          <w:sz w:val="24"/>
          <w:szCs w:val="24"/>
        </w:rPr>
        <w:t xml:space="preserve"> </w:t>
      </w:r>
      <w:r w:rsidRPr="00F54559">
        <w:rPr>
          <w:rFonts w:eastAsia="Franklin Gothic Book" w:cstheme="minorHAnsi"/>
          <w:sz w:val="24"/>
          <w:szCs w:val="24"/>
        </w:rPr>
        <w:t>a</w:t>
      </w:r>
      <w:r w:rsidRPr="00F54559">
        <w:rPr>
          <w:rFonts w:eastAsia="Franklin Gothic Book" w:cstheme="minorHAnsi"/>
          <w:spacing w:val="17"/>
          <w:sz w:val="24"/>
          <w:szCs w:val="24"/>
        </w:rPr>
        <w:t xml:space="preserve"> </w:t>
      </w:r>
      <w:r w:rsidRPr="00F54559">
        <w:rPr>
          <w:rFonts w:eastAsia="Franklin Gothic Book" w:cstheme="minorHAnsi"/>
          <w:sz w:val="24"/>
          <w:szCs w:val="24"/>
        </w:rPr>
        <w:t>te</w:t>
      </w:r>
      <w:r w:rsidRPr="00F54559">
        <w:rPr>
          <w:rFonts w:eastAsia="Franklin Gothic Book" w:cstheme="minorHAnsi"/>
          <w:spacing w:val="-2"/>
          <w:sz w:val="24"/>
          <w:szCs w:val="24"/>
        </w:rPr>
        <w:t>r</w:t>
      </w:r>
      <w:r w:rsidRPr="00F54559">
        <w:rPr>
          <w:rFonts w:eastAsia="Franklin Gothic Book" w:cstheme="minorHAnsi"/>
          <w:sz w:val="24"/>
          <w:szCs w:val="24"/>
        </w:rPr>
        <w:t>minal</w:t>
      </w:r>
      <w:r w:rsidRPr="00F54559">
        <w:rPr>
          <w:rFonts w:eastAsia="Franklin Gothic Book" w:cstheme="minorHAnsi"/>
          <w:spacing w:val="20"/>
          <w:sz w:val="24"/>
          <w:szCs w:val="24"/>
        </w:rPr>
        <w:t xml:space="preserve"> </w:t>
      </w:r>
      <w:r w:rsidRPr="00F54559">
        <w:rPr>
          <w:rFonts w:eastAsia="Franklin Gothic Book" w:cstheme="minorHAnsi"/>
          <w:sz w:val="24"/>
          <w:szCs w:val="24"/>
        </w:rPr>
        <w:t>fun</w:t>
      </w:r>
      <w:r w:rsidRPr="00F54559">
        <w:rPr>
          <w:rFonts w:eastAsia="Franklin Gothic Book" w:cstheme="minorHAnsi"/>
          <w:spacing w:val="1"/>
          <w:sz w:val="24"/>
          <w:szCs w:val="24"/>
        </w:rPr>
        <w:t>d</w:t>
      </w:r>
      <w:r w:rsidRPr="00F54559">
        <w:rPr>
          <w:rFonts w:eastAsia="Franklin Gothic Book" w:cstheme="minorHAnsi"/>
          <w:sz w:val="24"/>
          <w:szCs w:val="24"/>
        </w:rPr>
        <w:t>ing</w:t>
      </w:r>
      <w:r>
        <w:rPr>
          <w:rFonts w:eastAsia="Franklin Gothic Book" w:cstheme="minorHAnsi"/>
          <w:spacing w:val="17"/>
          <w:sz w:val="24"/>
          <w:szCs w:val="24"/>
        </w:rPr>
        <w:t xml:space="preserve"> </w:t>
      </w:r>
      <w:r w:rsidRPr="00F54559">
        <w:rPr>
          <w:rFonts w:eastAsia="Franklin Gothic Book" w:cstheme="minorHAnsi"/>
          <w:sz w:val="24"/>
          <w:szCs w:val="24"/>
        </w:rPr>
        <w:t>ba</w:t>
      </w:r>
      <w:r w:rsidRPr="00F54559">
        <w:rPr>
          <w:rFonts w:eastAsia="Franklin Gothic Book" w:cstheme="minorHAnsi"/>
          <w:spacing w:val="1"/>
          <w:sz w:val="24"/>
          <w:szCs w:val="24"/>
        </w:rPr>
        <w:t>s</w:t>
      </w:r>
      <w:r w:rsidRPr="00F54559">
        <w:rPr>
          <w:rFonts w:eastAsia="Franklin Gothic Book" w:cstheme="minorHAnsi"/>
          <w:sz w:val="24"/>
          <w:szCs w:val="24"/>
        </w:rPr>
        <w:t>is</w:t>
      </w:r>
      <w:r w:rsidRPr="00F54559">
        <w:rPr>
          <w:rFonts w:eastAsia="Franklin Gothic Book" w:cstheme="minorHAnsi"/>
          <w:spacing w:val="19"/>
          <w:sz w:val="24"/>
          <w:szCs w:val="24"/>
        </w:rPr>
        <w:t xml:space="preserve"> </w:t>
      </w:r>
      <w:r w:rsidRPr="00F54559">
        <w:rPr>
          <w:rFonts w:eastAsia="Franklin Gothic Book" w:cstheme="minorHAnsi"/>
          <w:sz w:val="24"/>
          <w:szCs w:val="24"/>
        </w:rPr>
        <w:t>-</w:t>
      </w:r>
      <w:r w:rsidRPr="00F54559">
        <w:rPr>
          <w:rFonts w:eastAsia="Franklin Gothic Book" w:cstheme="minorHAnsi"/>
          <w:spacing w:val="18"/>
          <w:sz w:val="24"/>
          <w:szCs w:val="24"/>
        </w:rPr>
        <w:t xml:space="preserve"> </w:t>
      </w:r>
      <w:r w:rsidRPr="00F54559">
        <w:rPr>
          <w:rFonts w:eastAsia="Franklin Gothic Book" w:cstheme="minorHAnsi"/>
          <w:sz w:val="24"/>
          <w:szCs w:val="24"/>
        </w:rPr>
        <w:t>fun</w:t>
      </w:r>
      <w:r w:rsidRPr="00F54559">
        <w:rPr>
          <w:rFonts w:eastAsia="Franklin Gothic Book" w:cstheme="minorHAnsi"/>
          <w:spacing w:val="1"/>
          <w:sz w:val="24"/>
          <w:szCs w:val="24"/>
        </w:rPr>
        <w:t>d</w:t>
      </w:r>
      <w:r w:rsidRPr="00F54559">
        <w:rPr>
          <w:rFonts w:eastAsia="Franklin Gothic Book" w:cstheme="minorHAnsi"/>
          <w:sz w:val="24"/>
          <w:szCs w:val="24"/>
        </w:rPr>
        <w:t>ed</w:t>
      </w:r>
      <w:r w:rsidRPr="00F54559">
        <w:rPr>
          <w:rFonts w:eastAsia="Franklin Gothic Book" w:cstheme="minorHAnsi"/>
          <w:w w:val="99"/>
          <w:sz w:val="24"/>
          <w:szCs w:val="24"/>
        </w:rPr>
        <w:t xml:space="preserve"> </w:t>
      </w:r>
      <w:r w:rsidRPr="00F54559">
        <w:rPr>
          <w:rFonts w:eastAsia="Franklin Gothic Book" w:cstheme="minorHAnsi"/>
          <w:sz w:val="24"/>
          <w:szCs w:val="24"/>
        </w:rPr>
        <w:t>when</w:t>
      </w:r>
      <w:r w:rsidRPr="00F54559">
        <w:rPr>
          <w:rFonts w:eastAsia="Franklin Gothic Book" w:cstheme="minorHAnsi"/>
          <w:spacing w:val="-7"/>
          <w:sz w:val="24"/>
          <w:szCs w:val="24"/>
        </w:rPr>
        <w:t xml:space="preserve"> </w:t>
      </w:r>
      <w:r w:rsidRPr="00F54559">
        <w:rPr>
          <w:rFonts w:eastAsia="Franklin Gothic Book" w:cstheme="minorHAnsi"/>
          <w:sz w:val="24"/>
          <w:szCs w:val="24"/>
        </w:rPr>
        <w:t>costs</w:t>
      </w:r>
      <w:r w:rsidRPr="00F54559">
        <w:rPr>
          <w:rFonts w:eastAsia="Franklin Gothic Book" w:cstheme="minorHAnsi"/>
          <w:spacing w:val="-5"/>
          <w:sz w:val="24"/>
          <w:szCs w:val="24"/>
        </w:rPr>
        <w:t xml:space="preserve"> </w:t>
      </w:r>
      <w:r w:rsidRPr="00F54559">
        <w:rPr>
          <w:rFonts w:eastAsia="Franklin Gothic Book" w:cstheme="minorHAnsi"/>
          <w:sz w:val="24"/>
          <w:szCs w:val="24"/>
        </w:rPr>
        <w:t>become</w:t>
      </w:r>
      <w:r w:rsidRPr="00F54559">
        <w:rPr>
          <w:rFonts w:eastAsia="Franklin Gothic Book" w:cstheme="minorHAnsi"/>
          <w:spacing w:val="-7"/>
          <w:sz w:val="24"/>
          <w:szCs w:val="24"/>
        </w:rPr>
        <w:t xml:space="preserve"> </w:t>
      </w:r>
      <w:r w:rsidRPr="00F54559">
        <w:rPr>
          <w:rFonts w:eastAsia="Franklin Gothic Book" w:cstheme="minorHAnsi"/>
          <w:sz w:val="24"/>
          <w:szCs w:val="24"/>
        </w:rPr>
        <w:t>due</w:t>
      </w:r>
      <w:r w:rsidRPr="00F54559">
        <w:rPr>
          <w:rFonts w:eastAsia="Franklin Gothic Book" w:cstheme="minorHAnsi"/>
          <w:spacing w:val="-6"/>
          <w:sz w:val="24"/>
          <w:szCs w:val="24"/>
        </w:rPr>
        <w:t xml:space="preserve"> </w:t>
      </w:r>
      <w:r w:rsidRPr="00F54559">
        <w:rPr>
          <w:rFonts w:eastAsia="Franklin Gothic Book" w:cstheme="minorHAnsi"/>
          <w:sz w:val="24"/>
          <w:szCs w:val="24"/>
        </w:rPr>
        <w:t>and</w:t>
      </w:r>
      <w:r w:rsidRPr="00F54559">
        <w:rPr>
          <w:rFonts w:eastAsia="Franklin Gothic Book" w:cstheme="minorHAnsi"/>
          <w:spacing w:val="-5"/>
          <w:sz w:val="24"/>
          <w:szCs w:val="24"/>
        </w:rPr>
        <w:t xml:space="preserve"> </w:t>
      </w:r>
      <w:r w:rsidRPr="00F54559">
        <w:rPr>
          <w:rFonts w:eastAsia="Franklin Gothic Book" w:cstheme="minorHAnsi"/>
          <w:spacing w:val="-1"/>
          <w:sz w:val="24"/>
          <w:szCs w:val="24"/>
        </w:rPr>
        <w:t>p</w:t>
      </w:r>
      <w:r w:rsidRPr="00F54559">
        <w:rPr>
          <w:rFonts w:eastAsia="Franklin Gothic Book" w:cstheme="minorHAnsi"/>
          <w:sz w:val="24"/>
          <w:szCs w:val="24"/>
        </w:rPr>
        <w:t>a</w:t>
      </w:r>
      <w:r w:rsidRPr="00F54559">
        <w:rPr>
          <w:rFonts w:eastAsia="Franklin Gothic Book" w:cstheme="minorHAnsi"/>
          <w:spacing w:val="-1"/>
          <w:sz w:val="24"/>
          <w:szCs w:val="24"/>
        </w:rPr>
        <w:t>y</w:t>
      </w:r>
      <w:r w:rsidRPr="00F54559">
        <w:rPr>
          <w:rFonts w:eastAsia="Franklin Gothic Book" w:cstheme="minorHAnsi"/>
          <w:sz w:val="24"/>
          <w:szCs w:val="24"/>
        </w:rPr>
        <w:t>a</w:t>
      </w:r>
      <w:r w:rsidRPr="00F54559">
        <w:rPr>
          <w:rFonts w:eastAsia="Franklin Gothic Book" w:cstheme="minorHAnsi"/>
          <w:spacing w:val="1"/>
          <w:sz w:val="24"/>
          <w:szCs w:val="24"/>
        </w:rPr>
        <w:t>b</w:t>
      </w:r>
      <w:r w:rsidRPr="00F54559">
        <w:rPr>
          <w:rFonts w:eastAsia="Franklin Gothic Book" w:cstheme="minorHAnsi"/>
          <w:sz w:val="24"/>
          <w:szCs w:val="24"/>
        </w:rPr>
        <w:t>l</w:t>
      </w:r>
      <w:r w:rsidRPr="00F54559">
        <w:rPr>
          <w:rFonts w:eastAsia="Franklin Gothic Book" w:cstheme="minorHAnsi"/>
          <w:spacing w:val="-1"/>
          <w:sz w:val="24"/>
          <w:szCs w:val="24"/>
        </w:rPr>
        <w:t>e</w:t>
      </w:r>
      <w:r w:rsidRPr="00F54559">
        <w:rPr>
          <w:rFonts w:eastAsia="Franklin Gothic Book" w:cstheme="minorHAnsi"/>
          <w:sz w:val="24"/>
          <w:szCs w:val="24"/>
        </w:rPr>
        <w:t>.</w:t>
      </w:r>
    </w:p>
    <w:p w14:paraId="6769D0B6" w14:textId="77777777" w:rsidR="00051D7E" w:rsidRDefault="00051D7E" w:rsidP="00051D7E">
      <w:pPr>
        <w:rPr>
          <w:rFonts w:eastAsia="Franklin Gothic Book" w:cstheme="minorHAnsi"/>
          <w:sz w:val="24"/>
          <w:szCs w:val="24"/>
        </w:rPr>
      </w:pPr>
    </w:p>
    <w:tbl>
      <w:tblPr>
        <w:tblStyle w:val="TableGrid2"/>
        <w:tblW w:w="47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ctuarial cost method since 2015 has been entry age normal.  Asset valuation method has been the market value of assets.  Inflation has decreased from 3.25% in 2015 to 2.6% in 2019.  Salary and payroll increases are assumed to be 3.5% per year.  The investment rate of return/discount rate has been 6.25% since 2016."/>
      </w:tblPr>
      <w:tblGrid>
        <w:gridCol w:w="2789"/>
        <w:gridCol w:w="6122"/>
      </w:tblGrid>
      <w:tr w:rsidR="00051D7E" w:rsidRPr="00A454B4" w14:paraId="31716DA6" w14:textId="77777777" w:rsidTr="007531FB">
        <w:trPr>
          <w:trHeight w:val="246"/>
          <w:tblHeader/>
          <w:jc w:val="center"/>
        </w:trPr>
        <w:tc>
          <w:tcPr>
            <w:tcW w:w="1565" w:type="pct"/>
          </w:tcPr>
          <w:p w14:paraId="6178B7E6" w14:textId="77777777" w:rsidR="00051D7E" w:rsidRPr="00F54559" w:rsidRDefault="00051D7E" w:rsidP="007531FB">
            <w:pPr>
              <w:widowControl w:val="0"/>
              <w:rPr>
                <w:rFonts w:cstheme="minorHAnsi"/>
                <w:sz w:val="24"/>
                <w:szCs w:val="20"/>
              </w:rPr>
            </w:pPr>
            <w:r w:rsidRPr="00F54559">
              <w:rPr>
                <w:rFonts w:eastAsia="Franklin Gothic Book" w:cstheme="minorHAnsi"/>
                <w:spacing w:val="-2"/>
                <w:sz w:val="24"/>
              </w:rPr>
              <w:t>A</w:t>
            </w:r>
            <w:r w:rsidRPr="00F54559">
              <w:rPr>
                <w:rFonts w:eastAsia="Franklin Gothic Book" w:cstheme="minorHAnsi"/>
                <w:sz w:val="24"/>
              </w:rPr>
              <w:t>ctua</w:t>
            </w:r>
            <w:r w:rsidRPr="00F54559">
              <w:rPr>
                <w:rFonts w:eastAsia="Franklin Gothic Book" w:cstheme="minorHAnsi"/>
                <w:spacing w:val="-1"/>
                <w:sz w:val="24"/>
              </w:rPr>
              <w:t>r</w:t>
            </w:r>
            <w:r w:rsidRPr="00F54559">
              <w:rPr>
                <w:rFonts w:eastAsia="Franklin Gothic Book" w:cstheme="minorHAnsi"/>
                <w:sz w:val="24"/>
              </w:rPr>
              <w:t>ial</w:t>
            </w:r>
            <w:r w:rsidRPr="00F54559">
              <w:rPr>
                <w:rFonts w:eastAsia="Franklin Gothic Book" w:cstheme="minorHAnsi"/>
                <w:spacing w:val="-2"/>
                <w:sz w:val="24"/>
              </w:rPr>
              <w:t xml:space="preserve"> </w:t>
            </w:r>
            <w:r w:rsidRPr="00F54559">
              <w:rPr>
                <w:rFonts w:eastAsia="Franklin Gothic Book" w:cstheme="minorHAnsi"/>
                <w:spacing w:val="1"/>
                <w:sz w:val="24"/>
              </w:rPr>
              <w:t>c</w:t>
            </w:r>
            <w:r w:rsidRPr="00F54559">
              <w:rPr>
                <w:rFonts w:eastAsia="Franklin Gothic Book" w:cstheme="minorHAnsi"/>
                <w:sz w:val="24"/>
              </w:rPr>
              <w:t>ost method</w:t>
            </w:r>
          </w:p>
        </w:tc>
        <w:tc>
          <w:tcPr>
            <w:tcW w:w="3435" w:type="pct"/>
          </w:tcPr>
          <w:p w14:paraId="6F33CDF7" w14:textId="77777777" w:rsidR="00051D7E" w:rsidRPr="00F54559" w:rsidRDefault="00051D7E" w:rsidP="007531FB">
            <w:pPr>
              <w:widowControl w:val="0"/>
              <w:rPr>
                <w:rFonts w:cstheme="minorHAnsi"/>
                <w:color w:val="FF0000"/>
                <w:sz w:val="16"/>
                <w:szCs w:val="16"/>
              </w:rPr>
            </w:pPr>
            <w:r w:rsidRPr="00F54559">
              <w:rPr>
                <w:rFonts w:eastAsia="Franklin Gothic Book" w:cstheme="minorHAnsi"/>
                <w:spacing w:val="-2"/>
                <w:sz w:val="24"/>
              </w:rPr>
              <w:t>E</w:t>
            </w:r>
            <w:r w:rsidRPr="00F54559">
              <w:rPr>
                <w:rFonts w:eastAsia="Franklin Gothic Book" w:cstheme="minorHAnsi"/>
                <w:sz w:val="24"/>
              </w:rPr>
              <w:t>nt</w:t>
            </w:r>
            <w:r w:rsidRPr="00F54559">
              <w:rPr>
                <w:rFonts w:eastAsia="Franklin Gothic Book" w:cstheme="minorHAnsi"/>
                <w:spacing w:val="-1"/>
                <w:sz w:val="24"/>
              </w:rPr>
              <w:t>r</w:t>
            </w:r>
            <w:r w:rsidRPr="00F54559">
              <w:rPr>
                <w:rFonts w:eastAsia="Franklin Gothic Book" w:cstheme="minorHAnsi"/>
                <w:sz w:val="24"/>
              </w:rPr>
              <w:t>y</w:t>
            </w:r>
            <w:r w:rsidRPr="00F54559">
              <w:rPr>
                <w:rFonts w:eastAsia="Franklin Gothic Book" w:cstheme="minorHAnsi"/>
                <w:spacing w:val="-8"/>
                <w:sz w:val="24"/>
              </w:rPr>
              <w:t xml:space="preserve"> a</w:t>
            </w:r>
            <w:r w:rsidRPr="00F54559">
              <w:rPr>
                <w:rFonts w:eastAsia="Franklin Gothic Book" w:cstheme="minorHAnsi"/>
                <w:sz w:val="24"/>
              </w:rPr>
              <w:t>ge</w:t>
            </w:r>
            <w:r w:rsidRPr="00F54559">
              <w:rPr>
                <w:rFonts w:eastAsia="Franklin Gothic Book" w:cstheme="minorHAnsi"/>
                <w:spacing w:val="-6"/>
                <w:sz w:val="24"/>
              </w:rPr>
              <w:t xml:space="preserve"> n</w:t>
            </w:r>
            <w:r w:rsidRPr="00F54559">
              <w:rPr>
                <w:rFonts w:eastAsia="Franklin Gothic Book" w:cstheme="minorHAnsi"/>
                <w:sz w:val="24"/>
              </w:rPr>
              <w:t>o</w:t>
            </w:r>
            <w:r w:rsidRPr="00F54559">
              <w:rPr>
                <w:rFonts w:eastAsia="Franklin Gothic Book" w:cstheme="minorHAnsi"/>
                <w:spacing w:val="-2"/>
                <w:sz w:val="24"/>
              </w:rPr>
              <w:t>r</w:t>
            </w:r>
            <w:r w:rsidRPr="00F54559">
              <w:rPr>
                <w:rFonts w:eastAsia="Franklin Gothic Book" w:cstheme="minorHAnsi"/>
                <w:sz w:val="24"/>
              </w:rPr>
              <w:t>mal</w:t>
            </w:r>
          </w:p>
        </w:tc>
      </w:tr>
      <w:tr w:rsidR="00051D7E" w:rsidRPr="00A454B4" w14:paraId="7172E4CB" w14:textId="77777777" w:rsidTr="007531FB">
        <w:trPr>
          <w:trHeight w:val="246"/>
          <w:jc w:val="center"/>
        </w:trPr>
        <w:tc>
          <w:tcPr>
            <w:tcW w:w="1565" w:type="pct"/>
          </w:tcPr>
          <w:p w14:paraId="678848F4" w14:textId="77777777" w:rsidR="00051D7E" w:rsidRPr="00F54559" w:rsidRDefault="00051D7E" w:rsidP="007531FB">
            <w:pPr>
              <w:widowControl w:val="0"/>
              <w:rPr>
                <w:rFonts w:cstheme="minorHAnsi"/>
                <w:sz w:val="24"/>
                <w:szCs w:val="20"/>
              </w:rPr>
            </w:pP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tc>
        <w:tc>
          <w:tcPr>
            <w:tcW w:w="3435" w:type="pct"/>
          </w:tcPr>
          <w:p w14:paraId="726395B3" w14:textId="77777777" w:rsidR="00051D7E" w:rsidRPr="00F54559" w:rsidRDefault="00051D7E" w:rsidP="007531FB">
            <w:pPr>
              <w:widowControl w:val="0"/>
              <w:rPr>
                <w:rFonts w:cstheme="minorHAnsi"/>
                <w:color w:val="FF0000"/>
                <w:sz w:val="16"/>
                <w:szCs w:val="16"/>
              </w:rPr>
            </w:pPr>
            <w:r>
              <w:rPr>
                <w:rFonts w:eastAsia="Franklin Gothic Book" w:cstheme="minorHAnsi"/>
                <w:sz w:val="24"/>
              </w:rPr>
              <w:t xml:space="preserve">Not explicitly assumed </w:t>
            </w:r>
          </w:p>
        </w:tc>
      </w:tr>
      <w:tr w:rsidR="00051D7E" w:rsidRPr="00A454B4" w14:paraId="33BBD8BF" w14:textId="77777777" w:rsidTr="007531FB">
        <w:trPr>
          <w:trHeight w:val="246"/>
          <w:jc w:val="center"/>
        </w:trPr>
        <w:tc>
          <w:tcPr>
            <w:tcW w:w="1565" w:type="pct"/>
          </w:tcPr>
          <w:p w14:paraId="5FC027D2" w14:textId="77777777" w:rsidR="00051D7E" w:rsidRPr="00F54559" w:rsidRDefault="00051D7E" w:rsidP="007531FB">
            <w:pPr>
              <w:widowControl w:val="0"/>
              <w:rPr>
                <w:rFonts w:cstheme="minorHAnsi"/>
                <w:sz w:val="24"/>
                <w:szCs w:val="20"/>
              </w:rPr>
            </w:pPr>
            <w:r w:rsidRPr="00F54559">
              <w:rPr>
                <w:rFonts w:eastAsia="Franklin Gothic Book" w:cstheme="minorHAnsi"/>
                <w:sz w:val="24"/>
              </w:rPr>
              <w:t>Sala</w:t>
            </w:r>
            <w:r w:rsidRPr="00F54559">
              <w:rPr>
                <w:rFonts w:eastAsia="Franklin Gothic Book" w:cstheme="minorHAnsi"/>
                <w:spacing w:val="-2"/>
                <w:sz w:val="24"/>
              </w:rPr>
              <w:t>r</w:t>
            </w:r>
            <w:r w:rsidRPr="00F54559">
              <w:rPr>
                <w:rFonts w:eastAsia="Franklin Gothic Book" w:cstheme="minorHAnsi"/>
                <w:sz w:val="24"/>
              </w:rPr>
              <w:t>y</w:t>
            </w:r>
            <w:r w:rsidRPr="00F54559">
              <w:rPr>
                <w:rFonts w:eastAsia="Franklin Gothic Book" w:cstheme="minorHAnsi"/>
                <w:spacing w:val="-2"/>
                <w:sz w:val="24"/>
              </w:rPr>
              <w:t xml:space="preserve"> </w:t>
            </w:r>
            <w:r w:rsidRPr="00F54559">
              <w:rPr>
                <w:rFonts w:eastAsia="Franklin Gothic Book" w:cstheme="minorHAnsi"/>
                <w:sz w:val="24"/>
              </w:rPr>
              <w:t>inc</w:t>
            </w:r>
            <w:r w:rsidRPr="00F54559">
              <w:rPr>
                <w:rFonts w:eastAsia="Franklin Gothic Book" w:cstheme="minorHAnsi"/>
                <w:spacing w:val="-1"/>
                <w:sz w:val="24"/>
              </w:rPr>
              <w:t>r</w:t>
            </w:r>
            <w:r w:rsidRPr="00F54559">
              <w:rPr>
                <w:rFonts w:eastAsia="Franklin Gothic Book" w:cstheme="minorHAnsi"/>
                <w:sz w:val="24"/>
              </w:rPr>
              <w:t>eases</w:t>
            </w:r>
          </w:p>
        </w:tc>
        <w:tc>
          <w:tcPr>
            <w:tcW w:w="3435" w:type="pct"/>
          </w:tcPr>
          <w:p w14:paraId="69C488AA" w14:textId="77777777" w:rsidR="00051D7E" w:rsidRPr="00F54559" w:rsidRDefault="00051D7E" w:rsidP="007531FB">
            <w:pPr>
              <w:widowControl w:val="0"/>
              <w:rPr>
                <w:rFonts w:cstheme="minorHAnsi"/>
                <w:sz w:val="16"/>
                <w:szCs w:val="16"/>
              </w:rPr>
            </w:pPr>
            <w:r w:rsidRPr="00F54559">
              <w:rPr>
                <w:rFonts w:eastAsia="Franklin Gothic Book" w:cstheme="minorHAnsi"/>
                <w:sz w:val="24"/>
              </w:rPr>
              <w:t>3.5%</w:t>
            </w:r>
            <w:r w:rsidRPr="00F54559">
              <w:rPr>
                <w:rFonts w:eastAsia="Franklin Gothic Book" w:cstheme="minorHAnsi"/>
                <w:spacing w:val="-6"/>
                <w:sz w:val="24"/>
              </w:rPr>
              <w:t xml:space="preserve"> </w:t>
            </w:r>
            <w:r w:rsidRPr="00F54559">
              <w:rPr>
                <w:rFonts w:eastAsia="Franklin Gothic Book" w:cstheme="minorHAnsi"/>
                <w:spacing w:val="-1"/>
                <w:sz w:val="24"/>
              </w:rPr>
              <w:t>p</w:t>
            </w:r>
            <w:r w:rsidRPr="00F54559">
              <w:rPr>
                <w:rFonts w:eastAsia="Franklin Gothic Book" w:cstheme="minorHAnsi"/>
                <w:sz w:val="24"/>
              </w:rPr>
              <w:t>er</w:t>
            </w:r>
            <w:r w:rsidRPr="00F54559">
              <w:rPr>
                <w:rFonts w:eastAsia="Franklin Gothic Book" w:cstheme="minorHAnsi"/>
                <w:spacing w:val="-7"/>
                <w:sz w:val="24"/>
              </w:rPr>
              <w:t xml:space="preserve"> </w:t>
            </w:r>
            <w:r w:rsidRPr="00F54559">
              <w:rPr>
                <w:rFonts w:eastAsia="Franklin Gothic Book" w:cstheme="minorHAnsi"/>
                <w:spacing w:val="-1"/>
                <w:sz w:val="24"/>
              </w:rPr>
              <w:t>y</w:t>
            </w:r>
            <w:r w:rsidRPr="00F54559">
              <w:rPr>
                <w:rFonts w:eastAsia="Franklin Gothic Book" w:cstheme="minorHAnsi"/>
                <w:sz w:val="24"/>
              </w:rPr>
              <w:t>ea</w:t>
            </w:r>
            <w:r w:rsidRPr="00F54559">
              <w:rPr>
                <w:rFonts w:eastAsia="Franklin Gothic Book" w:cstheme="minorHAnsi"/>
                <w:spacing w:val="-2"/>
                <w:sz w:val="24"/>
              </w:rPr>
              <w:t>r</w:t>
            </w:r>
            <w:r>
              <w:rPr>
                <w:rFonts w:eastAsia="Franklin Gothic Book" w:cstheme="minorHAnsi"/>
                <w:spacing w:val="-2"/>
                <w:sz w:val="24"/>
              </w:rPr>
              <w:t>, including longevity</w:t>
            </w:r>
          </w:p>
        </w:tc>
      </w:tr>
      <w:tr w:rsidR="00051D7E" w:rsidRPr="00A454B4" w14:paraId="51784C77" w14:textId="77777777" w:rsidTr="007531FB">
        <w:trPr>
          <w:trHeight w:val="246"/>
          <w:jc w:val="center"/>
        </w:trPr>
        <w:tc>
          <w:tcPr>
            <w:tcW w:w="1565" w:type="pct"/>
          </w:tcPr>
          <w:p w14:paraId="4876DBF2" w14:textId="77777777" w:rsidR="00051D7E" w:rsidRPr="00F54559" w:rsidRDefault="00051D7E" w:rsidP="007531FB">
            <w:pPr>
              <w:widowControl w:val="0"/>
              <w:rPr>
                <w:rFonts w:cstheme="minorHAnsi"/>
                <w:sz w:val="24"/>
                <w:szCs w:val="20"/>
              </w:rPr>
            </w:pPr>
            <w:r w:rsidRPr="00F54559">
              <w:rPr>
                <w:rFonts w:eastAsia="Franklin Gothic Book" w:cstheme="minorHAnsi"/>
                <w:spacing w:val="-2"/>
                <w:sz w:val="24"/>
              </w:rPr>
              <w:t>Payroll increases</w:t>
            </w:r>
          </w:p>
        </w:tc>
        <w:tc>
          <w:tcPr>
            <w:tcW w:w="3435" w:type="pct"/>
          </w:tcPr>
          <w:p w14:paraId="12E0B479" w14:textId="77777777" w:rsidR="00051D7E" w:rsidRPr="00F54559" w:rsidRDefault="00051D7E" w:rsidP="007531FB">
            <w:pPr>
              <w:widowControl w:val="0"/>
              <w:rPr>
                <w:rFonts w:cstheme="minorHAnsi"/>
                <w:sz w:val="16"/>
                <w:szCs w:val="16"/>
              </w:rPr>
            </w:pPr>
            <w:r w:rsidRPr="00F54559">
              <w:rPr>
                <w:rFonts w:eastAsia="Franklin Gothic Book" w:cstheme="minorHAnsi"/>
                <w:spacing w:val="-2"/>
                <w:sz w:val="24"/>
              </w:rPr>
              <w:t>3.5% per year</w:t>
            </w:r>
          </w:p>
        </w:tc>
      </w:tr>
      <w:tr w:rsidR="00051D7E" w:rsidRPr="00A454B4" w14:paraId="2A99A646" w14:textId="77777777" w:rsidTr="007531FB">
        <w:trPr>
          <w:trHeight w:val="246"/>
          <w:jc w:val="center"/>
        </w:trPr>
        <w:tc>
          <w:tcPr>
            <w:tcW w:w="1565" w:type="pct"/>
          </w:tcPr>
          <w:p w14:paraId="0F1A4827" w14:textId="77777777" w:rsidR="00051D7E" w:rsidRPr="00F54559" w:rsidRDefault="00051D7E" w:rsidP="007531FB">
            <w:pPr>
              <w:widowControl w:val="0"/>
              <w:tabs>
                <w:tab w:val="left" w:pos="4264"/>
              </w:tabs>
              <w:rPr>
                <w:rFonts w:cstheme="minorHAnsi"/>
                <w:sz w:val="24"/>
                <w:szCs w:val="20"/>
              </w:rPr>
            </w:pPr>
            <w:r>
              <w:rPr>
                <w:rFonts w:eastAsia="Franklin Gothic Book" w:cstheme="minorHAnsi"/>
                <w:sz w:val="24"/>
              </w:rPr>
              <w:t>Assets</w:t>
            </w:r>
            <w:r w:rsidRPr="00F54559">
              <w:rPr>
                <w:rFonts w:eastAsia="Franklin Gothic Book" w:cstheme="minorHAnsi"/>
                <w:spacing w:val="-2"/>
                <w:sz w:val="24"/>
              </w:rPr>
              <w:t xml:space="preserve"> </w:t>
            </w:r>
          </w:p>
        </w:tc>
        <w:tc>
          <w:tcPr>
            <w:tcW w:w="3435" w:type="pct"/>
          </w:tcPr>
          <w:p w14:paraId="7E4EA840" w14:textId="77777777" w:rsidR="00051D7E" w:rsidRPr="00F54559" w:rsidRDefault="00051D7E" w:rsidP="007531FB">
            <w:pPr>
              <w:widowControl w:val="0"/>
              <w:rPr>
                <w:rFonts w:eastAsia="Franklin Gothic Book" w:cstheme="minorHAnsi"/>
                <w:color w:val="FF0000"/>
                <w:sz w:val="24"/>
              </w:rPr>
            </w:pPr>
            <w:r w:rsidRPr="00F54559">
              <w:rPr>
                <w:rFonts w:eastAsia="Franklin Gothic Book" w:cstheme="minorHAnsi"/>
                <w:sz w:val="24"/>
                <w:szCs w:val="24"/>
              </w:rPr>
              <w:t>There are no assets accumulated in a trust that meets the criteria in paragraph 4 of GASB Statement No. 73.</w:t>
            </w:r>
          </w:p>
        </w:tc>
      </w:tr>
    </w:tbl>
    <w:p w14:paraId="638C8B31" w14:textId="77777777" w:rsidR="00051D7E" w:rsidRPr="00F54559" w:rsidRDefault="00051D7E" w:rsidP="00051D7E">
      <w:pPr>
        <w:rPr>
          <w:rFonts w:cstheme="minorHAnsi"/>
          <w:sz w:val="24"/>
          <w:szCs w:val="24"/>
        </w:rPr>
      </w:pPr>
      <w:r w:rsidRPr="00F54559">
        <w:rPr>
          <w:rFonts w:eastAsia="Franklin Gothic Book" w:cstheme="minorHAnsi"/>
          <w:b/>
          <w:spacing w:val="1"/>
          <w:sz w:val="24"/>
          <w:szCs w:val="24"/>
        </w:rPr>
        <w:br w:type="page"/>
      </w:r>
    </w:p>
    <w:p w14:paraId="21C4C6BF" w14:textId="77777777" w:rsidR="00051D7E" w:rsidRDefault="00051D7E" w:rsidP="00051D7E">
      <w:pPr>
        <w:pStyle w:val="AFR2"/>
        <w:rPr>
          <w:rFonts w:eastAsia="Franklin Gothic Book" w:cstheme="minorHAnsi"/>
          <w:sz w:val="28"/>
        </w:rPr>
        <w:sectPr w:rsidR="00051D7E" w:rsidSect="0097026A">
          <w:headerReference w:type="first" r:id="rId96"/>
          <w:pgSz w:w="12240" w:h="15840" w:code="1"/>
          <w:pgMar w:top="1440" w:right="1440" w:bottom="1440" w:left="1440" w:header="720" w:footer="720" w:gutter="0"/>
          <w:cols w:space="0"/>
          <w:titlePg/>
          <w:docGrid w:linePitch="360"/>
        </w:sectPr>
      </w:pPr>
    </w:p>
    <w:p w14:paraId="15094F1A" w14:textId="77777777" w:rsidR="00051D7E" w:rsidRPr="0023665A" w:rsidRDefault="00051D7E" w:rsidP="00051D7E">
      <w:pPr>
        <w:pStyle w:val="AFR2"/>
        <w:rPr>
          <w:rFonts w:eastAsia="Franklin Gothic Book" w:cstheme="minorHAnsi"/>
          <w:sz w:val="26"/>
          <w:szCs w:val="26"/>
        </w:rPr>
      </w:pPr>
      <w:r w:rsidRPr="0023665A">
        <w:rPr>
          <w:rFonts w:eastAsia="Franklin Gothic Book" w:cstheme="minorHAnsi"/>
          <w:sz w:val="26"/>
          <w:szCs w:val="26"/>
        </w:rPr>
        <w:lastRenderedPageBreak/>
        <w:t>Defined Benefit Pension Plan:</w:t>
      </w:r>
    </w:p>
    <w:p w14:paraId="212C5763" w14:textId="1369A5DD" w:rsidR="00051D7E" w:rsidRDefault="00746F86" w:rsidP="00051D7E">
      <w:pPr>
        <w:widowControl w:val="0"/>
        <w:spacing w:after="240"/>
        <w:rPr>
          <w:rFonts w:eastAsia="Franklin Gothic Book" w:cstheme="minorHAnsi"/>
          <w:b/>
          <w:spacing w:val="1"/>
          <w:szCs w:val="28"/>
        </w:rPr>
      </w:pPr>
      <w:r w:rsidRPr="00746F86">
        <w:rPr>
          <w:noProof/>
        </w:rPr>
        <w:drawing>
          <wp:inline distT="0" distB="0" distL="0" distR="0" wp14:anchorId="4F1DAC42" wp14:editId="2EE2CE46">
            <wp:extent cx="8229600" cy="5151489"/>
            <wp:effectExtent l="0" t="0" r="0" b="0"/>
            <wp:docPr id="68" name="Picture 68" descr="Changes in Total Pension Liability and Related Ratios        &#10;Fiscal Year Ended June 30 2021 2020 2019 2018 2017 2016 2015 2014**&#10;Changes for the year:        &#10;Service cost  $1   $1   $1   $1   $6   $5   $40   $ &#10;Interest  2,148   2,255   2,270   2,385   2,545   2,769   2,884  &#10;Differences between expected and actual experience   (285)   (1,238)  -   (759)  -   12  &#10;Changes of assumptions  (426)  -   2,828   -   -   1,427   -  &#10;Benefit payments  (3,916)  (4,043)  (4,153)  (4,280)  (4,435)  (4,585)  (4,693) &#10;Net change in total pension liability  (2,478)  (1,787)  (292)  (1,894)  (2,643)  (384)  (1,757) &#10;Total pension liability – beginning   36,318   38,105   38,397   40,291   42,934   43,318   45,075  &#10;Total pension liability – ending (a)  33,840   36,318   38,105   38,397   40,291   42,934   43,318   45,075 &#10;Contributions – employer  907   896   714   695   735   538   1,100  &#10;Net investment income  3,704   1,213   1,112   1,335   2,173   202   27  &#10;Benefit payments  (3,916)  (4,043)  (4,153)  (4,280)  (4,435)  (4,585)  (4,693) &#10;Administrative expenses   (13)  (33)  (27)  (36)  (20)  (19)  (8) &#10;Net change in plan fiduciary net position  682   (1,967)  (2,354)  (2,286)  (1,547)  (3,864)  (3,574) &#10;Fiduciary net position – beginning   24,609   26,576   28,930   31,216   32,763   36,627   40,201  &#10;Fiduciary net position – ending (b)  25,291   24,609   26,576   28,930   31,216   32,763   36,627   40,201 &#10;Net pension liability – ending (a)-(b)  $8,549   $11,709   $11,529   $9,467   $9,075   $10,171   $6,691   $4,874 &#10;Plan fiduciary net position as a percentage of the total pension liability 74.74% 67.76% 69.74% 75.34% 77.48% 76.31% 84.56% 89.19%&#10;Covered payroll*  $65   $68   $156   $105   $168   $312   $301   $692 &#10;Net pension liability as a percentage of covered payroll 13158.91% 17284.43% 7396.21% 9052.65% 5400.37% 3259.34% 2219.09% 704.23%&#10;*   Covered payroll for 2016 is the 2015 covered payroll, increased by payroll growth of 3.5%        &#10;** Detailed information regarding the change in the total pension liability for FY14 has not been presented as that information was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29600" cy="5151489"/>
                    </a:xfrm>
                    <a:prstGeom prst="rect">
                      <a:avLst/>
                    </a:prstGeom>
                    <a:noFill/>
                    <a:ln>
                      <a:noFill/>
                    </a:ln>
                  </pic:spPr>
                </pic:pic>
              </a:graphicData>
            </a:graphic>
          </wp:inline>
        </w:drawing>
      </w:r>
    </w:p>
    <w:p w14:paraId="3ED2AE71" w14:textId="77777777" w:rsidR="00051D7E" w:rsidRDefault="00051D7E" w:rsidP="00051D7E">
      <w:pPr>
        <w:pStyle w:val="AFR4"/>
        <w:spacing w:after="240"/>
        <w:rPr>
          <w:rFonts w:ascii="Calibri" w:eastAsia="Times New Roman" w:hAnsi="Calibri" w:cs="Calibri"/>
          <w:bCs/>
          <w:color w:val="0D0D0D"/>
        </w:rPr>
      </w:pPr>
      <w:r w:rsidRPr="00A74468">
        <w:rPr>
          <w:rFonts w:eastAsiaTheme="majorEastAsia" w:cstheme="minorHAnsi"/>
          <w:i/>
          <w:iCs/>
          <w:smallCaps/>
          <w:noProof/>
          <w:color w:val="000000" w:themeColor="text1"/>
          <w:sz w:val="26"/>
          <w:szCs w:val="26"/>
          <w:u w:val="none" w:color="5B9BD5"/>
        </w:rPr>
        <w:lastRenderedPageBreak/>
        <w:t>Defined Benefit Pension Plan – continued:</w:t>
      </w:r>
    </w:p>
    <w:p w14:paraId="337B063C" w14:textId="77777777" w:rsidR="00051D7E" w:rsidRDefault="00051D7E" w:rsidP="00051D7E">
      <w:pPr>
        <w:widowControl w:val="0"/>
        <w:spacing w:after="240"/>
        <w:jc w:val="center"/>
        <w:rPr>
          <w:rFonts w:eastAsia="Franklin Gothic Book" w:cstheme="minorHAnsi"/>
          <w:b/>
          <w:spacing w:val="1"/>
          <w:sz w:val="28"/>
          <w:szCs w:val="28"/>
        </w:rPr>
      </w:pPr>
      <w:r w:rsidRPr="001B7651">
        <w:rPr>
          <w:rFonts w:ascii="Calibri" w:eastAsia="Times New Roman" w:hAnsi="Calibri" w:cs="Calibri"/>
          <w:b/>
          <w:bCs/>
          <w:color w:val="0D0D0D"/>
        </w:rPr>
        <w:t>Schedule of Employer Contributions</w:t>
      </w:r>
      <w:r>
        <w:rPr>
          <w:rFonts w:eastAsia="Franklin Gothic Book" w:cstheme="minorHAnsi"/>
          <w:b/>
          <w:spacing w:val="1"/>
          <w:szCs w:val="28"/>
        </w:rPr>
        <w:fldChar w:fldCharType="begin"/>
      </w:r>
      <w:r>
        <w:rPr>
          <w:rFonts w:eastAsia="Franklin Gothic Book" w:cstheme="minorHAnsi"/>
          <w:b/>
          <w:spacing w:val="1"/>
          <w:szCs w:val="28"/>
        </w:rPr>
        <w:fldChar w:fldCharType="end"/>
      </w:r>
      <w:r>
        <w:rPr>
          <w:rFonts w:eastAsia="Franklin Gothic Book" w:cstheme="minorHAnsi"/>
          <w:b/>
          <w:spacing w:val="1"/>
          <w:sz w:val="28"/>
          <w:szCs w:val="28"/>
        </w:rPr>
        <w:fldChar w:fldCharType="begin"/>
      </w:r>
      <w:r>
        <w:rPr>
          <w:rFonts w:eastAsia="Franklin Gothic Book" w:cstheme="minorHAnsi"/>
          <w:b/>
          <w:spacing w:val="1"/>
          <w:sz w:val="28"/>
          <w:szCs w:val="28"/>
        </w:rPr>
        <w:fldChar w:fldCharType="end"/>
      </w:r>
    </w:p>
    <w:tbl>
      <w:tblPr>
        <w:tblW w:w="11970" w:type="dxa"/>
        <w:jc w:val="center"/>
        <w:tblLayout w:type="fixed"/>
        <w:tblCellMar>
          <w:left w:w="72" w:type="dxa"/>
          <w:right w:w="72" w:type="dxa"/>
        </w:tblCellMar>
        <w:tblLook w:val="04A0" w:firstRow="1" w:lastRow="0" w:firstColumn="1" w:lastColumn="0" w:noHBand="0" w:noVBand="1"/>
      </w:tblPr>
      <w:tblGrid>
        <w:gridCol w:w="4013"/>
        <w:gridCol w:w="1027"/>
        <w:gridCol w:w="1080"/>
        <w:gridCol w:w="990"/>
        <w:gridCol w:w="990"/>
        <w:gridCol w:w="990"/>
        <w:gridCol w:w="990"/>
        <w:gridCol w:w="990"/>
        <w:gridCol w:w="900"/>
      </w:tblGrid>
      <w:tr w:rsidR="00051D7E" w:rsidRPr="001B7651" w14:paraId="2C0A73E4" w14:textId="77777777" w:rsidTr="007531FB">
        <w:trPr>
          <w:trHeight w:val="405"/>
          <w:tblHeader/>
          <w:jc w:val="center"/>
        </w:trPr>
        <w:tc>
          <w:tcPr>
            <w:tcW w:w="4013" w:type="dxa"/>
            <w:tcBorders>
              <w:top w:val="nil"/>
              <w:left w:val="nil"/>
              <w:bottom w:val="single" w:sz="12" w:space="0" w:color="00688D"/>
              <w:right w:val="nil"/>
            </w:tcBorders>
            <w:shd w:val="clear" w:color="000000" w:fill="FFFFFF"/>
            <w:vAlign w:val="bottom"/>
            <w:hideMark/>
          </w:tcPr>
          <w:p w14:paraId="11AAF5D4" w14:textId="77777777" w:rsidR="00051D7E" w:rsidRPr="001B7651" w:rsidRDefault="00051D7E" w:rsidP="007531FB">
            <w:pPr>
              <w:rPr>
                <w:rFonts w:ascii="Calibri" w:eastAsia="Times New Roman" w:hAnsi="Calibri" w:cs="Calibri"/>
                <w:b/>
                <w:bCs/>
                <w:color w:val="0D0D0D"/>
              </w:rPr>
            </w:pPr>
            <w:r w:rsidRPr="001B7651">
              <w:rPr>
                <w:rFonts w:ascii="Calibri" w:eastAsia="Times New Roman" w:hAnsi="Calibri" w:cs="Calibri"/>
                <w:b/>
                <w:bCs/>
                <w:color w:val="0D0D0D"/>
              </w:rPr>
              <w:t>Fiscal Year Ended June 30</w:t>
            </w:r>
          </w:p>
        </w:tc>
        <w:tc>
          <w:tcPr>
            <w:tcW w:w="1027" w:type="dxa"/>
            <w:tcBorders>
              <w:top w:val="nil"/>
              <w:left w:val="nil"/>
              <w:bottom w:val="single" w:sz="12" w:space="0" w:color="00688D"/>
              <w:right w:val="nil"/>
            </w:tcBorders>
            <w:shd w:val="clear" w:color="auto" w:fill="F2F2F2" w:themeFill="background1" w:themeFillShade="F2"/>
          </w:tcPr>
          <w:p w14:paraId="66A58B2C" w14:textId="77777777" w:rsidR="00051D7E" w:rsidRDefault="00051D7E" w:rsidP="007531FB">
            <w:pPr>
              <w:jc w:val="center"/>
              <w:rPr>
                <w:rFonts w:ascii="Calibri" w:eastAsia="Times New Roman" w:hAnsi="Calibri" w:cs="Calibri"/>
                <w:b/>
                <w:bCs/>
                <w:color w:val="0D0D0D"/>
                <w:highlight w:val="lightGray"/>
              </w:rPr>
            </w:pPr>
          </w:p>
          <w:p w14:paraId="77D909EC"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w:t>
            </w:r>
            <w:r>
              <w:rPr>
                <w:rFonts w:ascii="Calibri" w:eastAsia="Times New Roman" w:hAnsi="Calibri" w:cs="Calibri"/>
                <w:b/>
                <w:bCs/>
                <w:color w:val="0D0D0D"/>
              </w:rPr>
              <w:t>21</w:t>
            </w:r>
          </w:p>
        </w:tc>
        <w:tc>
          <w:tcPr>
            <w:tcW w:w="1080" w:type="dxa"/>
            <w:tcBorders>
              <w:top w:val="nil"/>
              <w:left w:val="nil"/>
              <w:bottom w:val="single" w:sz="12" w:space="0" w:color="00688D"/>
              <w:right w:val="nil"/>
            </w:tcBorders>
            <w:shd w:val="clear" w:color="000000" w:fill="FFFFFF"/>
            <w:noWrap/>
            <w:vAlign w:val="bottom"/>
            <w:hideMark/>
          </w:tcPr>
          <w:p w14:paraId="5C5E9500"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2020</w:t>
            </w:r>
          </w:p>
        </w:tc>
        <w:tc>
          <w:tcPr>
            <w:tcW w:w="990" w:type="dxa"/>
            <w:tcBorders>
              <w:top w:val="nil"/>
              <w:left w:val="nil"/>
              <w:bottom w:val="single" w:sz="12" w:space="0" w:color="00688D"/>
              <w:right w:val="nil"/>
            </w:tcBorders>
            <w:shd w:val="clear" w:color="auto" w:fill="F2F2F2" w:themeFill="background1" w:themeFillShade="F2"/>
            <w:noWrap/>
            <w:vAlign w:val="bottom"/>
            <w:hideMark/>
          </w:tcPr>
          <w:p w14:paraId="3386FAFD"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2019</w:t>
            </w:r>
          </w:p>
        </w:tc>
        <w:tc>
          <w:tcPr>
            <w:tcW w:w="990" w:type="dxa"/>
            <w:tcBorders>
              <w:top w:val="nil"/>
              <w:left w:val="nil"/>
              <w:bottom w:val="single" w:sz="12" w:space="0" w:color="00688D"/>
              <w:right w:val="nil"/>
            </w:tcBorders>
            <w:shd w:val="clear" w:color="000000" w:fill="FFFFFF"/>
            <w:noWrap/>
            <w:vAlign w:val="bottom"/>
            <w:hideMark/>
          </w:tcPr>
          <w:p w14:paraId="5C579B84"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2018</w:t>
            </w:r>
          </w:p>
        </w:tc>
        <w:tc>
          <w:tcPr>
            <w:tcW w:w="990" w:type="dxa"/>
            <w:tcBorders>
              <w:top w:val="nil"/>
              <w:left w:val="nil"/>
              <w:bottom w:val="single" w:sz="12" w:space="0" w:color="00688D"/>
              <w:right w:val="nil"/>
            </w:tcBorders>
            <w:shd w:val="clear" w:color="auto" w:fill="F2F2F2" w:themeFill="background1" w:themeFillShade="F2"/>
            <w:noWrap/>
            <w:vAlign w:val="bottom"/>
            <w:hideMark/>
          </w:tcPr>
          <w:p w14:paraId="27F60E77"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2017</w:t>
            </w:r>
          </w:p>
        </w:tc>
        <w:tc>
          <w:tcPr>
            <w:tcW w:w="990" w:type="dxa"/>
            <w:tcBorders>
              <w:top w:val="nil"/>
              <w:left w:val="nil"/>
              <w:bottom w:val="single" w:sz="12" w:space="0" w:color="00688D"/>
              <w:right w:val="nil"/>
            </w:tcBorders>
            <w:shd w:val="clear" w:color="000000" w:fill="FFFFFF"/>
            <w:noWrap/>
            <w:vAlign w:val="bottom"/>
            <w:hideMark/>
          </w:tcPr>
          <w:p w14:paraId="2595BA35"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2016</w:t>
            </w:r>
          </w:p>
        </w:tc>
        <w:tc>
          <w:tcPr>
            <w:tcW w:w="990" w:type="dxa"/>
            <w:tcBorders>
              <w:top w:val="nil"/>
              <w:left w:val="nil"/>
              <w:bottom w:val="single" w:sz="12" w:space="0" w:color="00688D"/>
              <w:right w:val="nil"/>
            </w:tcBorders>
            <w:shd w:val="clear" w:color="auto" w:fill="F2F2F2" w:themeFill="background1" w:themeFillShade="F2"/>
            <w:noWrap/>
            <w:vAlign w:val="bottom"/>
            <w:hideMark/>
          </w:tcPr>
          <w:p w14:paraId="7C1547F6" w14:textId="77777777" w:rsidR="00051D7E" w:rsidRPr="001B7651" w:rsidRDefault="00051D7E" w:rsidP="007531FB">
            <w:pPr>
              <w:jc w:val="center"/>
              <w:rPr>
                <w:rFonts w:ascii="Calibri" w:eastAsia="Times New Roman" w:hAnsi="Calibri" w:cs="Calibri"/>
                <w:b/>
                <w:bCs/>
                <w:color w:val="0D0D0D"/>
              </w:rPr>
            </w:pPr>
            <w:r w:rsidRPr="001B7651">
              <w:rPr>
                <w:rFonts w:ascii="Calibri" w:eastAsia="Times New Roman" w:hAnsi="Calibri" w:cs="Calibri"/>
                <w:b/>
                <w:bCs/>
                <w:color w:val="0D0D0D"/>
              </w:rPr>
              <w:t>2015</w:t>
            </w:r>
          </w:p>
        </w:tc>
        <w:tc>
          <w:tcPr>
            <w:tcW w:w="900" w:type="dxa"/>
            <w:tcBorders>
              <w:top w:val="nil"/>
              <w:left w:val="nil"/>
              <w:bottom w:val="single" w:sz="12" w:space="0" w:color="00688D"/>
              <w:right w:val="nil"/>
            </w:tcBorders>
            <w:shd w:val="clear" w:color="auto" w:fill="auto"/>
          </w:tcPr>
          <w:p w14:paraId="577697DC" w14:textId="77777777" w:rsidR="00051D7E" w:rsidRDefault="00051D7E" w:rsidP="007531FB">
            <w:pPr>
              <w:jc w:val="center"/>
              <w:rPr>
                <w:rFonts w:ascii="Calibri" w:eastAsia="Times New Roman" w:hAnsi="Calibri" w:cs="Calibri"/>
                <w:b/>
                <w:bCs/>
              </w:rPr>
            </w:pPr>
          </w:p>
          <w:p w14:paraId="7BACB78C" w14:textId="77777777" w:rsidR="00051D7E" w:rsidRPr="001B7651" w:rsidRDefault="00051D7E" w:rsidP="007531FB">
            <w:pPr>
              <w:jc w:val="center"/>
              <w:rPr>
                <w:rFonts w:ascii="Calibri" w:eastAsia="Times New Roman" w:hAnsi="Calibri" w:cs="Calibri"/>
                <w:b/>
                <w:bCs/>
                <w:color w:val="0D0D0D"/>
              </w:rPr>
            </w:pPr>
            <w:r w:rsidRPr="00D02584">
              <w:rPr>
                <w:rFonts w:ascii="Calibri" w:eastAsia="Times New Roman" w:hAnsi="Calibri" w:cs="Calibri"/>
                <w:b/>
                <w:bCs/>
              </w:rPr>
              <w:t>2014</w:t>
            </w:r>
          </w:p>
        </w:tc>
      </w:tr>
      <w:tr w:rsidR="00051D7E" w:rsidRPr="001B7651" w14:paraId="41FE0B94" w14:textId="77777777" w:rsidTr="007531FB">
        <w:trPr>
          <w:trHeight w:val="301"/>
          <w:jc w:val="center"/>
        </w:trPr>
        <w:tc>
          <w:tcPr>
            <w:tcW w:w="4013" w:type="dxa"/>
            <w:tcBorders>
              <w:top w:val="nil"/>
              <w:left w:val="nil"/>
              <w:bottom w:val="nil"/>
              <w:right w:val="nil"/>
            </w:tcBorders>
            <w:shd w:val="clear" w:color="000000" w:fill="FFFFFF"/>
            <w:vAlign w:val="center"/>
            <w:hideMark/>
          </w:tcPr>
          <w:p w14:paraId="280CB963"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Actuarially determined contribution</w:t>
            </w:r>
          </w:p>
        </w:tc>
        <w:tc>
          <w:tcPr>
            <w:tcW w:w="1027" w:type="dxa"/>
            <w:tcBorders>
              <w:top w:val="nil"/>
              <w:left w:val="nil"/>
              <w:bottom w:val="nil"/>
              <w:right w:val="nil"/>
            </w:tcBorders>
            <w:shd w:val="clear" w:color="auto" w:fill="F2F2F2" w:themeFill="background1" w:themeFillShade="F2"/>
            <w:vAlign w:val="bottom"/>
          </w:tcPr>
          <w:p w14:paraId="0B30D05A" w14:textId="77777777" w:rsidR="00051D7E" w:rsidRDefault="00051D7E" w:rsidP="007531FB">
            <w:pPr>
              <w:jc w:val="right"/>
              <w:rPr>
                <w:rFonts w:ascii="Calibri" w:eastAsia="Times New Roman" w:hAnsi="Calibri" w:cs="Calibri"/>
                <w:color w:val="0D0D0D"/>
              </w:rPr>
            </w:pPr>
            <w:r>
              <w:rPr>
                <w:rFonts w:ascii="Calibri" w:eastAsia="Times New Roman" w:hAnsi="Calibri" w:cs="Calibri"/>
                <w:color w:val="0D0D0D"/>
              </w:rPr>
              <w:t xml:space="preserve">$     907             </w:t>
            </w:r>
          </w:p>
        </w:tc>
        <w:tc>
          <w:tcPr>
            <w:tcW w:w="1080" w:type="dxa"/>
            <w:tcBorders>
              <w:top w:val="nil"/>
              <w:left w:val="nil"/>
              <w:bottom w:val="nil"/>
              <w:right w:val="nil"/>
            </w:tcBorders>
            <w:shd w:val="clear" w:color="000000" w:fill="FFFFFF"/>
            <w:noWrap/>
            <w:vAlign w:val="bottom"/>
            <w:hideMark/>
          </w:tcPr>
          <w:p w14:paraId="6AB5C7D0"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 xml:space="preserve">$      896           </w:t>
            </w:r>
          </w:p>
        </w:tc>
        <w:tc>
          <w:tcPr>
            <w:tcW w:w="990" w:type="dxa"/>
            <w:tcBorders>
              <w:top w:val="nil"/>
              <w:left w:val="nil"/>
              <w:bottom w:val="nil"/>
              <w:right w:val="nil"/>
            </w:tcBorders>
            <w:shd w:val="clear" w:color="auto" w:fill="F2F2F2" w:themeFill="background1" w:themeFillShade="F2"/>
            <w:noWrap/>
            <w:vAlign w:val="bottom"/>
            <w:hideMark/>
          </w:tcPr>
          <w:p w14:paraId="5ABF5C77"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714</w:t>
            </w:r>
            <w:r w:rsidRPr="001B7651">
              <w:rPr>
                <w:rFonts w:ascii="Calibri" w:eastAsia="Times New Roman" w:hAnsi="Calibri" w:cs="Calibri"/>
                <w:color w:val="0D0D0D"/>
              </w:rPr>
              <w:t xml:space="preserve">           </w:t>
            </w:r>
          </w:p>
        </w:tc>
        <w:tc>
          <w:tcPr>
            <w:tcW w:w="990" w:type="dxa"/>
            <w:tcBorders>
              <w:top w:val="nil"/>
              <w:left w:val="nil"/>
              <w:bottom w:val="nil"/>
              <w:right w:val="nil"/>
            </w:tcBorders>
            <w:shd w:val="clear" w:color="000000" w:fill="FFFFFF"/>
            <w:noWrap/>
            <w:vAlign w:val="bottom"/>
            <w:hideMark/>
          </w:tcPr>
          <w:p w14:paraId="7A4B1C44"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695</w:t>
            </w:r>
            <w:r w:rsidRPr="001B7651">
              <w:rPr>
                <w:rFonts w:ascii="Calibri" w:eastAsia="Times New Roman" w:hAnsi="Calibri" w:cs="Calibri"/>
                <w:color w:val="0D0D0D"/>
              </w:rPr>
              <w:t xml:space="preserve">           </w:t>
            </w:r>
          </w:p>
        </w:tc>
        <w:tc>
          <w:tcPr>
            <w:tcW w:w="990" w:type="dxa"/>
            <w:tcBorders>
              <w:top w:val="nil"/>
              <w:left w:val="nil"/>
              <w:bottom w:val="nil"/>
              <w:right w:val="nil"/>
            </w:tcBorders>
            <w:shd w:val="clear" w:color="auto" w:fill="F2F2F2" w:themeFill="background1" w:themeFillShade="F2"/>
            <w:noWrap/>
            <w:vAlign w:val="bottom"/>
            <w:hideMark/>
          </w:tcPr>
          <w:p w14:paraId="2E885125"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735</w:t>
            </w:r>
            <w:r w:rsidRPr="001B7651">
              <w:rPr>
                <w:rFonts w:ascii="Calibri" w:eastAsia="Times New Roman" w:hAnsi="Calibri" w:cs="Calibri"/>
                <w:color w:val="0D0D0D"/>
              </w:rPr>
              <w:t xml:space="preserve">           </w:t>
            </w:r>
          </w:p>
        </w:tc>
        <w:tc>
          <w:tcPr>
            <w:tcW w:w="990" w:type="dxa"/>
            <w:tcBorders>
              <w:top w:val="nil"/>
              <w:left w:val="nil"/>
              <w:bottom w:val="nil"/>
              <w:right w:val="nil"/>
            </w:tcBorders>
            <w:shd w:val="clear" w:color="000000" w:fill="FFFFFF"/>
            <w:noWrap/>
            <w:vAlign w:val="bottom"/>
            <w:hideMark/>
          </w:tcPr>
          <w:p w14:paraId="3E9DB668"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 xml:space="preserve">$      538          </w:t>
            </w:r>
          </w:p>
        </w:tc>
        <w:tc>
          <w:tcPr>
            <w:tcW w:w="990" w:type="dxa"/>
            <w:tcBorders>
              <w:top w:val="nil"/>
              <w:left w:val="nil"/>
              <w:bottom w:val="nil"/>
              <w:right w:val="nil"/>
            </w:tcBorders>
            <w:shd w:val="clear" w:color="auto" w:fill="F2F2F2" w:themeFill="background1" w:themeFillShade="F2"/>
            <w:noWrap/>
            <w:vAlign w:val="bottom"/>
            <w:hideMark/>
          </w:tcPr>
          <w:p w14:paraId="436B95F0"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550    </w:t>
            </w:r>
          </w:p>
        </w:tc>
        <w:tc>
          <w:tcPr>
            <w:tcW w:w="900" w:type="dxa"/>
            <w:tcBorders>
              <w:top w:val="nil"/>
              <w:left w:val="nil"/>
              <w:bottom w:val="nil"/>
              <w:right w:val="nil"/>
            </w:tcBorders>
            <w:shd w:val="clear" w:color="auto" w:fill="auto"/>
            <w:vAlign w:val="bottom"/>
          </w:tcPr>
          <w:p w14:paraId="1163F015"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     550</w:t>
            </w:r>
            <w:r w:rsidRPr="001B7651">
              <w:rPr>
                <w:rFonts w:ascii="Calibri" w:eastAsia="Times New Roman" w:hAnsi="Calibri" w:cs="Calibri"/>
                <w:color w:val="0D0D0D"/>
              </w:rPr>
              <w:t xml:space="preserve">   </w:t>
            </w:r>
          </w:p>
        </w:tc>
      </w:tr>
      <w:tr w:rsidR="00051D7E" w:rsidRPr="001B7651" w14:paraId="5320211D" w14:textId="77777777" w:rsidTr="007531FB">
        <w:trPr>
          <w:trHeight w:val="535"/>
          <w:jc w:val="center"/>
        </w:trPr>
        <w:tc>
          <w:tcPr>
            <w:tcW w:w="4013" w:type="dxa"/>
            <w:tcBorders>
              <w:top w:val="nil"/>
              <w:left w:val="nil"/>
              <w:bottom w:val="nil"/>
              <w:right w:val="nil"/>
            </w:tcBorders>
            <w:shd w:val="clear" w:color="000000" w:fill="FFFFFF"/>
            <w:vAlign w:val="center"/>
            <w:hideMark/>
          </w:tcPr>
          <w:p w14:paraId="4A0EFE36"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Contributions in relation to the actuarially determined contribution</w:t>
            </w:r>
          </w:p>
        </w:tc>
        <w:tc>
          <w:tcPr>
            <w:tcW w:w="1027" w:type="dxa"/>
            <w:tcBorders>
              <w:top w:val="nil"/>
              <w:left w:val="nil"/>
              <w:bottom w:val="nil"/>
              <w:right w:val="nil"/>
            </w:tcBorders>
            <w:shd w:val="clear" w:color="auto" w:fill="F2F2F2" w:themeFill="background1" w:themeFillShade="F2"/>
            <w:vAlign w:val="bottom"/>
          </w:tcPr>
          <w:p w14:paraId="3C3B4877"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907</w:t>
            </w:r>
          </w:p>
        </w:tc>
        <w:tc>
          <w:tcPr>
            <w:tcW w:w="1080" w:type="dxa"/>
            <w:tcBorders>
              <w:top w:val="nil"/>
              <w:left w:val="nil"/>
              <w:bottom w:val="nil"/>
              <w:right w:val="nil"/>
            </w:tcBorders>
            <w:shd w:val="clear" w:color="000000" w:fill="FFFFFF"/>
            <w:noWrap/>
            <w:vAlign w:val="bottom"/>
            <w:hideMark/>
          </w:tcPr>
          <w:p w14:paraId="4957D7D2"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896</w:t>
            </w:r>
          </w:p>
        </w:tc>
        <w:tc>
          <w:tcPr>
            <w:tcW w:w="990" w:type="dxa"/>
            <w:tcBorders>
              <w:top w:val="nil"/>
              <w:left w:val="nil"/>
              <w:bottom w:val="nil"/>
              <w:right w:val="nil"/>
            </w:tcBorders>
            <w:shd w:val="clear" w:color="auto" w:fill="F2F2F2" w:themeFill="background1" w:themeFillShade="F2"/>
            <w:noWrap/>
            <w:vAlign w:val="bottom"/>
            <w:hideMark/>
          </w:tcPr>
          <w:p w14:paraId="49FF5DEB"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714</w:t>
            </w:r>
          </w:p>
        </w:tc>
        <w:tc>
          <w:tcPr>
            <w:tcW w:w="990" w:type="dxa"/>
            <w:tcBorders>
              <w:top w:val="nil"/>
              <w:left w:val="nil"/>
              <w:bottom w:val="nil"/>
              <w:right w:val="nil"/>
            </w:tcBorders>
            <w:shd w:val="clear" w:color="000000" w:fill="FFFFFF"/>
            <w:noWrap/>
            <w:vAlign w:val="bottom"/>
            <w:hideMark/>
          </w:tcPr>
          <w:p w14:paraId="64C2D6E9"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695</w:t>
            </w:r>
          </w:p>
        </w:tc>
        <w:tc>
          <w:tcPr>
            <w:tcW w:w="990" w:type="dxa"/>
            <w:tcBorders>
              <w:top w:val="nil"/>
              <w:left w:val="nil"/>
              <w:bottom w:val="nil"/>
              <w:right w:val="nil"/>
            </w:tcBorders>
            <w:shd w:val="clear" w:color="auto" w:fill="F2F2F2" w:themeFill="background1" w:themeFillShade="F2"/>
            <w:noWrap/>
            <w:vAlign w:val="bottom"/>
            <w:hideMark/>
          </w:tcPr>
          <w:p w14:paraId="21BBA0FB"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735</w:t>
            </w:r>
          </w:p>
        </w:tc>
        <w:tc>
          <w:tcPr>
            <w:tcW w:w="990" w:type="dxa"/>
            <w:tcBorders>
              <w:top w:val="nil"/>
              <w:left w:val="nil"/>
              <w:bottom w:val="nil"/>
              <w:right w:val="nil"/>
            </w:tcBorders>
            <w:shd w:val="clear" w:color="000000" w:fill="FFFFFF"/>
            <w:noWrap/>
            <w:vAlign w:val="bottom"/>
            <w:hideMark/>
          </w:tcPr>
          <w:p w14:paraId="361B8C16"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538</w:t>
            </w:r>
          </w:p>
        </w:tc>
        <w:tc>
          <w:tcPr>
            <w:tcW w:w="990" w:type="dxa"/>
            <w:tcBorders>
              <w:top w:val="nil"/>
              <w:left w:val="nil"/>
              <w:bottom w:val="nil"/>
              <w:right w:val="nil"/>
            </w:tcBorders>
            <w:shd w:val="clear" w:color="auto" w:fill="F2F2F2" w:themeFill="background1" w:themeFillShade="F2"/>
            <w:noWrap/>
            <w:vAlign w:val="bottom"/>
            <w:hideMark/>
          </w:tcPr>
          <w:p w14:paraId="59D9E5BB"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1,100</w:t>
            </w:r>
          </w:p>
        </w:tc>
        <w:tc>
          <w:tcPr>
            <w:tcW w:w="900" w:type="dxa"/>
            <w:tcBorders>
              <w:top w:val="nil"/>
              <w:left w:val="nil"/>
              <w:bottom w:val="nil"/>
              <w:right w:val="nil"/>
            </w:tcBorders>
            <w:shd w:val="clear" w:color="auto" w:fill="auto"/>
            <w:vAlign w:val="bottom"/>
          </w:tcPr>
          <w:p w14:paraId="174F2A8D"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550</w:t>
            </w:r>
          </w:p>
        </w:tc>
      </w:tr>
      <w:tr w:rsidR="00051D7E" w:rsidRPr="001B7651" w14:paraId="39EF344A" w14:textId="77777777" w:rsidTr="007531FB">
        <w:trPr>
          <w:trHeight w:val="301"/>
          <w:jc w:val="center"/>
        </w:trPr>
        <w:tc>
          <w:tcPr>
            <w:tcW w:w="4013" w:type="dxa"/>
            <w:tcBorders>
              <w:top w:val="single" w:sz="4" w:space="0" w:color="00688D"/>
              <w:left w:val="nil"/>
              <w:bottom w:val="double" w:sz="6" w:space="0" w:color="00688D"/>
              <w:right w:val="nil"/>
            </w:tcBorders>
            <w:shd w:val="clear" w:color="000000" w:fill="FFFFFF"/>
            <w:vAlign w:val="bottom"/>
            <w:hideMark/>
          </w:tcPr>
          <w:p w14:paraId="12A330BA"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Contribution deficiency (excess)</w:t>
            </w:r>
          </w:p>
        </w:tc>
        <w:tc>
          <w:tcPr>
            <w:tcW w:w="1027" w:type="dxa"/>
            <w:tcBorders>
              <w:top w:val="single" w:sz="4" w:space="0" w:color="00688D"/>
              <w:left w:val="nil"/>
              <w:bottom w:val="double" w:sz="6" w:space="0" w:color="00688D"/>
              <w:right w:val="nil"/>
            </w:tcBorders>
            <w:shd w:val="clear" w:color="auto" w:fill="F2F2F2" w:themeFill="background1" w:themeFillShade="F2"/>
            <w:vAlign w:val="bottom"/>
          </w:tcPr>
          <w:p w14:paraId="19910539"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 xml:space="preserve">$          </w:t>
            </w:r>
            <w:r w:rsidRPr="001B7651">
              <w:rPr>
                <w:rFonts w:ascii="Calibri" w:eastAsia="Times New Roman" w:hAnsi="Calibri" w:cs="Calibri"/>
                <w:color w:val="0D0D0D"/>
              </w:rPr>
              <w:t>-</w:t>
            </w:r>
          </w:p>
        </w:tc>
        <w:tc>
          <w:tcPr>
            <w:tcW w:w="1080" w:type="dxa"/>
            <w:tcBorders>
              <w:top w:val="single" w:sz="4" w:space="0" w:color="00688D"/>
              <w:left w:val="nil"/>
              <w:bottom w:val="double" w:sz="6" w:space="0" w:color="00688D"/>
              <w:right w:val="nil"/>
            </w:tcBorders>
            <w:shd w:val="clear" w:color="000000" w:fill="FFFFFF"/>
            <w:noWrap/>
            <w:hideMark/>
          </w:tcPr>
          <w:p w14:paraId="6B821147" w14:textId="77777777" w:rsidR="00051D7E" w:rsidRPr="001B7651" w:rsidRDefault="00051D7E" w:rsidP="007531FB">
            <w:pPr>
              <w:jc w:val="right"/>
              <w:rPr>
                <w:rFonts w:ascii="Calibri" w:eastAsia="Times New Roman" w:hAnsi="Calibri" w:cs="Calibri"/>
                <w:color w:val="0D0D0D"/>
              </w:rPr>
            </w:pPr>
            <w:r w:rsidRPr="00AF5AF9">
              <w:rPr>
                <w:rFonts w:ascii="Calibri" w:eastAsia="Times New Roman" w:hAnsi="Calibri" w:cs="Calibri"/>
                <w:color w:val="0D0D0D"/>
              </w:rPr>
              <w:t>$          -</w:t>
            </w:r>
          </w:p>
        </w:tc>
        <w:tc>
          <w:tcPr>
            <w:tcW w:w="990" w:type="dxa"/>
            <w:tcBorders>
              <w:top w:val="single" w:sz="4" w:space="0" w:color="00688D"/>
              <w:left w:val="nil"/>
              <w:bottom w:val="double" w:sz="6" w:space="0" w:color="00688D"/>
              <w:right w:val="nil"/>
            </w:tcBorders>
            <w:shd w:val="clear" w:color="auto" w:fill="F2F2F2" w:themeFill="background1" w:themeFillShade="F2"/>
            <w:noWrap/>
            <w:hideMark/>
          </w:tcPr>
          <w:p w14:paraId="77DDCC1F" w14:textId="77777777" w:rsidR="00051D7E" w:rsidRPr="001B7651" w:rsidRDefault="00051D7E" w:rsidP="007531FB">
            <w:pPr>
              <w:jc w:val="right"/>
              <w:rPr>
                <w:rFonts w:ascii="Calibri" w:eastAsia="Times New Roman" w:hAnsi="Calibri" w:cs="Calibri"/>
                <w:color w:val="0D0D0D"/>
              </w:rPr>
            </w:pPr>
            <w:r w:rsidRPr="00AF5AF9">
              <w:rPr>
                <w:rFonts w:ascii="Calibri" w:eastAsia="Times New Roman" w:hAnsi="Calibri" w:cs="Calibri"/>
                <w:color w:val="0D0D0D"/>
              </w:rPr>
              <w:t>$</w:t>
            </w:r>
            <w:r>
              <w:rPr>
                <w:rFonts w:ascii="Calibri" w:eastAsia="Times New Roman" w:hAnsi="Calibri" w:cs="Calibri"/>
                <w:color w:val="0D0D0D"/>
              </w:rPr>
              <w:t xml:space="preserve">    </w:t>
            </w:r>
            <w:r w:rsidRPr="00AF5AF9">
              <w:rPr>
                <w:rFonts w:ascii="Calibri" w:eastAsia="Times New Roman" w:hAnsi="Calibri" w:cs="Calibri"/>
                <w:color w:val="0D0D0D"/>
              </w:rPr>
              <w:t xml:space="preserve"> </w:t>
            </w:r>
            <w:r>
              <w:rPr>
                <w:rFonts w:ascii="Calibri" w:eastAsia="Times New Roman" w:hAnsi="Calibri" w:cs="Calibri"/>
                <w:color w:val="0D0D0D"/>
              </w:rPr>
              <w:t xml:space="preserve"> </w:t>
            </w:r>
            <w:r w:rsidRPr="00AF5AF9">
              <w:rPr>
                <w:rFonts w:ascii="Calibri" w:eastAsia="Times New Roman" w:hAnsi="Calibri" w:cs="Calibri"/>
                <w:color w:val="0D0D0D"/>
              </w:rPr>
              <w:t xml:space="preserve">      -</w:t>
            </w:r>
          </w:p>
        </w:tc>
        <w:tc>
          <w:tcPr>
            <w:tcW w:w="990" w:type="dxa"/>
            <w:tcBorders>
              <w:top w:val="single" w:sz="4" w:space="0" w:color="00688D"/>
              <w:left w:val="nil"/>
              <w:bottom w:val="double" w:sz="6" w:space="0" w:color="00688D"/>
              <w:right w:val="nil"/>
            </w:tcBorders>
            <w:shd w:val="clear" w:color="000000" w:fill="FFFFFF"/>
            <w:noWrap/>
            <w:hideMark/>
          </w:tcPr>
          <w:p w14:paraId="12ECC0DE" w14:textId="77777777" w:rsidR="00051D7E" w:rsidRPr="001B7651" w:rsidRDefault="00051D7E" w:rsidP="007531FB">
            <w:pPr>
              <w:jc w:val="right"/>
              <w:rPr>
                <w:rFonts w:ascii="Calibri" w:eastAsia="Times New Roman" w:hAnsi="Calibri" w:cs="Calibri"/>
                <w:color w:val="0D0D0D"/>
              </w:rPr>
            </w:pPr>
            <w:r w:rsidRPr="00CD5016">
              <w:rPr>
                <w:rFonts w:ascii="Calibri" w:eastAsia="Times New Roman" w:hAnsi="Calibri" w:cs="Calibri"/>
                <w:color w:val="0D0D0D"/>
              </w:rPr>
              <w:t>$</w:t>
            </w:r>
            <w:r>
              <w:rPr>
                <w:rFonts w:ascii="Calibri" w:eastAsia="Times New Roman" w:hAnsi="Calibri" w:cs="Calibri"/>
                <w:color w:val="0D0D0D"/>
              </w:rPr>
              <w:t xml:space="preserve">   </w:t>
            </w:r>
            <w:r w:rsidRPr="00CD5016">
              <w:rPr>
                <w:rFonts w:ascii="Calibri" w:eastAsia="Times New Roman" w:hAnsi="Calibri" w:cs="Calibri"/>
                <w:color w:val="0D0D0D"/>
              </w:rPr>
              <w:t xml:space="preserve">        -</w:t>
            </w:r>
          </w:p>
        </w:tc>
        <w:tc>
          <w:tcPr>
            <w:tcW w:w="990" w:type="dxa"/>
            <w:tcBorders>
              <w:top w:val="single" w:sz="4" w:space="0" w:color="00688D"/>
              <w:left w:val="nil"/>
              <w:bottom w:val="double" w:sz="6" w:space="0" w:color="00688D"/>
              <w:right w:val="nil"/>
            </w:tcBorders>
            <w:shd w:val="clear" w:color="auto" w:fill="F2F2F2" w:themeFill="background1" w:themeFillShade="F2"/>
            <w:noWrap/>
            <w:hideMark/>
          </w:tcPr>
          <w:p w14:paraId="1FAFC504" w14:textId="77777777" w:rsidR="00051D7E" w:rsidRPr="001B7651" w:rsidRDefault="00051D7E" w:rsidP="007531FB">
            <w:pPr>
              <w:jc w:val="right"/>
              <w:rPr>
                <w:rFonts w:ascii="Calibri" w:eastAsia="Times New Roman" w:hAnsi="Calibri" w:cs="Calibri"/>
                <w:color w:val="0D0D0D"/>
              </w:rPr>
            </w:pPr>
            <w:r w:rsidRPr="00CD5016">
              <w:rPr>
                <w:rFonts w:ascii="Calibri" w:eastAsia="Times New Roman" w:hAnsi="Calibri" w:cs="Calibri"/>
                <w:color w:val="0D0D0D"/>
              </w:rPr>
              <w:t>$           -</w:t>
            </w:r>
          </w:p>
        </w:tc>
        <w:tc>
          <w:tcPr>
            <w:tcW w:w="990" w:type="dxa"/>
            <w:tcBorders>
              <w:top w:val="single" w:sz="4" w:space="0" w:color="00688D"/>
              <w:left w:val="nil"/>
              <w:bottom w:val="double" w:sz="6" w:space="0" w:color="00688D"/>
              <w:right w:val="nil"/>
            </w:tcBorders>
            <w:shd w:val="clear" w:color="000000" w:fill="FFFFFF"/>
            <w:noWrap/>
            <w:vAlign w:val="bottom"/>
            <w:hideMark/>
          </w:tcPr>
          <w:p w14:paraId="3525DF0E"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 xml:space="preserve">$           </w:t>
            </w:r>
            <w:r w:rsidRPr="001B7651">
              <w:rPr>
                <w:rFonts w:ascii="Calibri" w:eastAsia="Times New Roman" w:hAnsi="Calibri" w:cs="Calibri"/>
                <w:color w:val="0D0D0D"/>
              </w:rPr>
              <w:t>-</w:t>
            </w:r>
          </w:p>
        </w:tc>
        <w:tc>
          <w:tcPr>
            <w:tcW w:w="990"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08EAE332"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    (550)</w:t>
            </w:r>
          </w:p>
        </w:tc>
        <w:tc>
          <w:tcPr>
            <w:tcW w:w="900" w:type="dxa"/>
            <w:tcBorders>
              <w:top w:val="single" w:sz="4" w:space="0" w:color="00688D"/>
              <w:left w:val="nil"/>
              <w:bottom w:val="double" w:sz="6" w:space="0" w:color="00688D"/>
              <w:right w:val="nil"/>
            </w:tcBorders>
            <w:shd w:val="clear" w:color="auto" w:fill="auto"/>
            <w:vAlign w:val="bottom"/>
          </w:tcPr>
          <w:p w14:paraId="361AB71A" w14:textId="77777777" w:rsidR="00051D7E" w:rsidRPr="001B7651" w:rsidRDefault="00051D7E" w:rsidP="007531FB">
            <w:pPr>
              <w:jc w:val="right"/>
              <w:rPr>
                <w:rFonts w:ascii="Calibri" w:eastAsia="Times New Roman" w:hAnsi="Calibri" w:cs="Calibri"/>
                <w:color w:val="0D0D0D"/>
              </w:rPr>
            </w:pPr>
            <w:r>
              <w:rPr>
                <w:rFonts w:ascii="Calibri" w:eastAsia="Times New Roman" w:hAnsi="Calibri" w:cs="Calibri"/>
                <w:color w:val="0D0D0D"/>
              </w:rPr>
              <w:t xml:space="preserve">$           </w:t>
            </w:r>
            <w:r w:rsidRPr="001B7651">
              <w:rPr>
                <w:rFonts w:ascii="Calibri" w:eastAsia="Times New Roman" w:hAnsi="Calibri" w:cs="Calibri"/>
                <w:color w:val="0D0D0D"/>
              </w:rPr>
              <w:t>-</w:t>
            </w:r>
          </w:p>
        </w:tc>
      </w:tr>
      <w:tr w:rsidR="00051D7E" w:rsidRPr="001B7651" w14:paraId="3E61AD49" w14:textId="77777777" w:rsidTr="007531FB">
        <w:trPr>
          <w:trHeight w:val="301"/>
          <w:jc w:val="center"/>
        </w:trPr>
        <w:tc>
          <w:tcPr>
            <w:tcW w:w="4013" w:type="dxa"/>
            <w:tcBorders>
              <w:top w:val="nil"/>
              <w:left w:val="nil"/>
              <w:bottom w:val="nil"/>
              <w:right w:val="nil"/>
            </w:tcBorders>
            <w:shd w:val="clear" w:color="000000" w:fill="FFFFFF"/>
            <w:noWrap/>
            <w:vAlign w:val="bottom"/>
            <w:hideMark/>
          </w:tcPr>
          <w:p w14:paraId="28B5DE8A"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Covered payroll</w:t>
            </w:r>
          </w:p>
        </w:tc>
        <w:tc>
          <w:tcPr>
            <w:tcW w:w="1027" w:type="dxa"/>
            <w:tcBorders>
              <w:top w:val="nil"/>
              <w:left w:val="nil"/>
              <w:bottom w:val="nil"/>
              <w:right w:val="nil"/>
            </w:tcBorders>
            <w:shd w:val="clear" w:color="auto" w:fill="F2F2F2" w:themeFill="background1" w:themeFillShade="F2"/>
            <w:vAlign w:val="bottom"/>
          </w:tcPr>
          <w:p w14:paraId="64271DEF"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65</w:t>
            </w:r>
          </w:p>
        </w:tc>
        <w:tc>
          <w:tcPr>
            <w:tcW w:w="1080" w:type="dxa"/>
            <w:tcBorders>
              <w:top w:val="nil"/>
              <w:left w:val="nil"/>
              <w:bottom w:val="nil"/>
              <w:right w:val="nil"/>
            </w:tcBorders>
            <w:shd w:val="clear" w:color="000000" w:fill="FFFFFF"/>
            <w:noWrap/>
            <w:vAlign w:val="bottom"/>
            <w:hideMark/>
          </w:tcPr>
          <w:p w14:paraId="4BB456CE"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68</w:t>
            </w:r>
          </w:p>
        </w:tc>
        <w:tc>
          <w:tcPr>
            <w:tcW w:w="990" w:type="dxa"/>
            <w:tcBorders>
              <w:top w:val="nil"/>
              <w:left w:val="nil"/>
              <w:bottom w:val="nil"/>
              <w:right w:val="nil"/>
            </w:tcBorders>
            <w:shd w:val="clear" w:color="auto" w:fill="F2F2F2" w:themeFill="background1" w:themeFillShade="F2"/>
            <w:noWrap/>
            <w:vAlign w:val="bottom"/>
            <w:hideMark/>
          </w:tcPr>
          <w:p w14:paraId="6072F5C6"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156</w:t>
            </w:r>
          </w:p>
        </w:tc>
        <w:tc>
          <w:tcPr>
            <w:tcW w:w="990" w:type="dxa"/>
            <w:tcBorders>
              <w:top w:val="nil"/>
              <w:left w:val="nil"/>
              <w:bottom w:val="nil"/>
              <w:right w:val="nil"/>
            </w:tcBorders>
            <w:shd w:val="clear" w:color="000000" w:fill="FFFFFF"/>
            <w:noWrap/>
            <w:vAlign w:val="bottom"/>
            <w:hideMark/>
          </w:tcPr>
          <w:p w14:paraId="354B9E13"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105</w:t>
            </w:r>
          </w:p>
        </w:tc>
        <w:tc>
          <w:tcPr>
            <w:tcW w:w="990" w:type="dxa"/>
            <w:tcBorders>
              <w:top w:val="nil"/>
              <w:left w:val="nil"/>
              <w:bottom w:val="nil"/>
              <w:right w:val="nil"/>
            </w:tcBorders>
            <w:shd w:val="clear" w:color="auto" w:fill="F2F2F2" w:themeFill="background1" w:themeFillShade="F2"/>
            <w:noWrap/>
            <w:vAlign w:val="bottom"/>
            <w:hideMark/>
          </w:tcPr>
          <w:p w14:paraId="30FBFD05"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168 </w:t>
            </w:r>
          </w:p>
        </w:tc>
        <w:tc>
          <w:tcPr>
            <w:tcW w:w="990" w:type="dxa"/>
            <w:tcBorders>
              <w:top w:val="nil"/>
              <w:left w:val="nil"/>
              <w:bottom w:val="nil"/>
              <w:right w:val="nil"/>
            </w:tcBorders>
            <w:shd w:val="clear" w:color="000000" w:fill="FFFFFF"/>
            <w:noWrap/>
            <w:vAlign w:val="bottom"/>
            <w:hideMark/>
          </w:tcPr>
          <w:p w14:paraId="4E26728C"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312</w:t>
            </w:r>
          </w:p>
        </w:tc>
        <w:tc>
          <w:tcPr>
            <w:tcW w:w="990" w:type="dxa"/>
            <w:tcBorders>
              <w:top w:val="nil"/>
              <w:left w:val="nil"/>
              <w:bottom w:val="nil"/>
              <w:right w:val="nil"/>
            </w:tcBorders>
            <w:shd w:val="clear" w:color="auto" w:fill="F2F2F2" w:themeFill="background1" w:themeFillShade="F2"/>
            <w:noWrap/>
            <w:vAlign w:val="bottom"/>
            <w:hideMark/>
          </w:tcPr>
          <w:p w14:paraId="34053482"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301</w:t>
            </w:r>
          </w:p>
        </w:tc>
        <w:tc>
          <w:tcPr>
            <w:tcW w:w="900" w:type="dxa"/>
            <w:tcBorders>
              <w:top w:val="nil"/>
              <w:left w:val="nil"/>
              <w:bottom w:val="nil"/>
              <w:right w:val="nil"/>
            </w:tcBorders>
            <w:shd w:val="clear" w:color="auto" w:fill="auto"/>
            <w:vAlign w:val="bottom"/>
          </w:tcPr>
          <w:p w14:paraId="46BC3C4A" w14:textId="77777777" w:rsidR="00051D7E" w:rsidRPr="001B7651" w:rsidRDefault="00051D7E" w:rsidP="007531FB">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692</w:t>
            </w:r>
          </w:p>
        </w:tc>
      </w:tr>
      <w:tr w:rsidR="00051D7E" w:rsidRPr="001B7651" w14:paraId="42C9F15B" w14:textId="77777777" w:rsidTr="007531FB">
        <w:trPr>
          <w:trHeight w:val="289"/>
          <w:jc w:val="center"/>
        </w:trPr>
        <w:tc>
          <w:tcPr>
            <w:tcW w:w="4013" w:type="dxa"/>
            <w:tcBorders>
              <w:top w:val="nil"/>
              <w:left w:val="nil"/>
              <w:bottom w:val="single" w:sz="4" w:space="0" w:color="00688D"/>
              <w:right w:val="nil"/>
            </w:tcBorders>
            <w:shd w:val="clear" w:color="000000" w:fill="FFFFFF"/>
            <w:vAlign w:val="center"/>
            <w:hideMark/>
          </w:tcPr>
          <w:p w14:paraId="4441B185" w14:textId="77777777" w:rsidR="00051D7E" w:rsidRPr="001B7651" w:rsidRDefault="00051D7E" w:rsidP="007531FB">
            <w:pPr>
              <w:rPr>
                <w:rFonts w:ascii="Calibri" w:eastAsia="Times New Roman" w:hAnsi="Calibri" w:cs="Calibri"/>
                <w:color w:val="0D0D0D"/>
              </w:rPr>
            </w:pPr>
            <w:r w:rsidRPr="001B7651">
              <w:rPr>
                <w:rFonts w:ascii="Calibri" w:eastAsia="Times New Roman" w:hAnsi="Calibri" w:cs="Calibri"/>
                <w:color w:val="0D0D0D"/>
              </w:rPr>
              <w:t>Contributions as a percentage of covered payroll</w:t>
            </w:r>
          </w:p>
        </w:tc>
        <w:tc>
          <w:tcPr>
            <w:tcW w:w="1027" w:type="dxa"/>
            <w:tcBorders>
              <w:top w:val="nil"/>
              <w:left w:val="nil"/>
              <w:bottom w:val="single" w:sz="4" w:space="0" w:color="00688D"/>
              <w:right w:val="nil"/>
            </w:tcBorders>
            <w:shd w:val="clear" w:color="auto" w:fill="F2F2F2" w:themeFill="background1" w:themeFillShade="F2"/>
            <w:vAlign w:val="bottom"/>
          </w:tcPr>
          <w:p w14:paraId="274419A7" w14:textId="77777777" w:rsidR="00051D7E" w:rsidRPr="001B7651" w:rsidRDefault="00051D7E" w:rsidP="007531FB">
            <w:pPr>
              <w:jc w:val="right"/>
              <w:rPr>
                <w:rFonts w:ascii="Calibri" w:eastAsia="Times New Roman" w:hAnsi="Calibri" w:cs="Calibri"/>
                <w:color w:val="0D0D0D"/>
              </w:rPr>
            </w:pPr>
            <w:r>
              <w:rPr>
                <w:rFonts w:ascii="Calibri" w:hAnsi="Calibri" w:cs="Calibri"/>
              </w:rPr>
              <w:t>1396.00%</w:t>
            </w:r>
          </w:p>
        </w:tc>
        <w:tc>
          <w:tcPr>
            <w:tcW w:w="1080" w:type="dxa"/>
            <w:tcBorders>
              <w:top w:val="nil"/>
              <w:left w:val="nil"/>
              <w:bottom w:val="single" w:sz="4" w:space="0" w:color="00688D"/>
              <w:right w:val="nil"/>
            </w:tcBorders>
            <w:shd w:val="clear" w:color="000000" w:fill="FFFFFF"/>
            <w:noWrap/>
            <w:vAlign w:val="bottom"/>
            <w:hideMark/>
          </w:tcPr>
          <w:p w14:paraId="7A98E971" w14:textId="77777777" w:rsidR="00051D7E" w:rsidRPr="001B7651" w:rsidRDefault="00051D7E" w:rsidP="007531FB">
            <w:pPr>
              <w:jc w:val="right"/>
              <w:rPr>
                <w:rFonts w:ascii="Calibri" w:eastAsia="Times New Roman" w:hAnsi="Calibri" w:cs="Calibri"/>
                <w:color w:val="0D0D0D"/>
              </w:rPr>
            </w:pPr>
            <w:r>
              <w:rPr>
                <w:rFonts w:ascii="Calibri" w:hAnsi="Calibri" w:cs="Calibri"/>
                <w:color w:val="0D0D0D"/>
              </w:rPr>
              <w:t>1322.06%</w:t>
            </w:r>
          </w:p>
        </w:tc>
        <w:tc>
          <w:tcPr>
            <w:tcW w:w="990" w:type="dxa"/>
            <w:tcBorders>
              <w:top w:val="nil"/>
              <w:left w:val="nil"/>
              <w:bottom w:val="single" w:sz="4" w:space="0" w:color="00688D"/>
              <w:right w:val="nil"/>
            </w:tcBorders>
            <w:shd w:val="clear" w:color="auto" w:fill="F2F2F2" w:themeFill="background1" w:themeFillShade="F2"/>
            <w:noWrap/>
            <w:vAlign w:val="bottom"/>
            <w:hideMark/>
          </w:tcPr>
          <w:p w14:paraId="574082B8" w14:textId="77777777" w:rsidR="00051D7E" w:rsidRPr="001B7651" w:rsidRDefault="00051D7E" w:rsidP="007531FB">
            <w:pPr>
              <w:jc w:val="right"/>
              <w:rPr>
                <w:rFonts w:ascii="Calibri" w:eastAsia="Times New Roman" w:hAnsi="Calibri" w:cs="Calibri"/>
                <w:color w:val="0D0D0D"/>
              </w:rPr>
            </w:pPr>
            <w:r>
              <w:rPr>
                <w:rFonts w:ascii="Calibri" w:hAnsi="Calibri" w:cs="Calibri"/>
                <w:color w:val="0D0D0D"/>
              </w:rPr>
              <w:t>458.23%</w:t>
            </w:r>
          </w:p>
        </w:tc>
        <w:tc>
          <w:tcPr>
            <w:tcW w:w="990" w:type="dxa"/>
            <w:tcBorders>
              <w:top w:val="nil"/>
              <w:left w:val="nil"/>
              <w:bottom w:val="single" w:sz="4" w:space="0" w:color="00688D"/>
              <w:right w:val="nil"/>
            </w:tcBorders>
            <w:shd w:val="clear" w:color="000000" w:fill="FFFFFF"/>
            <w:noWrap/>
            <w:vAlign w:val="bottom"/>
            <w:hideMark/>
          </w:tcPr>
          <w:p w14:paraId="60E3B19F" w14:textId="77777777" w:rsidR="00051D7E" w:rsidRPr="001B7651" w:rsidRDefault="00051D7E" w:rsidP="007531FB">
            <w:pPr>
              <w:jc w:val="right"/>
              <w:rPr>
                <w:rFonts w:ascii="Calibri" w:eastAsia="Times New Roman" w:hAnsi="Calibri" w:cs="Calibri"/>
                <w:color w:val="0D0D0D"/>
              </w:rPr>
            </w:pPr>
            <w:r>
              <w:rPr>
                <w:rFonts w:ascii="Calibri" w:hAnsi="Calibri" w:cs="Calibri"/>
                <w:color w:val="0D0D0D"/>
              </w:rPr>
              <w:t>664.54%</w:t>
            </w:r>
          </w:p>
        </w:tc>
        <w:tc>
          <w:tcPr>
            <w:tcW w:w="990" w:type="dxa"/>
            <w:tcBorders>
              <w:top w:val="nil"/>
              <w:left w:val="nil"/>
              <w:bottom w:val="single" w:sz="4" w:space="0" w:color="00688D"/>
              <w:right w:val="nil"/>
            </w:tcBorders>
            <w:shd w:val="clear" w:color="auto" w:fill="F2F2F2" w:themeFill="background1" w:themeFillShade="F2"/>
            <w:noWrap/>
            <w:vAlign w:val="bottom"/>
            <w:hideMark/>
          </w:tcPr>
          <w:p w14:paraId="1A22065E" w14:textId="77777777" w:rsidR="00051D7E" w:rsidRPr="001B7651" w:rsidRDefault="00051D7E" w:rsidP="007531FB">
            <w:pPr>
              <w:jc w:val="right"/>
              <w:rPr>
                <w:rFonts w:ascii="Calibri" w:eastAsia="Times New Roman" w:hAnsi="Calibri" w:cs="Calibri"/>
                <w:color w:val="0D0D0D"/>
              </w:rPr>
            </w:pPr>
            <w:r>
              <w:rPr>
                <w:rFonts w:ascii="Calibri" w:hAnsi="Calibri" w:cs="Calibri"/>
                <w:color w:val="0D0D0D"/>
              </w:rPr>
              <w:t>437.48%</w:t>
            </w:r>
          </w:p>
        </w:tc>
        <w:tc>
          <w:tcPr>
            <w:tcW w:w="990" w:type="dxa"/>
            <w:tcBorders>
              <w:top w:val="nil"/>
              <w:left w:val="nil"/>
              <w:bottom w:val="single" w:sz="4" w:space="0" w:color="00688D"/>
              <w:right w:val="nil"/>
            </w:tcBorders>
            <w:shd w:val="clear" w:color="000000" w:fill="FFFFFF"/>
            <w:noWrap/>
            <w:vAlign w:val="bottom"/>
            <w:hideMark/>
          </w:tcPr>
          <w:p w14:paraId="265B0351" w14:textId="77777777" w:rsidR="00051D7E" w:rsidRPr="001B7651" w:rsidRDefault="00051D7E" w:rsidP="007531FB">
            <w:pPr>
              <w:jc w:val="right"/>
              <w:rPr>
                <w:rFonts w:ascii="Calibri" w:eastAsia="Times New Roman" w:hAnsi="Calibri" w:cs="Calibri"/>
                <w:color w:val="0D0D0D"/>
              </w:rPr>
            </w:pPr>
            <w:r>
              <w:rPr>
                <w:rFonts w:ascii="Calibri" w:hAnsi="Calibri" w:cs="Calibri"/>
                <w:color w:val="0D0D0D"/>
              </w:rPr>
              <w:t>172.49%</w:t>
            </w:r>
          </w:p>
        </w:tc>
        <w:tc>
          <w:tcPr>
            <w:tcW w:w="990" w:type="dxa"/>
            <w:tcBorders>
              <w:top w:val="nil"/>
              <w:left w:val="nil"/>
              <w:bottom w:val="single" w:sz="4" w:space="0" w:color="00688D"/>
              <w:right w:val="nil"/>
            </w:tcBorders>
            <w:shd w:val="clear" w:color="auto" w:fill="F2F2F2" w:themeFill="background1" w:themeFillShade="F2"/>
            <w:noWrap/>
            <w:vAlign w:val="bottom"/>
            <w:hideMark/>
          </w:tcPr>
          <w:p w14:paraId="0C9AF2A0" w14:textId="77777777" w:rsidR="00051D7E" w:rsidRPr="001B7651" w:rsidRDefault="00051D7E" w:rsidP="007531FB">
            <w:pPr>
              <w:jc w:val="right"/>
              <w:rPr>
                <w:rFonts w:ascii="Calibri" w:eastAsia="Times New Roman" w:hAnsi="Calibri" w:cs="Calibri"/>
                <w:color w:val="0D0D0D"/>
              </w:rPr>
            </w:pPr>
            <w:r>
              <w:rPr>
                <w:rFonts w:ascii="Calibri" w:hAnsi="Calibri" w:cs="Calibri"/>
                <w:color w:val="0D0D0D"/>
              </w:rPr>
              <w:t>364.84%</w:t>
            </w:r>
          </w:p>
        </w:tc>
        <w:tc>
          <w:tcPr>
            <w:tcW w:w="900" w:type="dxa"/>
            <w:tcBorders>
              <w:top w:val="nil"/>
              <w:left w:val="nil"/>
              <w:bottom w:val="single" w:sz="4" w:space="0" w:color="00688D"/>
              <w:right w:val="nil"/>
            </w:tcBorders>
            <w:shd w:val="clear" w:color="auto" w:fill="auto"/>
            <w:vAlign w:val="bottom"/>
          </w:tcPr>
          <w:p w14:paraId="2F5AA072" w14:textId="77777777" w:rsidR="00051D7E" w:rsidRPr="001B7651" w:rsidRDefault="00051D7E" w:rsidP="007531FB">
            <w:pPr>
              <w:jc w:val="right"/>
              <w:rPr>
                <w:rFonts w:ascii="Calibri" w:eastAsia="Times New Roman" w:hAnsi="Calibri" w:cs="Calibri"/>
                <w:color w:val="0D0D0D"/>
              </w:rPr>
            </w:pPr>
            <w:r>
              <w:rPr>
                <w:rFonts w:ascii="Calibri" w:hAnsi="Calibri" w:cs="Calibri"/>
                <w:color w:val="0D0D0D"/>
              </w:rPr>
              <w:t>79.47%</w:t>
            </w:r>
          </w:p>
        </w:tc>
      </w:tr>
    </w:tbl>
    <w:p w14:paraId="583D15E3" w14:textId="77777777" w:rsidR="00051D7E" w:rsidRPr="00F54559" w:rsidRDefault="00051D7E" w:rsidP="00051D7E">
      <w:pPr>
        <w:widowControl w:val="0"/>
        <w:spacing w:after="240"/>
        <w:rPr>
          <w:rFonts w:eastAsia="Franklin Gothic Book" w:cstheme="minorHAnsi"/>
          <w:b/>
          <w:spacing w:val="1"/>
          <w:sz w:val="28"/>
          <w:szCs w:val="28"/>
        </w:rPr>
      </w:pPr>
    </w:p>
    <w:p w14:paraId="3A7D7989" w14:textId="77777777" w:rsidR="00051D7E" w:rsidRPr="0028129F" w:rsidRDefault="00051D7E" w:rsidP="00051D7E">
      <w:pPr>
        <w:pStyle w:val="AFR4"/>
        <w:spacing w:after="240"/>
        <w:rPr>
          <w:rFonts w:eastAsiaTheme="majorEastAsia" w:cstheme="minorHAnsi"/>
          <w:b w:val="0"/>
          <w:iCs/>
          <w:smallCaps/>
          <w:noProof/>
          <w:color w:val="000000" w:themeColor="text1"/>
          <w:sz w:val="26"/>
          <w:szCs w:val="26"/>
          <w:u w:val="none" w:color="5B9BD5"/>
        </w:rPr>
        <w:sectPr w:rsidR="00051D7E" w:rsidRPr="0028129F" w:rsidSect="007531FB">
          <w:pgSz w:w="15840" w:h="12240" w:orient="landscape" w:code="1"/>
          <w:pgMar w:top="1440" w:right="1440" w:bottom="1440" w:left="1440" w:header="720" w:footer="720" w:gutter="0"/>
          <w:cols w:space="0"/>
          <w:titlePg/>
          <w:docGrid w:linePitch="360"/>
        </w:sectPr>
      </w:pPr>
    </w:p>
    <w:p w14:paraId="7AAC4EF6" w14:textId="77777777" w:rsidR="00051D7E" w:rsidRDefault="00051D7E" w:rsidP="00051D7E">
      <w:pPr>
        <w:pStyle w:val="AFR4"/>
        <w:spacing w:after="240"/>
        <w:rPr>
          <w:rFonts w:eastAsiaTheme="majorEastAsia" w:cstheme="minorHAnsi"/>
          <w:iCs/>
          <w:smallCaps/>
          <w:noProof/>
          <w:color w:val="000000" w:themeColor="text1"/>
          <w:sz w:val="26"/>
          <w:szCs w:val="26"/>
          <w:u w:val="none" w:color="5B9BD5"/>
        </w:rPr>
      </w:pPr>
      <w:r w:rsidRPr="00A74468">
        <w:rPr>
          <w:rFonts w:eastAsiaTheme="majorEastAsia" w:cstheme="minorHAnsi"/>
          <w:i/>
          <w:iCs/>
          <w:smallCaps/>
          <w:noProof/>
          <w:color w:val="000000" w:themeColor="text1"/>
          <w:sz w:val="26"/>
          <w:szCs w:val="26"/>
          <w:u w:val="none" w:color="5B9BD5"/>
        </w:rPr>
        <w:lastRenderedPageBreak/>
        <w:t>Defined Benefit Pension Plan – continued:</w:t>
      </w:r>
    </w:p>
    <w:p w14:paraId="3F5E3D89" w14:textId="77777777" w:rsidR="00051D7E" w:rsidRPr="00F54559" w:rsidRDefault="00051D7E" w:rsidP="00051D7E">
      <w:pPr>
        <w:pStyle w:val="Heading3"/>
        <w:rPr>
          <w:rFonts w:asciiTheme="minorHAnsi" w:hAnsiTheme="minorHAnsi" w:cstheme="minorHAnsi"/>
        </w:rPr>
      </w:pPr>
      <w:r w:rsidRPr="00F54559">
        <w:rPr>
          <w:rFonts w:asciiTheme="minorHAnsi" w:hAnsiTheme="minorHAnsi" w:cstheme="minorHAnsi"/>
        </w:rPr>
        <w:t>Notes</w:t>
      </w:r>
      <w:r w:rsidRPr="00F54559">
        <w:rPr>
          <w:rFonts w:asciiTheme="minorHAnsi" w:hAnsiTheme="minorHAnsi" w:cstheme="minorHAnsi"/>
          <w:spacing w:val="-1"/>
        </w:rPr>
        <w:t xml:space="preserve"> </w:t>
      </w:r>
      <w:r w:rsidRPr="00F54559">
        <w:rPr>
          <w:rFonts w:asciiTheme="minorHAnsi" w:hAnsiTheme="minorHAnsi" w:cstheme="minorHAnsi"/>
        </w:rPr>
        <w:t>to</w:t>
      </w:r>
      <w:r w:rsidRPr="00F54559">
        <w:rPr>
          <w:rFonts w:asciiTheme="minorHAnsi" w:hAnsiTheme="minorHAnsi" w:cstheme="minorHAnsi"/>
          <w:spacing w:val="-2"/>
        </w:rPr>
        <w:t xml:space="preserve"> </w:t>
      </w:r>
      <w:r w:rsidRPr="00F54559">
        <w:rPr>
          <w:rFonts w:asciiTheme="minorHAnsi" w:hAnsiTheme="minorHAnsi" w:cstheme="minorHAnsi"/>
          <w:spacing w:val="2"/>
        </w:rPr>
        <w:t>R</w:t>
      </w:r>
      <w:r w:rsidRPr="00F54559">
        <w:rPr>
          <w:rFonts w:asciiTheme="minorHAnsi" w:hAnsiTheme="minorHAnsi" w:cstheme="minorHAnsi"/>
        </w:rPr>
        <w:t>eq</w:t>
      </w:r>
      <w:r w:rsidRPr="00F54559">
        <w:rPr>
          <w:rFonts w:asciiTheme="minorHAnsi" w:hAnsiTheme="minorHAnsi" w:cstheme="minorHAnsi"/>
          <w:spacing w:val="2"/>
        </w:rPr>
        <w:t>ui</w:t>
      </w:r>
      <w:r w:rsidRPr="00F54559">
        <w:rPr>
          <w:rFonts w:asciiTheme="minorHAnsi" w:hAnsiTheme="minorHAnsi" w:cstheme="minorHAnsi"/>
        </w:rPr>
        <w:t>red</w:t>
      </w:r>
      <w:r w:rsidRPr="00F54559">
        <w:rPr>
          <w:rFonts w:asciiTheme="minorHAnsi" w:hAnsiTheme="minorHAnsi" w:cstheme="minorHAnsi"/>
          <w:spacing w:val="-2"/>
        </w:rPr>
        <w:t xml:space="preserve"> </w:t>
      </w:r>
      <w:r w:rsidRPr="00F54559">
        <w:rPr>
          <w:rFonts w:asciiTheme="minorHAnsi" w:hAnsiTheme="minorHAnsi" w:cstheme="minorHAnsi"/>
        </w:rPr>
        <w:t>S</w:t>
      </w:r>
      <w:r w:rsidRPr="00F54559">
        <w:rPr>
          <w:rFonts w:asciiTheme="minorHAnsi" w:hAnsiTheme="minorHAnsi" w:cstheme="minorHAnsi"/>
          <w:spacing w:val="2"/>
        </w:rPr>
        <w:t>u</w:t>
      </w:r>
      <w:r w:rsidRPr="00F54559">
        <w:rPr>
          <w:rFonts w:asciiTheme="minorHAnsi" w:hAnsiTheme="minorHAnsi" w:cstheme="minorHAnsi"/>
        </w:rPr>
        <w:t>pp</w:t>
      </w:r>
      <w:r w:rsidRPr="00F54559">
        <w:rPr>
          <w:rFonts w:asciiTheme="minorHAnsi" w:hAnsiTheme="minorHAnsi" w:cstheme="minorHAnsi"/>
          <w:spacing w:val="2"/>
        </w:rPr>
        <w:t>l</w:t>
      </w:r>
      <w:r w:rsidRPr="00F54559">
        <w:rPr>
          <w:rFonts w:asciiTheme="minorHAnsi" w:hAnsiTheme="minorHAnsi" w:cstheme="minorHAnsi"/>
        </w:rPr>
        <w:t>eme</w:t>
      </w:r>
      <w:r w:rsidRPr="00F54559">
        <w:rPr>
          <w:rFonts w:asciiTheme="minorHAnsi" w:hAnsiTheme="minorHAnsi" w:cstheme="minorHAnsi"/>
          <w:spacing w:val="2"/>
        </w:rPr>
        <w:t>n</w:t>
      </w:r>
      <w:r w:rsidRPr="00F54559">
        <w:rPr>
          <w:rFonts w:asciiTheme="minorHAnsi" w:hAnsiTheme="minorHAnsi" w:cstheme="minorHAnsi"/>
        </w:rPr>
        <w:t>t</w:t>
      </w:r>
      <w:r w:rsidRPr="00F54559">
        <w:rPr>
          <w:rFonts w:asciiTheme="minorHAnsi" w:hAnsiTheme="minorHAnsi" w:cstheme="minorHAnsi"/>
          <w:spacing w:val="2"/>
        </w:rPr>
        <w:t>a</w:t>
      </w:r>
      <w:r w:rsidRPr="00F54559">
        <w:rPr>
          <w:rFonts w:asciiTheme="minorHAnsi" w:hAnsiTheme="minorHAnsi" w:cstheme="minorHAnsi"/>
        </w:rPr>
        <w:t xml:space="preserve">ry </w:t>
      </w:r>
      <w:r w:rsidRPr="00F54559">
        <w:rPr>
          <w:rFonts w:asciiTheme="minorHAnsi" w:hAnsiTheme="minorHAnsi" w:cstheme="minorHAnsi"/>
          <w:spacing w:val="2"/>
        </w:rPr>
        <w:t>Inf</w:t>
      </w:r>
      <w:r w:rsidRPr="00F54559">
        <w:rPr>
          <w:rFonts w:asciiTheme="minorHAnsi" w:hAnsiTheme="minorHAnsi" w:cstheme="minorHAnsi"/>
        </w:rPr>
        <w:t>orm</w:t>
      </w:r>
      <w:r w:rsidRPr="00F54559">
        <w:rPr>
          <w:rFonts w:asciiTheme="minorHAnsi" w:hAnsiTheme="minorHAnsi" w:cstheme="minorHAnsi"/>
          <w:spacing w:val="2"/>
        </w:rPr>
        <w:t>a</w:t>
      </w:r>
      <w:r w:rsidRPr="00F54559">
        <w:rPr>
          <w:rFonts w:asciiTheme="minorHAnsi" w:hAnsiTheme="minorHAnsi" w:cstheme="minorHAnsi"/>
        </w:rPr>
        <w:t>t</w:t>
      </w:r>
      <w:r w:rsidRPr="00F54559">
        <w:rPr>
          <w:rFonts w:asciiTheme="minorHAnsi" w:hAnsiTheme="minorHAnsi" w:cstheme="minorHAnsi"/>
          <w:spacing w:val="2"/>
        </w:rPr>
        <w:t>i</w:t>
      </w:r>
      <w:r w:rsidRPr="00F54559">
        <w:rPr>
          <w:rFonts w:asciiTheme="minorHAnsi" w:hAnsiTheme="minorHAnsi" w:cstheme="minorHAnsi"/>
        </w:rPr>
        <w:t>on:</w:t>
      </w:r>
    </w:p>
    <w:p w14:paraId="4160D7F7" w14:textId="66876B76" w:rsidR="00051D7E" w:rsidRPr="00F54559" w:rsidRDefault="00051D7E" w:rsidP="00051D7E">
      <w:pPr>
        <w:rPr>
          <w:rFonts w:cstheme="minorHAnsi"/>
          <w:sz w:val="24"/>
          <w:szCs w:val="24"/>
        </w:rPr>
      </w:pPr>
      <w:r w:rsidRPr="00F54559">
        <w:rPr>
          <w:rFonts w:cstheme="minorHAnsi"/>
          <w:i/>
          <w:sz w:val="24"/>
          <w:szCs w:val="24"/>
        </w:rPr>
        <w:t>Changes of benefit terms:</w:t>
      </w:r>
      <w:r>
        <w:rPr>
          <w:rFonts w:cstheme="minorHAnsi"/>
          <w:sz w:val="24"/>
          <w:szCs w:val="24"/>
        </w:rPr>
        <w:t xml:space="preserve"> </w:t>
      </w:r>
      <w:r w:rsidRPr="00F54559">
        <w:rPr>
          <w:rFonts w:cstheme="minorHAnsi"/>
          <w:sz w:val="24"/>
          <w:szCs w:val="24"/>
        </w:rPr>
        <w:t>None.</w:t>
      </w:r>
    </w:p>
    <w:p w14:paraId="3B49F86C" w14:textId="77777777" w:rsidR="00051D7E" w:rsidRPr="00F54559" w:rsidRDefault="00051D7E" w:rsidP="00051D7E">
      <w:pPr>
        <w:rPr>
          <w:rFonts w:cstheme="minorHAnsi"/>
          <w:sz w:val="16"/>
          <w:szCs w:val="16"/>
        </w:rPr>
      </w:pPr>
    </w:p>
    <w:p w14:paraId="7A8F106D" w14:textId="1AD613BB" w:rsidR="005703B0" w:rsidRDefault="00051D7E" w:rsidP="00051D7E">
      <w:pPr>
        <w:rPr>
          <w:rFonts w:cstheme="minorHAnsi"/>
          <w:i/>
          <w:sz w:val="24"/>
          <w:szCs w:val="24"/>
        </w:rPr>
      </w:pPr>
      <w:r w:rsidRPr="00F54559">
        <w:rPr>
          <w:rFonts w:cstheme="minorHAnsi"/>
          <w:i/>
          <w:sz w:val="24"/>
          <w:szCs w:val="24"/>
        </w:rPr>
        <w:t>Changes of assumptions</w:t>
      </w:r>
      <w:r>
        <w:rPr>
          <w:rFonts w:cstheme="minorHAnsi"/>
          <w:i/>
          <w:sz w:val="24"/>
          <w:szCs w:val="24"/>
        </w:rPr>
        <w:t xml:space="preserve"> and other inputs</w:t>
      </w:r>
      <w:r w:rsidRPr="00F54559">
        <w:rPr>
          <w:rFonts w:cstheme="minorHAnsi"/>
          <w:i/>
          <w:sz w:val="24"/>
          <w:szCs w:val="24"/>
        </w:rPr>
        <w:t>:</w:t>
      </w:r>
    </w:p>
    <w:p w14:paraId="21BFBBE9" w14:textId="77777777" w:rsidR="00E96223" w:rsidRPr="00E96223" w:rsidRDefault="00E96223" w:rsidP="00051D7E">
      <w:pPr>
        <w:rPr>
          <w:rFonts w:cstheme="minorHAnsi"/>
          <w:i/>
          <w:sz w:val="12"/>
          <w:szCs w:val="12"/>
        </w:rPr>
      </w:pPr>
    </w:p>
    <w:p w14:paraId="7A8E860B" w14:textId="77777777" w:rsidR="00051D7E" w:rsidRPr="002749F4" w:rsidRDefault="00051D7E" w:rsidP="00051D7E">
      <w:pPr>
        <w:ind w:left="720" w:hanging="720"/>
        <w:rPr>
          <w:rFonts w:cstheme="minorHAnsi"/>
          <w:sz w:val="24"/>
          <w:szCs w:val="24"/>
        </w:rPr>
      </w:pPr>
      <w:r w:rsidRPr="002749F4">
        <w:rPr>
          <w:rFonts w:cstheme="minorHAnsi"/>
          <w:sz w:val="24"/>
          <w:szCs w:val="24"/>
        </w:rPr>
        <w:t>2021:</w:t>
      </w:r>
      <w:r w:rsidRPr="002749F4">
        <w:rPr>
          <w:rFonts w:cstheme="minorHAnsi"/>
          <w:sz w:val="24"/>
          <w:szCs w:val="24"/>
        </w:rPr>
        <w:tab/>
      </w:r>
      <w:r w:rsidRPr="002749F4">
        <w:rPr>
          <w:rFonts w:eastAsia="Franklin Gothic Book" w:cstheme="minorHAnsi"/>
          <w:spacing w:val="-1"/>
          <w:sz w:val="24"/>
          <w:szCs w:val="24"/>
        </w:rPr>
        <w:t>Th</w:t>
      </w:r>
      <w:r w:rsidRPr="002749F4">
        <w:rPr>
          <w:rFonts w:cstheme="minorHAnsi"/>
          <w:sz w:val="24"/>
          <w:szCs w:val="24"/>
        </w:rPr>
        <w:t>e mortality tables were updated to the Pub-2010 amount-weighted mortality tables with scale MP-2020</w:t>
      </w:r>
    </w:p>
    <w:p w14:paraId="48B94D4E" w14:textId="77777777" w:rsidR="00051D7E" w:rsidRPr="002749F4" w:rsidRDefault="00051D7E" w:rsidP="00051D7E">
      <w:pPr>
        <w:ind w:left="720" w:hanging="720"/>
        <w:rPr>
          <w:rFonts w:cstheme="minorHAnsi"/>
          <w:sz w:val="24"/>
          <w:szCs w:val="24"/>
        </w:rPr>
      </w:pPr>
      <w:r w:rsidRPr="002749F4">
        <w:rPr>
          <w:rFonts w:cstheme="minorHAnsi"/>
          <w:sz w:val="24"/>
          <w:szCs w:val="24"/>
        </w:rPr>
        <w:t>2020:</w:t>
      </w:r>
      <w:r w:rsidRPr="002749F4">
        <w:rPr>
          <w:rFonts w:cstheme="minorHAnsi"/>
          <w:sz w:val="24"/>
          <w:szCs w:val="24"/>
        </w:rPr>
        <w:tab/>
        <w:t>None</w:t>
      </w:r>
    </w:p>
    <w:p w14:paraId="07D7862D" w14:textId="77777777" w:rsidR="00051D7E" w:rsidRPr="002749F4" w:rsidRDefault="00051D7E" w:rsidP="00051D7E">
      <w:pPr>
        <w:ind w:left="720" w:hanging="720"/>
        <w:rPr>
          <w:rFonts w:cstheme="minorHAnsi"/>
          <w:sz w:val="24"/>
          <w:szCs w:val="24"/>
        </w:rPr>
      </w:pPr>
      <w:r w:rsidRPr="002749F4">
        <w:rPr>
          <w:rFonts w:cstheme="minorHAnsi"/>
          <w:sz w:val="24"/>
          <w:szCs w:val="24"/>
        </w:rPr>
        <w:t>2019:</w:t>
      </w:r>
      <w:r w:rsidRPr="002749F4">
        <w:rPr>
          <w:rFonts w:cstheme="minorHAnsi"/>
          <w:sz w:val="24"/>
          <w:szCs w:val="24"/>
        </w:rPr>
        <w:tab/>
        <w:t>The mortality tables were updated to reflect more recent mortality tables and generational mortality improvement.</w:t>
      </w:r>
    </w:p>
    <w:p w14:paraId="724321D8" w14:textId="77777777" w:rsidR="00051D7E" w:rsidRPr="002749F4" w:rsidRDefault="00051D7E" w:rsidP="00051D7E">
      <w:pPr>
        <w:rPr>
          <w:rFonts w:cstheme="minorHAnsi"/>
          <w:sz w:val="24"/>
          <w:szCs w:val="24"/>
        </w:rPr>
      </w:pPr>
      <w:r w:rsidRPr="002749F4">
        <w:rPr>
          <w:rFonts w:cstheme="minorHAnsi"/>
          <w:sz w:val="24"/>
          <w:szCs w:val="24"/>
        </w:rPr>
        <w:t xml:space="preserve">2018: </w:t>
      </w:r>
      <w:r w:rsidRPr="002749F4">
        <w:rPr>
          <w:rFonts w:cstheme="minorHAnsi"/>
          <w:sz w:val="24"/>
          <w:szCs w:val="24"/>
        </w:rPr>
        <w:tab/>
        <w:t>None</w:t>
      </w:r>
    </w:p>
    <w:p w14:paraId="14764FD6" w14:textId="77777777" w:rsidR="00051D7E" w:rsidRPr="002749F4" w:rsidRDefault="00051D7E" w:rsidP="00051D7E">
      <w:pPr>
        <w:rPr>
          <w:rFonts w:cstheme="minorHAnsi"/>
          <w:sz w:val="24"/>
          <w:szCs w:val="24"/>
        </w:rPr>
      </w:pPr>
      <w:r w:rsidRPr="002749F4">
        <w:rPr>
          <w:rFonts w:cstheme="minorHAnsi"/>
          <w:sz w:val="24"/>
          <w:szCs w:val="24"/>
        </w:rPr>
        <w:t>2017:</w:t>
      </w:r>
      <w:r w:rsidRPr="002749F4">
        <w:rPr>
          <w:rFonts w:cstheme="minorHAnsi"/>
          <w:sz w:val="24"/>
          <w:szCs w:val="24"/>
        </w:rPr>
        <w:tab/>
        <w:t>None</w:t>
      </w:r>
    </w:p>
    <w:p w14:paraId="19E17BAB" w14:textId="77777777" w:rsidR="00051D7E" w:rsidRPr="002749F4" w:rsidRDefault="00051D7E" w:rsidP="00051D7E">
      <w:pPr>
        <w:ind w:left="720" w:hanging="720"/>
        <w:rPr>
          <w:rFonts w:cstheme="minorHAnsi"/>
          <w:sz w:val="24"/>
          <w:szCs w:val="24"/>
        </w:rPr>
      </w:pPr>
      <w:r w:rsidRPr="002749F4">
        <w:rPr>
          <w:rFonts w:cstheme="minorHAnsi"/>
          <w:sz w:val="24"/>
          <w:szCs w:val="24"/>
        </w:rPr>
        <w:t xml:space="preserve">2016: </w:t>
      </w:r>
      <w:r w:rsidRPr="002749F4">
        <w:rPr>
          <w:rFonts w:cstheme="minorHAnsi"/>
          <w:sz w:val="24"/>
          <w:szCs w:val="24"/>
        </w:rPr>
        <w:tab/>
        <w:t>The investment return rate was changed from 6.75% to 6.25% and the administrative expense assumption was changed from $50, increasing by 3% per year, to $30, increasing by 2% per year up to a maximum of $70.</w:t>
      </w:r>
    </w:p>
    <w:p w14:paraId="7A520810" w14:textId="77777777" w:rsidR="00051D7E" w:rsidRPr="00F54559" w:rsidRDefault="00051D7E" w:rsidP="00051D7E">
      <w:pPr>
        <w:ind w:left="720" w:hanging="720"/>
        <w:rPr>
          <w:rFonts w:cstheme="minorHAnsi"/>
          <w:sz w:val="24"/>
          <w:szCs w:val="24"/>
        </w:rPr>
      </w:pPr>
      <w:r w:rsidRPr="002749F4">
        <w:rPr>
          <w:rFonts w:cstheme="minorHAnsi"/>
          <w:sz w:val="24"/>
          <w:szCs w:val="24"/>
        </w:rPr>
        <w:t>2015:</w:t>
      </w:r>
      <w:r w:rsidRPr="002749F4">
        <w:rPr>
          <w:rFonts w:cstheme="minorHAnsi"/>
          <w:sz w:val="24"/>
          <w:szCs w:val="24"/>
        </w:rPr>
        <w:tab/>
        <w:t>The actuarial funding method was changed from Projected Unit Credit to Entry Age</w:t>
      </w:r>
      <w:r w:rsidRPr="00F54559">
        <w:rPr>
          <w:rFonts w:cstheme="minorHAnsi"/>
          <w:sz w:val="24"/>
          <w:szCs w:val="24"/>
        </w:rPr>
        <w:t xml:space="preserve"> Normal, the investment return rate was changed from 7.25% to 6.75% and the administrative expense assumption was changed from $90 per year to $50 per year. </w:t>
      </w:r>
    </w:p>
    <w:p w14:paraId="380C4FD0" w14:textId="77777777" w:rsidR="00051D7E" w:rsidRPr="00F54559" w:rsidRDefault="00051D7E" w:rsidP="00051D7E">
      <w:pPr>
        <w:ind w:left="720" w:hanging="720"/>
        <w:rPr>
          <w:rFonts w:cstheme="minorHAnsi"/>
          <w:sz w:val="24"/>
          <w:szCs w:val="24"/>
        </w:rPr>
      </w:pPr>
    </w:p>
    <w:p w14:paraId="4B5EBE19" w14:textId="77777777" w:rsidR="00051D7E" w:rsidRPr="00F54559" w:rsidRDefault="00051D7E" w:rsidP="00051D7E">
      <w:pPr>
        <w:rPr>
          <w:rFonts w:cstheme="minorHAnsi"/>
          <w:i/>
          <w:sz w:val="24"/>
          <w:szCs w:val="24"/>
        </w:rPr>
      </w:pPr>
      <w:r w:rsidRPr="00F54559">
        <w:rPr>
          <w:rFonts w:cstheme="minorHAnsi"/>
          <w:i/>
          <w:sz w:val="24"/>
          <w:szCs w:val="24"/>
        </w:rPr>
        <w:t>Methods and assumptions used in calculations of actuarially determined contributions:</w:t>
      </w:r>
    </w:p>
    <w:p w14:paraId="0CAF8F44" w14:textId="77777777" w:rsidR="00051D7E" w:rsidRPr="00F54559" w:rsidRDefault="00051D7E" w:rsidP="00051D7E">
      <w:pPr>
        <w:widowControl w:val="0"/>
        <w:spacing w:before="120"/>
        <w:rPr>
          <w:rFonts w:cstheme="minorHAnsi"/>
          <w:sz w:val="24"/>
          <w:szCs w:val="20"/>
        </w:rPr>
      </w:pPr>
      <w:r w:rsidRPr="00F54559">
        <w:rPr>
          <w:rFonts w:cstheme="minorHAnsi"/>
          <w:sz w:val="24"/>
          <w:szCs w:val="20"/>
        </w:rPr>
        <w:t>The actuarially determined contributions in the schedule of employers' contributions are calculated as of July 1, one year prior to the end of the fiscal year in which contributions are reported. The following actuarial methods and assumptions were used to determine contributions reported in that schedule:</w:t>
      </w:r>
    </w:p>
    <w:p w14:paraId="4617D06F" w14:textId="77777777" w:rsidR="00051D7E" w:rsidRPr="00F54559" w:rsidRDefault="00051D7E" w:rsidP="00051D7E">
      <w:pPr>
        <w:ind w:left="720" w:hanging="720"/>
        <w:rPr>
          <w:rFonts w:cstheme="minorHAnsi"/>
          <w:sz w:val="24"/>
          <w:szCs w:val="24"/>
        </w:rPr>
      </w:pPr>
    </w:p>
    <w:tbl>
      <w:tblPr>
        <w:tblStyle w:val="TableGrid2"/>
        <w:tblW w:w="477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ctuarial cost method since 2015 has been entry age normal.  Asset valuation method has been the market value of assets.  Inflation has decreased from 3.25% in 2015 to 2.6% in 2019.  Salary and payroll increases are assumed to be 3.5% per year.  The investment rate of return/discount rate has been 6.25% since 2016."/>
      </w:tblPr>
      <w:tblGrid>
        <w:gridCol w:w="2798"/>
        <w:gridCol w:w="6135"/>
      </w:tblGrid>
      <w:tr w:rsidR="00051D7E" w:rsidRPr="00A454B4" w14:paraId="6992C60A" w14:textId="77777777" w:rsidTr="007531FB">
        <w:trPr>
          <w:trHeight w:val="252"/>
          <w:tblHeader/>
          <w:jc w:val="center"/>
        </w:trPr>
        <w:tc>
          <w:tcPr>
            <w:tcW w:w="1566" w:type="pct"/>
          </w:tcPr>
          <w:p w14:paraId="1AA41D06" w14:textId="77777777" w:rsidR="00051D7E" w:rsidRPr="00F54559" w:rsidRDefault="00051D7E" w:rsidP="007531FB">
            <w:pPr>
              <w:widowControl w:val="0"/>
              <w:rPr>
                <w:rFonts w:cstheme="minorHAnsi"/>
                <w:sz w:val="24"/>
                <w:szCs w:val="20"/>
              </w:rPr>
            </w:pPr>
            <w:r w:rsidRPr="00F54559">
              <w:rPr>
                <w:rFonts w:eastAsia="Franklin Gothic Book" w:cstheme="minorHAnsi"/>
                <w:spacing w:val="-2"/>
                <w:sz w:val="24"/>
              </w:rPr>
              <w:t>A</w:t>
            </w:r>
            <w:r w:rsidRPr="00F54559">
              <w:rPr>
                <w:rFonts w:eastAsia="Franklin Gothic Book" w:cstheme="minorHAnsi"/>
                <w:sz w:val="24"/>
              </w:rPr>
              <w:t>ctua</w:t>
            </w:r>
            <w:r w:rsidRPr="00F54559">
              <w:rPr>
                <w:rFonts w:eastAsia="Franklin Gothic Book" w:cstheme="minorHAnsi"/>
                <w:spacing w:val="-1"/>
                <w:sz w:val="24"/>
              </w:rPr>
              <w:t>r</w:t>
            </w:r>
            <w:r w:rsidRPr="00F54559">
              <w:rPr>
                <w:rFonts w:eastAsia="Franklin Gothic Book" w:cstheme="minorHAnsi"/>
                <w:sz w:val="24"/>
              </w:rPr>
              <w:t>ial</w:t>
            </w:r>
            <w:r w:rsidRPr="00F54559">
              <w:rPr>
                <w:rFonts w:eastAsia="Franklin Gothic Book" w:cstheme="minorHAnsi"/>
                <w:spacing w:val="-2"/>
                <w:sz w:val="24"/>
              </w:rPr>
              <w:t xml:space="preserve"> </w:t>
            </w:r>
            <w:r w:rsidRPr="00F54559">
              <w:rPr>
                <w:rFonts w:eastAsia="Franklin Gothic Book" w:cstheme="minorHAnsi"/>
                <w:spacing w:val="1"/>
                <w:sz w:val="24"/>
              </w:rPr>
              <w:t>c</w:t>
            </w:r>
            <w:r w:rsidRPr="00F54559">
              <w:rPr>
                <w:rFonts w:eastAsia="Franklin Gothic Book" w:cstheme="minorHAnsi"/>
                <w:sz w:val="24"/>
              </w:rPr>
              <w:t>ost method</w:t>
            </w:r>
          </w:p>
        </w:tc>
        <w:tc>
          <w:tcPr>
            <w:tcW w:w="3434" w:type="pct"/>
          </w:tcPr>
          <w:p w14:paraId="24FA3BD5" w14:textId="77777777" w:rsidR="00051D7E" w:rsidRPr="00F54559" w:rsidRDefault="00051D7E" w:rsidP="007531FB">
            <w:pPr>
              <w:widowControl w:val="0"/>
              <w:rPr>
                <w:rFonts w:eastAsia="Franklin Gothic Book" w:cstheme="minorHAnsi"/>
                <w:spacing w:val="-2"/>
                <w:sz w:val="24"/>
              </w:rPr>
            </w:pPr>
            <w:r w:rsidRPr="00F54559">
              <w:rPr>
                <w:rFonts w:eastAsia="Franklin Gothic Book" w:cstheme="minorHAnsi"/>
                <w:spacing w:val="-2"/>
                <w:sz w:val="24"/>
              </w:rPr>
              <w:t>2015 to 20</w:t>
            </w:r>
            <w:r>
              <w:rPr>
                <w:rFonts w:eastAsia="Franklin Gothic Book" w:cstheme="minorHAnsi"/>
                <w:spacing w:val="-2"/>
                <w:sz w:val="24"/>
              </w:rPr>
              <w:t>21</w:t>
            </w:r>
            <w:r w:rsidRPr="00F54559">
              <w:rPr>
                <w:rFonts w:eastAsia="Franklin Gothic Book" w:cstheme="minorHAnsi"/>
                <w:spacing w:val="-2"/>
                <w:sz w:val="24"/>
              </w:rPr>
              <w:t>:  E</w:t>
            </w:r>
            <w:r w:rsidRPr="00F54559">
              <w:rPr>
                <w:rFonts w:eastAsia="Franklin Gothic Book" w:cstheme="minorHAnsi"/>
                <w:sz w:val="24"/>
              </w:rPr>
              <w:t>nt</w:t>
            </w:r>
            <w:r w:rsidRPr="00F54559">
              <w:rPr>
                <w:rFonts w:eastAsia="Franklin Gothic Book" w:cstheme="minorHAnsi"/>
                <w:spacing w:val="-1"/>
                <w:sz w:val="24"/>
              </w:rPr>
              <w:t>r</w:t>
            </w:r>
            <w:r w:rsidRPr="00F54559">
              <w:rPr>
                <w:rFonts w:eastAsia="Franklin Gothic Book" w:cstheme="minorHAnsi"/>
                <w:sz w:val="24"/>
              </w:rPr>
              <w:t>y</w:t>
            </w:r>
            <w:r w:rsidRPr="00F54559">
              <w:rPr>
                <w:rFonts w:eastAsia="Franklin Gothic Book" w:cstheme="minorHAnsi"/>
                <w:spacing w:val="-8"/>
                <w:sz w:val="24"/>
              </w:rPr>
              <w:t xml:space="preserve"> a</w:t>
            </w:r>
            <w:r w:rsidRPr="00F54559">
              <w:rPr>
                <w:rFonts w:eastAsia="Franklin Gothic Book" w:cstheme="minorHAnsi"/>
                <w:sz w:val="24"/>
              </w:rPr>
              <w:t>ge</w:t>
            </w:r>
            <w:r w:rsidRPr="00F54559">
              <w:rPr>
                <w:rFonts w:eastAsia="Franklin Gothic Book" w:cstheme="minorHAnsi"/>
                <w:spacing w:val="-6"/>
                <w:sz w:val="24"/>
              </w:rPr>
              <w:t xml:space="preserve"> n</w:t>
            </w:r>
            <w:r w:rsidRPr="00F54559">
              <w:rPr>
                <w:rFonts w:eastAsia="Franklin Gothic Book" w:cstheme="minorHAnsi"/>
                <w:sz w:val="24"/>
              </w:rPr>
              <w:t>o</w:t>
            </w:r>
            <w:r w:rsidRPr="00F54559">
              <w:rPr>
                <w:rFonts w:eastAsia="Franklin Gothic Book" w:cstheme="minorHAnsi"/>
                <w:spacing w:val="-2"/>
                <w:sz w:val="24"/>
              </w:rPr>
              <w:t>r</w:t>
            </w:r>
            <w:r w:rsidRPr="00F54559">
              <w:rPr>
                <w:rFonts w:eastAsia="Franklin Gothic Book" w:cstheme="minorHAnsi"/>
                <w:sz w:val="24"/>
              </w:rPr>
              <w:t>mal</w:t>
            </w:r>
          </w:p>
          <w:p w14:paraId="2ED62D40" w14:textId="77777777" w:rsidR="00051D7E" w:rsidRPr="00F54559" w:rsidRDefault="00051D7E" w:rsidP="007531FB">
            <w:pPr>
              <w:widowControl w:val="0"/>
              <w:rPr>
                <w:rFonts w:cstheme="minorHAnsi"/>
                <w:color w:val="FF0000"/>
                <w:sz w:val="16"/>
                <w:szCs w:val="16"/>
              </w:rPr>
            </w:pPr>
            <w:r w:rsidRPr="00F54559">
              <w:rPr>
                <w:rFonts w:eastAsia="Franklin Gothic Book" w:cstheme="minorHAnsi"/>
                <w:spacing w:val="-2"/>
                <w:sz w:val="24"/>
              </w:rPr>
              <w:t>2014:  Projected Unit Credit</w:t>
            </w:r>
          </w:p>
        </w:tc>
      </w:tr>
      <w:tr w:rsidR="00051D7E" w:rsidRPr="00A454B4" w14:paraId="06C93B1B" w14:textId="77777777" w:rsidTr="007531FB">
        <w:trPr>
          <w:trHeight w:val="252"/>
          <w:jc w:val="center"/>
        </w:trPr>
        <w:tc>
          <w:tcPr>
            <w:tcW w:w="1566" w:type="pct"/>
          </w:tcPr>
          <w:p w14:paraId="3EC46D03" w14:textId="77777777" w:rsidR="00051D7E" w:rsidRPr="00F54559" w:rsidRDefault="00051D7E" w:rsidP="007531FB">
            <w:pPr>
              <w:widowControl w:val="0"/>
              <w:rPr>
                <w:rFonts w:cstheme="minorHAnsi"/>
                <w:sz w:val="24"/>
                <w:szCs w:val="20"/>
              </w:rPr>
            </w:pPr>
            <w:r w:rsidRPr="00F54559">
              <w:rPr>
                <w:rFonts w:eastAsia="Franklin Gothic Book" w:cstheme="minorHAnsi"/>
                <w:spacing w:val="-2"/>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1"/>
                <w:sz w:val="24"/>
              </w:rPr>
              <w:t xml:space="preserve"> v</w:t>
            </w:r>
            <w:r w:rsidRPr="00F54559">
              <w:rPr>
                <w:rFonts w:eastAsia="Franklin Gothic Book" w:cstheme="minorHAnsi"/>
                <w:sz w:val="24"/>
              </w:rPr>
              <w:t>alua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2"/>
                <w:sz w:val="24"/>
              </w:rPr>
              <w:t xml:space="preserve"> </w:t>
            </w:r>
            <w:r w:rsidRPr="00F54559">
              <w:rPr>
                <w:rFonts w:eastAsia="Franklin Gothic Book" w:cstheme="minorHAnsi"/>
                <w:spacing w:val="1"/>
                <w:sz w:val="24"/>
              </w:rPr>
              <w:t>m</w:t>
            </w:r>
            <w:r w:rsidRPr="00F54559">
              <w:rPr>
                <w:rFonts w:eastAsia="Franklin Gothic Book" w:cstheme="minorHAnsi"/>
                <w:sz w:val="24"/>
              </w:rPr>
              <w:t>ethod</w:t>
            </w:r>
          </w:p>
        </w:tc>
        <w:tc>
          <w:tcPr>
            <w:tcW w:w="3434" w:type="pct"/>
          </w:tcPr>
          <w:p w14:paraId="1096DDD7" w14:textId="77777777" w:rsidR="00051D7E" w:rsidRPr="00F54559" w:rsidRDefault="00051D7E" w:rsidP="007531FB">
            <w:pPr>
              <w:widowControl w:val="0"/>
              <w:rPr>
                <w:rFonts w:cstheme="minorHAnsi"/>
                <w:sz w:val="24"/>
                <w:szCs w:val="20"/>
              </w:rPr>
            </w:pPr>
            <w:r w:rsidRPr="00F54559">
              <w:rPr>
                <w:rFonts w:eastAsia="Franklin Gothic Book" w:cstheme="minorHAnsi"/>
                <w:sz w:val="24"/>
              </w:rPr>
              <w:t>The actuarial value of assets is the market value of assets.</w:t>
            </w:r>
          </w:p>
        </w:tc>
      </w:tr>
      <w:tr w:rsidR="00051D7E" w:rsidRPr="00A454B4" w14:paraId="297F3CF1" w14:textId="77777777" w:rsidTr="007531FB">
        <w:trPr>
          <w:trHeight w:val="252"/>
          <w:jc w:val="center"/>
        </w:trPr>
        <w:tc>
          <w:tcPr>
            <w:tcW w:w="1566" w:type="pct"/>
          </w:tcPr>
          <w:p w14:paraId="70ED1E8C" w14:textId="77777777" w:rsidR="00051D7E" w:rsidRPr="00F54559" w:rsidRDefault="00051D7E" w:rsidP="007531FB">
            <w:pPr>
              <w:widowControl w:val="0"/>
              <w:rPr>
                <w:rFonts w:cstheme="minorHAnsi"/>
                <w:sz w:val="24"/>
                <w:szCs w:val="20"/>
              </w:rPr>
            </w:pP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tc>
        <w:tc>
          <w:tcPr>
            <w:tcW w:w="3434" w:type="pct"/>
          </w:tcPr>
          <w:p w14:paraId="53B9D359" w14:textId="77777777" w:rsidR="00051D7E" w:rsidRDefault="00051D7E" w:rsidP="007531FB">
            <w:pPr>
              <w:widowControl w:val="0"/>
              <w:rPr>
                <w:rFonts w:eastAsia="Franklin Gothic Book" w:cstheme="minorHAnsi"/>
                <w:sz w:val="24"/>
              </w:rPr>
            </w:pPr>
            <w:r>
              <w:rPr>
                <w:rFonts w:eastAsia="Franklin Gothic Book" w:cstheme="minorHAnsi"/>
                <w:sz w:val="24"/>
              </w:rPr>
              <w:t xml:space="preserve">2021: 2.5% per year </w:t>
            </w:r>
          </w:p>
          <w:p w14:paraId="1AEDEC27" w14:textId="77777777" w:rsidR="00051D7E" w:rsidRDefault="00051D7E" w:rsidP="007531FB">
            <w:pPr>
              <w:widowControl w:val="0"/>
              <w:rPr>
                <w:rFonts w:eastAsia="Franklin Gothic Book" w:cstheme="minorHAnsi"/>
                <w:sz w:val="24"/>
              </w:rPr>
            </w:pPr>
            <w:r>
              <w:rPr>
                <w:rFonts w:eastAsia="Franklin Gothic Book" w:cstheme="minorHAnsi"/>
                <w:sz w:val="24"/>
              </w:rPr>
              <w:t>2020: 2.4% per year</w:t>
            </w:r>
          </w:p>
          <w:p w14:paraId="34896072" w14:textId="77777777" w:rsidR="00051D7E" w:rsidRPr="00F54559" w:rsidRDefault="00051D7E" w:rsidP="007531FB">
            <w:pPr>
              <w:widowControl w:val="0"/>
              <w:rPr>
                <w:rFonts w:eastAsia="Franklin Gothic Book" w:cstheme="minorHAnsi"/>
                <w:sz w:val="24"/>
              </w:rPr>
            </w:pPr>
            <w:r w:rsidRPr="00F54559">
              <w:rPr>
                <w:rFonts w:eastAsia="Franklin Gothic Book" w:cstheme="minorHAnsi"/>
                <w:sz w:val="24"/>
              </w:rPr>
              <w:t>2019: 2.6% per year</w:t>
            </w:r>
          </w:p>
          <w:p w14:paraId="1545CBCF" w14:textId="77777777" w:rsidR="00051D7E" w:rsidRPr="00F54559" w:rsidRDefault="00051D7E" w:rsidP="007531FB">
            <w:pPr>
              <w:widowControl w:val="0"/>
              <w:rPr>
                <w:rFonts w:eastAsia="Franklin Gothic Book" w:cstheme="minorHAnsi"/>
                <w:sz w:val="24"/>
              </w:rPr>
            </w:pPr>
            <w:r w:rsidRPr="00F54559">
              <w:rPr>
                <w:rFonts w:eastAsia="Franklin Gothic Book" w:cstheme="minorHAnsi"/>
                <w:sz w:val="24"/>
              </w:rPr>
              <w:t>2016 to 2018:  3% per year</w:t>
            </w:r>
          </w:p>
          <w:p w14:paraId="31A8883C" w14:textId="77777777" w:rsidR="00051D7E" w:rsidRPr="00F54559" w:rsidRDefault="00051D7E" w:rsidP="007531FB">
            <w:pPr>
              <w:widowControl w:val="0"/>
              <w:rPr>
                <w:rFonts w:cstheme="minorHAnsi"/>
                <w:color w:val="FF0000"/>
                <w:sz w:val="16"/>
                <w:szCs w:val="16"/>
              </w:rPr>
            </w:pPr>
            <w:r w:rsidRPr="00F54559">
              <w:rPr>
                <w:rFonts w:eastAsia="Franklin Gothic Book" w:cstheme="minorHAnsi"/>
                <w:sz w:val="24"/>
              </w:rPr>
              <w:t>2015: 3.25% per year</w:t>
            </w:r>
          </w:p>
        </w:tc>
      </w:tr>
      <w:tr w:rsidR="00051D7E" w:rsidRPr="00A454B4" w14:paraId="2FFE8A7C" w14:textId="77777777" w:rsidTr="007531FB">
        <w:trPr>
          <w:trHeight w:val="252"/>
          <w:jc w:val="center"/>
        </w:trPr>
        <w:tc>
          <w:tcPr>
            <w:tcW w:w="1566" w:type="pct"/>
          </w:tcPr>
          <w:p w14:paraId="1151A68C" w14:textId="77777777" w:rsidR="00051D7E" w:rsidRPr="00F54559" w:rsidRDefault="00051D7E" w:rsidP="007531FB">
            <w:pPr>
              <w:widowControl w:val="0"/>
              <w:rPr>
                <w:rFonts w:cstheme="minorHAnsi"/>
                <w:sz w:val="24"/>
                <w:szCs w:val="20"/>
              </w:rPr>
            </w:pPr>
            <w:r w:rsidRPr="00F54559">
              <w:rPr>
                <w:rFonts w:eastAsia="Franklin Gothic Book" w:cstheme="minorHAnsi"/>
                <w:sz w:val="24"/>
              </w:rPr>
              <w:t>Sala</w:t>
            </w:r>
            <w:r w:rsidRPr="00F54559">
              <w:rPr>
                <w:rFonts w:eastAsia="Franklin Gothic Book" w:cstheme="minorHAnsi"/>
                <w:spacing w:val="-2"/>
                <w:sz w:val="24"/>
              </w:rPr>
              <w:t>r</w:t>
            </w:r>
            <w:r w:rsidRPr="00F54559">
              <w:rPr>
                <w:rFonts w:eastAsia="Franklin Gothic Book" w:cstheme="minorHAnsi"/>
                <w:sz w:val="24"/>
              </w:rPr>
              <w:t>y</w:t>
            </w:r>
            <w:r w:rsidRPr="00F54559">
              <w:rPr>
                <w:rFonts w:eastAsia="Franklin Gothic Book" w:cstheme="minorHAnsi"/>
                <w:spacing w:val="-2"/>
                <w:sz w:val="24"/>
              </w:rPr>
              <w:t xml:space="preserve"> </w:t>
            </w:r>
            <w:r w:rsidRPr="00F54559">
              <w:rPr>
                <w:rFonts w:eastAsia="Franklin Gothic Book" w:cstheme="minorHAnsi"/>
                <w:sz w:val="24"/>
              </w:rPr>
              <w:t>inc</w:t>
            </w:r>
            <w:r w:rsidRPr="00F54559">
              <w:rPr>
                <w:rFonts w:eastAsia="Franklin Gothic Book" w:cstheme="minorHAnsi"/>
                <w:spacing w:val="-1"/>
                <w:sz w:val="24"/>
              </w:rPr>
              <w:t>r</w:t>
            </w:r>
            <w:r w:rsidRPr="00F54559">
              <w:rPr>
                <w:rFonts w:eastAsia="Franklin Gothic Book" w:cstheme="minorHAnsi"/>
                <w:sz w:val="24"/>
              </w:rPr>
              <w:t>eases</w:t>
            </w:r>
          </w:p>
        </w:tc>
        <w:tc>
          <w:tcPr>
            <w:tcW w:w="3434" w:type="pct"/>
          </w:tcPr>
          <w:p w14:paraId="046EF6CB" w14:textId="77777777" w:rsidR="00051D7E" w:rsidRPr="00F54559" w:rsidRDefault="00051D7E" w:rsidP="007531FB">
            <w:pPr>
              <w:widowControl w:val="0"/>
              <w:rPr>
                <w:rFonts w:cstheme="minorHAnsi"/>
                <w:sz w:val="16"/>
                <w:szCs w:val="16"/>
              </w:rPr>
            </w:pPr>
            <w:r w:rsidRPr="00F54559">
              <w:rPr>
                <w:rFonts w:eastAsia="Franklin Gothic Book" w:cstheme="minorHAnsi"/>
                <w:sz w:val="24"/>
              </w:rPr>
              <w:t>3.5%</w:t>
            </w:r>
            <w:r w:rsidRPr="00F54559">
              <w:rPr>
                <w:rFonts w:eastAsia="Franklin Gothic Book" w:cstheme="minorHAnsi"/>
                <w:spacing w:val="-6"/>
                <w:sz w:val="24"/>
              </w:rPr>
              <w:t xml:space="preserve"> </w:t>
            </w:r>
            <w:r w:rsidRPr="00F54559">
              <w:rPr>
                <w:rFonts w:eastAsia="Franklin Gothic Book" w:cstheme="minorHAnsi"/>
                <w:spacing w:val="-1"/>
                <w:sz w:val="24"/>
              </w:rPr>
              <w:t>p</w:t>
            </w:r>
            <w:r w:rsidRPr="00F54559">
              <w:rPr>
                <w:rFonts w:eastAsia="Franklin Gothic Book" w:cstheme="minorHAnsi"/>
                <w:sz w:val="24"/>
              </w:rPr>
              <w:t>er</w:t>
            </w:r>
            <w:r w:rsidRPr="00F54559">
              <w:rPr>
                <w:rFonts w:eastAsia="Franklin Gothic Book" w:cstheme="minorHAnsi"/>
                <w:spacing w:val="-7"/>
                <w:sz w:val="24"/>
              </w:rPr>
              <w:t xml:space="preserve"> </w:t>
            </w:r>
            <w:r w:rsidRPr="00F54559">
              <w:rPr>
                <w:rFonts w:eastAsia="Franklin Gothic Book" w:cstheme="minorHAnsi"/>
                <w:spacing w:val="-1"/>
                <w:sz w:val="24"/>
              </w:rPr>
              <w:t>y</w:t>
            </w:r>
            <w:r w:rsidRPr="00F54559">
              <w:rPr>
                <w:rFonts w:eastAsia="Franklin Gothic Book" w:cstheme="minorHAnsi"/>
                <w:sz w:val="24"/>
              </w:rPr>
              <w:t>ea</w:t>
            </w:r>
            <w:r w:rsidRPr="00F54559">
              <w:rPr>
                <w:rFonts w:eastAsia="Franklin Gothic Book" w:cstheme="minorHAnsi"/>
                <w:spacing w:val="-2"/>
                <w:sz w:val="24"/>
              </w:rPr>
              <w:t>r</w:t>
            </w:r>
          </w:p>
        </w:tc>
      </w:tr>
      <w:tr w:rsidR="00051D7E" w:rsidRPr="00A454B4" w14:paraId="41B8A99A" w14:textId="77777777" w:rsidTr="007531FB">
        <w:trPr>
          <w:trHeight w:val="252"/>
          <w:jc w:val="center"/>
        </w:trPr>
        <w:tc>
          <w:tcPr>
            <w:tcW w:w="1566" w:type="pct"/>
          </w:tcPr>
          <w:p w14:paraId="53138E7D" w14:textId="77777777" w:rsidR="00051D7E" w:rsidRPr="00F54559" w:rsidRDefault="00051D7E" w:rsidP="007531FB">
            <w:pPr>
              <w:widowControl w:val="0"/>
              <w:rPr>
                <w:rFonts w:cstheme="minorHAnsi"/>
                <w:sz w:val="24"/>
                <w:szCs w:val="20"/>
              </w:rPr>
            </w:pPr>
            <w:r w:rsidRPr="00F54559">
              <w:rPr>
                <w:rFonts w:eastAsia="Franklin Gothic Book" w:cstheme="minorHAnsi"/>
                <w:spacing w:val="-2"/>
                <w:sz w:val="24"/>
              </w:rPr>
              <w:t>Payroll increases</w:t>
            </w:r>
          </w:p>
        </w:tc>
        <w:tc>
          <w:tcPr>
            <w:tcW w:w="3434" w:type="pct"/>
          </w:tcPr>
          <w:p w14:paraId="304E2A47" w14:textId="77777777" w:rsidR="00051D7E" w:rsidRPr="00F54559" w:rsidRDefault="00051D7E" w:rsidP="007531FB">
            <w:pPr>
              <w:widowControl w:val="0"/>
              <w:rPr>
                <w:rFonts w:cstheme="minorHAnsi"/>
                <w:sz w:val="16"/>
                <w:szCs w:val="16"/>
              </w:rPr>
            </w:pPr>
            <w:r w:rsidRPr="00F54559">
              <w:rPr>
                <w:rFonts w:eastAsia="Franklin Gothic Book" w:cstheme="minorHAnsi"/>
                <w:spacing w:val="-2"/>
                <w:sz w:val="24"/>
              </w:rPr>
              <w:t>3.5% per year</w:t>
            </w:r>
          </w:p>
        </w:tc>
      </w:tr>
      <w:tr w:rsidR="00051D7E" w:rsidRPr="00A454B4" w14:paraId="1ECB7F7D" w14:textId="77777777" w:rsidTr="007531FB">
        <w:trPr>
          <w:trHeight w:val="252"/>
          <w:jc w:val="center"/>
        </w:trPr>
        <w:tc>
          <w:tcPr>
            <w:tcW w:w="1566" w:type="pct"/>
          </w:tcPr>
          <w:p w14:paraId="644F618B" w14:textId="77777777" w:rsidR="00051D7E" w:rsidRPr="00F54559" w:rsidRDefault="00051D7E" w:rsidP="007531FB">
            <w:pPr>
              <w:widowControl w:val="0"/>
              <w:tabs>
                <w:tab w:val="left" w:pos="4264"/>
              </w:tabs>
              <w:rPr>
                <w:rFonts w:cstheme="minorHAnsi"/>
                <w:sz w:val="24"/>
                <w:szCs w:val="20"/>
              </w:rPr>
            </w:pP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w:t>
            </w:r>
            <w:r w:rsidRPr="00F54559">
              <w:rPr>
                <w:rFonts w:eastAsia="Franklin Gothic Book" w:cstheme="minorHAnsi"/>
                <w:spacing w:val="-1"/>
                <w:sz w:val="24"/>
              </w:rPr>
              <w:t xml:space="preserve"> 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2"/>
                <w:sz w:val="24"/>
              </w:rPr>
              <w:t xml:space="preserve"> </w:t>
            </w:r>
            <w:r w:rsidRPr="00F54559">
              <w:rPr>
                <w:rFonts w:eastAsia="Franklin Gothic Book" w:cstheme="minorHAnsi"/>
                <w:sz w:val="24"/>
              </w:rPr>
              <w:t>of</w:t>
            </w:r>
            <w:r w:rsidRPr="00F54559">
              <w:rPr>
                <w:rFonts w:eastAsia="Franklin Gothic Book" w:cstheme="minorHAnsi"/>
                <w:spacing w:val="-2"/>
                <w:sz w:val="24"/>
              </w:rPr>
              <w:t xml:space="preserve"> </w:t>
            </w:r>
            <w:r w:rsidRPr="00F54559">
              <w:rPr>
                <w:rFonts w:eastAsia="Franklin Gothic Book" w:cstheme="minorHAnsi"/>
                <w:sz w:val="24"/>
              </w:rPr>
              <w:t>r</w:t>
            </w:r>
            <w:r w:rsidRPr="00F54559">
              <w:rPr>
                <w:rFonts w:eastAsia="Franklin Gothic Book" w:cstheme="minorHAnsi"/>
                <w:spacing w:val="-1"/>
                <w:sz w:val="24"/>
              </w:rPr>
              <w:t>e</w:t>
            </w:r>
            <w:r w:rsidRPr="00F54559">
              <w:rPr>
                <w:rFonts w:eastAsia="Franklin Gothic Book" w:cstheme="minorHAnsi"/>
                <w:sz w:val="24"/>
              </w:rPr>
              <w:t>tu</w:t>
            </w:r>
            <w:r w:rsidRPr="00F54559">
              <w:rPr>
                <w:rFonts w:eastAsia="Franklin Gothic Book" w:cstheme="minorHAnsi"/>
                <w:spacing w:val="-1"/>
                <w:sz w:val="24"/>
              </w:rPr>
              <w:t>r</w:t>
            </w:r>
            <w:r w:rsidRPr="00F54559">
              <w:rPr>
                <w:rFonts w:eastAsia="Franklin Gothic Book" w:cstheme="minorHAnsi"/>
                <w:sz w:val="24"/>
              </w:rPr>
              <w:t>n</w:t>
            </w:r>
            <w:r>
              <w:rPr>
                <w:rFonts w:eastAsia="Franklin Gothic Book" w:cstheme="minorHAnsi"/>
                <w:sz w:val="24"/>
              </w:rPr>
              <w:t xml:space="preserve">/ </w:t>
            </w:r>
            <w:r w:rsidRPr="00F54559">
              <w:rPr>
                <w:rFonts w:eastAsia="Franklin Gothic Book" w:cstheme="minorHAnsi"/>
                <w:spacing w:val="-7"/>
                <w:sz w:val="24"/>
              </w:rPr>
              <w:t>discount rate</w:t>
            </w:r>
          </w:p>
        </w:tc>
        <w:tc>
          <w:tcPr>
            <w:tcW w:w="3434" w:type="pct"/>
          </w:tcPr>
          <w:p w14:paraId="545E0137" w14:textId="77777777" w:rsidR="00051D7E" w:rsidRPr="00F54559" w:rsidRDefault="00051D7E" w:rsidP="007531FB">
            <w:pPr>
              <w:widowControl w:val="0"/>
              <w:rPr>
                <w:rFonts w:eastAsia="Franklin Gothic Book" w:cstheme="minorHAnsi"/>
                <w:sz w:val="24"/>
              </w:rPr>
            </w:pPr>
            <w:r w:rsidRPr="00F54559">
              <w:rPr>
                <w:rFonts w:eastAsia="Franklin Gothic Book" w:cstheme="minorHAnsi"/>
                <w:sz w:val="24"/>
              </w:rPr>
              <w:t>2016 to 20</w:t>
            </w:r>
            <w:r>
              <w:rPr>
                <w:rFonts w:eastAsia="Franklin Gothic Book" w:cstheme="minorHAnsi"/>
                <w:sz w:val="24"/>
              </w:rPr>
              <w:t>21</w:t>
            </w:r>
            <w:r w:rsidRPr="00F54559">
              <w:rPr>
                <w:rFonts w:eastAsia="Franklin Gothic Book" w:cstheme="minorHAnsi"/>
                <w:sz w:val="24"/>
              </w:rPr>
              <w:t>:  6.25%,</w:t>
            </w:r>
            <w:r w:rsidRPr="00F54559">
              <w:rPr>
                <w:rFonts w:eastAsia="Franklin Gothic Book" w:cstheme="minorHAnsi"/>
                <w:spacing w:val="-7"/>
                <w:sz w:val="24"/>
              </w:rPr>
              <w:t xml:space="preserve"> </w:t>
            </w:r>
            <w:r w:rsidRPr="00F54559">
              <w:rPr>
                <w:rFonts w:eastAsia="Franklin Gothic Book" w:cstheme="minorHAnsi"/>
                <w:sz w:val="24"/>
              </w:rPr>
              <w:t>net</w:t>
            </w:r>
            <w:r w:rsidRPr="00F54559">
              <w:rPr>
                <w:rFonts w:eastAsia="Franklin Gothic Book" w:cstheme="minorHAnsi"/>
                <w:spacing w:val="-8"/>
                <w:sz w:val="24"/>
              </w:rPr>
              <w:t xml:space="preserve"> </w:t>
            </w:r>
            <w:r w:rsidRPr="00F54559">
              <w:rPr>
                <w:rFonts w:eastAsia="Franklin Gothic Book" w:cstheme="minorHAnsi"/>
                <w:sz w:val="24"/>
              </w:rPr>
              <w:t>of</w:t>
            </w:r>
            <w:r w:rsidRPr="00F54559">
              <w:rPr>
                <w:rFonts w:eastAsia="Franklin Gothic Book" w:cstheme="minorHAnsi"/>
                <w:spacing w:val="-8"/>
                <w:sz w:val="24"/>
              </w:rPr>
              <w:t xml:space="preserve"> </w:t>
            </w:r>
            <w:r w:rsidRPr="00F54559">
              <w:rPr>
                <w:rFonts w:eastAsia="Franklin Gothic Book" w:cstheme="minorHAnsi"/>
                <w:sz w:val="24"/>
              </w:rPr>
              <w:t>inv</w:t>
            </w:r>
            <w:r w:rsidRPr="00F54559">
              <w:rPr>
                <w:rFonts w:eastAsia="Franklin Gothic Book" w:cstheme="minorHAnsi"/>
                <w:spacing w:val="-2"/>
                <w:sz w:val="24"/>
              </w:rPr>
              <w:t>e</w:t>
            </w:r>
            <w:r w:rsidRPr="00F54559">
              <w:rPr>
                <w:rFonts w:eastAsia="Franklin Gothic Book" w:cstheme="minorHAnsi"/>
                <w:spacing w:val="1"/>
                <w:sz w:val="24"/>
              </w:rPr>
              <w:t>s</w:t>
            </w:r>
            <w:r w:rsidRPr="00F54559">
              <w:rPr>
                <w:rFonts w:eastAsia="Franklin Gothic Book" w:cstheme="minorHAnsi"/>
                <w:sz w:val="24"/>
              </w:rPr>
              <w:t>tment</w:t>
            </w:r>
            <w:r w:rsidRPr="00F54559">
              <w:rPr>
                <w:rFonts w:eastAsia="Franklin Gothic Book" w:cstheme="minorHAnsi"/>
                <w:spacing w:val="-8"/>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enses</w:t>
            </w:r>
            <w:r>
              <w:rPr>
                <w:rFonts w:eastAsia="Franklin Gothic Book" w:cstheme="minorHAnsi"/>
                <w:sz w:val="24"/>
              </w:rPr>
              <w:t>, compounded annually</w:t>
            </w:r>
          </w:p>
          <w:p w14:paraId="35616E27" w14:textId="77777777" w:rsidR="00051D7E" w:rsidRPr="00F54559" w:rsidRDefault="00051D7E" w:rsidP="007531FB">
            <w:pPr>
              <w:widowControl w:val="0"/>
              <w:rPr>
                <w:rFonts w:eastAsia="Franklin Gothic Book" w:cstheme="minorHAnsi"/>
                <w:sz w:val="24"/>
              </w:rPr>
            </w:pPr>
            <w:r w:rsidRPr="00F54559">
              <w:rPr>
                <w:rFonts w:eastAsia="Franklin Gothic Book" w:cstheme="minorHAnsi"/>
                <w:sz w:val="24"/>
              </w:rPr>
              <w:t>2015:  6.75%,</w:t>
            </w:r>
            <w:r w:rsidRPr="00F54559">
              <w:rPr>
                <w:rFonts w:eastAsia="Franklin Gothic Book" w:cstheme="minorHAnsi"/>
                <w:spacing w:val="-7"/>
                <w:sz w:val="24"/>
              </w:rPr>
              <w:t xml:space="preserve"> </w:t>
            </w:r>
            <w:r w:rsidRPr="00F54559">
              <w:rPr>
                <w:rFonts w:eastAsia="Franklin Gothic Book" w:cstheme="minorHAnsi"/>
                <w:sz w:val="24"/>
              </w:rPr>
              <w:t>net</w:t>
            </w:r>
            <w:r w:rsidRPr="00F54559">
              <w:rPr>
                <w:rFonts w:eastAsia="Franklin Gothic Book" w:cstheme="minorHAnsi"/>
                <w:spacing w:val="-8"/>
                <w:sz w:val="24"/>
              </w:rPr>
              <w:t xml:space="preserve"> </w:t>
            </w:r>
            <w:r w:rsidRPr="00F54559">
              <w:rPr>
                <w:rFonts w:eastAsia="Franklin Gothic Book" w:cstheme="minorHAnsi"/>
                <w:sz w:val="24"/>
              </w:rPr>
              <w:t>of</w:t>
            </w:r>
            <w:r w:rsidRPr="00F54559">
              <w:rPr>
                <w:rFonts w:eastAsia="Franklin Gothic Book" w:cstheme="minorHAnsi"/>
                <w:spacing w:val="-8"/>
                <w:sz w:val="24"/>
              </w:rPr>
              <w:t xml:space="preserve"> </w:t>
            </w:r>
            <w:r w:rsidRPr="00F54559">
              <w:rPr>
                <w:rFonts w:eastAsia="Franklin Gothic Book" w:cstheme="minorHAnsi"/>
                <w:sz w:val="24"/>
              </w:rPr>
              <w:t>inv</w:t>
            </w:r>
            <w:r w:rsidRPr="00F54559">
              <w:rPr>
                <w:rFonts w:eastAsia="Franklin Gothic Book" w:cstheme="minorHAnsi"/>
                <w:spacing w:val="-2"/>
                <w:sz w:val="24"/>
              </w:rPr>
              <w:t>e</w:t>
            </w:r>
            <w:r w:rsidRPr="00F54559">
              <w:rPr>
                <w:rFonts w:eastAsia="Franklin Gothic Book" w:cstheme="minorHAnsi"/>
                <w:spacing w:val="1"/>
                <w:sz w:val="24"/>
              </w:rPr>
              <w:t>s</w:t>
            </w:r>
            <w:r w:rsidRPr="00F54559">
              <w:rPr>
                <w:rFonts w:eastAsia="Franklin Gothic Book" w:cstheme="minorHAnsi"/>
                <w:sz w:val="24"/>
              </w:rPr>
              <w:t>tment</w:t>
            </w:r>
            <w:r w:rsidRPr="00F54559">
              <w:rPr>
                <w:rFonts w:eastAsia="Franklin Gothic Book" w:cstheme="minorHAnsi"/>
                <w:spacing w:val="-8"/>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enses</w:t>
            </w:r>
            <w:r>
              <w:rPr>
                <w:rFonts w:eastAsia="Franklin Gothic Book" w:cstheme="minorHAnsi"/>
                <w:sz w:val="24"/>
              </w:rPr>
              <w:t>, compounded annually</w:t>
            </w:r>
          </w:p>
          <w:p w14:paraId="75CB9978" w14:textId="77777777" w:rsidR="00051D7E" w:rsidRPr="00F54559" w:rsidRDefault="00051D7E" w:rsidP="007531FB">
            <w:pPr>
              <w:widowControl w:val="0"/>
              <w:rPr>
                <w:rFonts w:eastAsia="Franklin Gothic Book" w:cstheme="minorHAnsi"/>
                <w:color w:val="FF0000"/>
                <w:sz w:val="24"/>
              </w:rPr>
            </w:pPr>
            <w:r w:rsidRPr="00F54559">
              <w:rPr>
                <w:rFonts w:eastAsia="Franklin Gothic Book" w:cstheme="minorHAnsi"/>
                <w:sz w:val="24"/>
              </w:rPr>
              <w:t>2014: 7.25%, net of investment expenses</w:t>
            </w:r>
            <w:r>
              <w:rPr>
                <w:rFonts w:eastAsia="Franklin Gothic Book" w:cstheme="minorHAnsi"/>
                <w:sz w:val="24"/>
              </w:rPr>
              <w:t>, compounded annually</w:t>
            </w:r>
          </w:p>
        </w:tc>
      </w:tr>
    </w:tbl>
    <w:p w14:paraId="678E10E5" w14:textId="12F128CF" w:rsidR="00051D7E" w:rsidRPr="00F54559" w:rsidRDefault="00D71835" w:rsidP="00051D7E">
      <w:pPr>
        <w:pStyle w:val="AFR4"/>
        <w:spacing w:after="240"/>
        <w:rPr>
          <w:rFonts w:cstheme="minorHAnsi"/>
          <w:bCs/>
          <w:color w:val="FF0000"/>
          <w:spacing w:val="-3"/>
        </w:rPr>
      </w:pPr>
      <w:r w:rsidRPr="00A74468">
        <w:rPr>
          <w:rFonts w:eastAsiaTheme="majorEastAsia" w:cstheme="minorHAnsi"/>
          <w:i/>
          <w:iCs/>
          <w:smallCaps/>
          <w:noProof/>
          <w:color w:val="000000" w:themeColor="text1"/>
          <w:sz w:val="26"/>
          <w:szCs w:val="26"/>
          <w:u w:color="5B9BD5"/>
        </w:rPr>
        <w:lastRenderedPageBreak/>
        <w:t>Defined Benefit Pension Plan – continued:</w:t>
      </w:r>
    </w:p>
    <w:tbl>
      <w:tblPr>
        <w:tblW w:w="9450" w:type="dxa"/>
        <w:tblLayout w:type="fixed"/>
        <w:tblLook w:val="04A0" w:firstRow="1" w:lastRow="0" w:firstColumn="1" w:lastColumn="0" w:noHBand="0" w:noVBand="1"/>
      </w:tblPr>
      <w:tblGrid>
        <w:gridCol w:w="2700"/>
        <w:gridCol w:w="900"/>
        <w:gridCol w:w="815"/>
        <w:gridCol w:w="818"/>
        <w:gridCol w:w="819"/>
        <w:gridCol w:w="818"/>
        <w:gridCol w:w="818"/>
        <w:gridCol w:w="818"/>
        <w:gridCol w:w="944"/>
      </w:tblGrid>
      <w:tr w:rsidR="00051D7E" w:rsidRPr="00FE01A8" w14:paraId="1CEEEC8D" w14:textId="77777777" w:rsidTr="007531FB">
        <w:trPr>
          <w:trHeight w:val="612"/>
          <w:tblHeader/>
        </w:trPr>
        <w:tc>
          <w:tcPr>
            <w:tcW w:w="2700" w:type="dxa"/>
            <w:tcBorders>
              <w:top w:val="nil"/>
              <w:left w:val="nil"/>
              <w:bottom w:val="single" w:sz="12" w:space="0" w:color="00688D"/>
              <w:right w:val="nil"/>
            </w:tcBorders>
            <w:shd w:val="clear" w:color="auto" w:fill="FFFFFF" w:themeFill="background1"/>
            <w:vAlign w:val="bottom"/>
            <w:hideMark/>
          </w:tcPr>
          <w:p w14:paraId="502B02BF" w14:textId="77777777" w:rsidR="00051D7E" w:rsidRPr="00FE01A8" w:rsidRDefault="00051D7E" w:rsidP="007531FB">
            <w:pPr>
              <w:rPr>
                <w:rFonts w:ascii="Calibri" w:eastAsia="Times New Roman" w:hAnsi="Calibri" w:cs="Calibri"/>
                <w:b/>
                <w:bCs/>
                <w:color w:val="0D0D0D"/>
              </w:rPr>
            </w:pPr>
            <w:r w:rsidRPr="00FE01A8">
              <w:rPr>
                <w:rFonts w:ascii="Calibri" w:eastAsia="Times New Roman" w:hAnsi="Calibri" w:cs="Calibri"/>
                <w:b/>
                <w:bCs/>
                <w:color w:val="0D0D0D"/>
              </w:rPr>
              <w:t>Investment Returns:</w:t>
            </w:r>
            <w:r w:rsidRPr="00FE01A8">
              <w:rPr>
                <w:rFonts w:ascii="Calibri" w:eastAsia="Times New Roman" w:hAnsi="Calibri" w:cs="Calibri"/>
                <w:b/>
                <w:bCs/>
                <w:color w:val="0D0D0D"/>
              </w:rPr>
              <w:br/>
              <w:t>Fiscal Year Ended June 30</w:t>
            </w:r>
          </w:p>
        </w:tc>
        <w:tc>
          <w:tcPr>
            <w:tcW w:w="900" w:type="dxa"/>
            <w:tcBorders>
              <w:top w:val="nil"/>
              <w:left w:val="nil"/>
              <w:bottom w:val="single" w:sz="12" w:space="0" w:color="00688D"/>
              <w:right w:val="nil"/>
            </w:tcBorders>
            <w:shd w:val="clear" w:color="auto" w:fill="F2F2F2" w:themeFill="background1" w:themeFillShade="F2"/>
            <w:vAlign w:val="bottom"/>
          </w:tcPr>
          <w:p w14:paraId="1D154643" w14:textId="77777777" w:rsidR="00051D7E" w:rsidRPr="00FE01A8" w:rsidRDefault="00051D7E" w:rsidP="007531FB">
            <w:pPr>
              <w:jc w:val="center"/>
              <w:rPr>
                <w:rFonts w:ascii="Calibri" w:eastAsia="Times New Roman" w:hAnsi="Calibri" w:cs="Calibri"/>
                <w:b/>
                <w:bCs/>
                <w:color w:val="0D0D0D"/>
              </w:rPr>
            </w:pPr>
            <w:r w:rsidRPr="00FE01A8">
              <w:rPr>
                <w:rFonts w:ascii="Calibri" w:eastAsia="Times New Roman" w:hAnsi="Calibri" w:cs="Calibri"/>
                <w:b/>
                <w:bCs/>
                <w:color w:val="0D0D0D"/>
              </w:rPr>
              <w:t>202</w:t>
            </w:r>
            <w:r>
              <w:rPr>
                <w:rFonts w:ascii="Calibri" w:eastAsia="Times New Roman" w:hAnsi="Calibri" w:cs="Calibri"/>
                <w:b/>
                <w:bCs/>
                <w:color w:val="0D0D0D"/>
              </w:rPr>
              <w:t>1</w:t>
            </w:r>
          </w:p>
        </w:tc>
        <w:tc>
          <w:tcPr>
            <w:tcW w:w="815" w:type="dxa"/>
            <w:tcBorders>
              <w:top w:val="nil"/>
              <w:left w:val="nil"/>
              <w:bottom w:val="single" w:sz="12" w:space="0" w:color="00688D"/>
              <w:right w:val="nil"/>
            </w:tcBorders>
            <w:shd w:val="clear" w:color="auto" w:fill="FFFFFF" w:themeFill="background1"/>
            <w:noWrap/>
            <w:vAlign w:val="bottom"/>
            <w:hideMark/>
          </w:tcPr>
          <w:p w14:paraId="543528E4" w14:textId="77777777" w:rsidR="00051D7E" w:rsidRPr="00FE01A8" w:rsidRDefault="00051D7E" w:rsidP="007531FB">
            <w:pPr>
              <w:jc w:val="center"/>
              <w:rPr>
                <w:rFonts w:ascii="Calibri" w:eastAsia="Times New Roman" w:hAnsi="Calibri" w:cs="Calibri"/>
                <w:b/>
                <w:bCs/>
                <w:color w:val="0D0D0D"/>
              </w:rPr>
            </w:pPr>
            <w:r w:rsidRPr="00FE01A8">
              <w:rPr>
                <w:rFonts w:ascii="Calibri" w:eastAsia="Times New Roman" w:hAnsi="Calibri" w:cs="Calibri"/>
                <w:b/>
                <w:bCs/>
                <w:color w:val="0D0D0D"/>
              </w:rPr>
              <w:t>2020</w:t>
            </w:r>
          </w:p>
        </w:tc>
        <w:tc>
          <w:tcPr>
            <w:tcW w:w="818" w:type="dxa"/>
            <w:tcBorders>
              <w:top w:val="nil"/>
              <w:left w:val="nil"/>
              <w:bottom w:val="single" w:sz="12" w:space="0" w:color="00688D"/>
              <w:right w:val="nil"/>
            </w:tcBorders>
            <w:shd w:val="clear" w:color="auto" w:fill="F2F2F2" w:themeFill="background1" w:themeFillShade="F2"/>
            <w:noWrap/>
            <w:vAlign w:val="bottom"/>
            <w:hideMark/>
          </w:tcPr>
          <w:p w14:paraId="166EA7A5" w14:textId="77777777" w:rsidR="00051D7E" w:rsidRPr="00FE01A8" w:rsidRDefault="00051D7E" w:rsidP="007531FB">
            <w:pPr>
              <w:jc w:val="center"/>
              <w:rPr>
                <w:rFonts w:ascii="Calibri" w:eastAsia="Times New Roman" w:hAnsi="Calibri" w:cs="Calibri"/>
                <w:b/>
                <w:bCs/>
                <w:color w:val="0D0D0D"/>
              </w:rPr>
            </w:pPr>
            <w:r w:rsidRPr="00FE01A8">
              <w:rPr>
                <w:rFonts w:ascii="Calibri" w:eastAsia="Times New Roman" w:hAnsi="Calibri" w:cs="Calibri"/>
                <w:b/>
                <w:bCs/>
                <w:color w:val="0D0D0D"/>
              </w:rPr>
              <w:t>2019</w:t>
            </w:r>
          </w:p>
        </w:tc>
        <w:tc>
          <w:tcPr>
            <w:tcW w:w="819" w:type="dxa"/>
            <w:tcBorders>
              <w:top w:val="nil"/>
              <w:left w:val="nil"/>
              <w:bottom w:val="single" w:sz="12" w:space="0" w:color="00688D"/>
              <w:right w:val="nil"/>
            </w:tcBorders>
            <w:shd w:val="clear" w:color="auto" w:fill="FFFFFF" w:themeFill="background1"/>
            <w:noWrap/>
            <w:vAlign w:val="bottom"/>
            <w:hideMark/>
          </w:tcPr>
          <w:p w14:paraId="2E221F3D" w14:textId="77777777" w:rsidR="00051D7E" w:rsidRPr="00FE01A8" w:rsidRDefault="00051D7E" w:rsidP="007531FB">
            <w:pPr>
              <w:jc w:val="center"/>
              <w:rPr>
                <w:rFonts w:ascii="Calibri" w:eastAsia="Times New Roman" w:hAnsi="Calibri" w:cs="Calibri"/>
                <w:b/>
                <w:bCs/>
                <w:color w:val="0D0D0D"/>
              </w:rPr>
            </w:pPr>
            <w:r w:rsidRPr="00FE01A8">
              <w:rPr>
                <w:rFonts w:ascii="Calibri" w:eastAsia="Times New Roman" w:hAnsi="Calibri" w:cs="Calibri"/>
                <w:b/>
                <w:bCs/>
                <w:color w:val="0D0D0D"/>
              </w:rPr>
              <w:t>2018</w:t>
            </w:r>
          </w:p>
        </w:tc>
        <w:tc>
          <w:tcPr>
            <w:tcW w:w="818" w:type="dxa"/>
            <w:tcBorders>
              <w:top w:val="nil"/>
              <w:left w:val="nil"/>
              <w:bottom w:val="single" w:sz="12" w:space="0" w:color="00688D"/>
              <w:right w:val="nil"/>
            </w:tcBorders>
            <w:shd w:val="clear" w:color="auto" w:fill="F2F2F2" w:themeFill="background1" w:themeFillShade="F2"/>
            <w:noWrap/>
            <w:vAlign w:val="bottom"/>
            <w:hideMark/>
          </w:tcPr>
          <w:p w14:paraId="6E1526C6" w14:textId="77777777" w:rsidR="00051D7E" w:rsidRPr="00FE01A8" w:rsidRDefault="00051D7E" w:rsidP="007531FB">
            <w:pPr>
              <w:jc w:val="center"/>
              <w:rPr>
                <w:rFonts w:ascii="Calibri" w:eastAsia="Times New Roman" w:hAnsi="Calibri" w:cs="Calibri"/>
                <w:b/>
                <w:bCs/>
                <w:color w:val="0D0D0D"/>
              </w:rPr>
            </w:pPr>
            <w:r w:rsidRPr="00FE01A8">
              <w:rPr>
                <w:rFonts w:ascii="Calibri" w:eastAsia="Times New Roman" w:hAnsi="Calibri" w:cs="Calibri"/>
                <w:b/>
                <w:bCs/>
                <w:color w:val="0D0D0D"/>
              </w:rPr>
              <w:t>2017</w:t>
            </w:r>
          </w:p>
        </w:tc>
        <w:tc>
          <w:tcPr>
            <w:tcW w:w="818" w:type="dxa"/>
            <w:tcBorders>
              <w:top w:val="nil"/>
              <w:left w:val="nil"/>
              <w:bottom w:val="single" w:sz="12" w:space="0" w:color="00688D"/>
              <w:right w:val="nil"/>
            </w:tcBorders>
            <w:shd w:val="clear" w:color="auto" w:fill="FFFFFF" w:themeFill="background1"/>
            <w:noWrap/>
            <w:vAlign w:val="bottom"/>
            <w:hideMark/>
          </w:tcPr>
          <w:p w14:paraId="3C7D5BF0" w14:textId="77777777" w:rsidR="00051D7E" w:rsidRPr="00FE01A8" w:rsidRDefault="00051D7E" w:rsidP="007531FB">
            <w:pPr>
              <w:jc w:val="center"/>
              <w:rPr>
                <w:rFonts w:ascii="Calibri" w:eastAsia="Times New Roman" w:hAnsi="Calibri" w:cs="Calibri"/>
                <w:b/>
                <w:bCs/>
                <w:color w:val="0D0D0D"/>
              </w:rPr>
            </w:pPr>
            <w:r w:rsidRPr="00FE01A8">
              <w:rPr>
                <w:rFonts w:ascii="Calibri" w:eastAsia="Times New Roman" w:hAnsi="Calibri" w:cs="Calibri"/>
                <w:b/>
                <w:bCs/>
                <w:color w:val="0D0D0D"/>
              </w:rPr>
              <w:t>2016</w:t>
            </w:r>
          </w:p>
        </w:tc>
        <w:tc>
          <w:tcPr>
            <w:tcW w:w="818" w:type="dxa"/>
            <w:tcBorders>
              <w:top w:val="nil"/>
              <w:left w:val="nil"/>
              <w:bottom w:val="single" w:sz="12" w:space="0" w:color="00688D"/>
              <w:right w:val="nil"/>
            </w:tcBorders>
            <w:shd w:val="clear" w:color="auto" w:fill="F2F2F2" w:themeFill="background1" w:themeFillShade="F2"/>
            <w:noWrap/>
            <w:vAlign w:val="bottom"/>
            <w:hideMark/>
          </w:tcPr>
          <w:p w14:paraId="303CD025" w14:textId="77777777" w:rsidR="00051D7E" w:rsidRPr="00FE01A8" w:rsidRDefault="00051D7E" w:rsidP="007531FB">
            <w:pPr>
              <w:jc w:val="center"/>
              <w:rPr>
                <w:rFonts w:ascii="Calibri" w:eastAsia="Times New Roman" w:hAnsi="Calibri" w:cs="Calibri"/>
                <w:b/>
                <w:bCs/>
                <w:color w:val="0D0D0D"/>
              </w:rPr>
            </w:pPr>
            <w:r w:rsidRPr="00FE01A8">
              <w:rPr>
                <w:rFonts w:ascii="Calibri" w:eastAsia="Times New Roman" w:hAnsi="Calibri" w:cs="Calibri"/>
                <w:b/>
                <w:bCs/>
                <w:color w:val="0D0D0D"/>
              </w:rPr>
              <w:t>2015</w:t>
            </w:r>
          </w:p>
        </w:tc>
        <w:tc>
          <w:tcPr>
            <w:tcW w:w="944" w:type="dxa"/>
            <w:tcBorders>
              <w:top w:val="nil"/>
              <w:left w:val="nil"/>
              <w:bottom w:val="single" w:sz="12" w:space="0" w:color="00688D"/>
              <w:right w:val="nil"/>
            </w:tcBorders>
            <w:shd w:val="clear" w:color="auto" w:fill="FFFFFF" w:themeFill="background1"/>
            <w:noWrap/>
            <w:vAlign w:val="bottom"/>
            <w:hideMark/>
          </w:tcPr>
          <w:p w14:paraId="2809D9A2" w14:textId="77777777" w:rsidR="00051D7E" w:rsidRPr="00FE01A8" w:rsidRDefault="00051D7E" w:rsidP="007531FB">
            <w:pPr>
              <w:jc w:val="center"/>
              <w:rPr>
                <w:rFonts w:ascii="Calibri" w:eastAsia="Times New Roman" w:hAnsi="Calibri" w:cs="Calibri"/>
                <w:b/>
                <w:bCs/>
                <w:color w:val="0D0D0D"/>
              </w:rPr>
            </w:pPr>
            <w:r w:rsidRPr="00FE01A8">
              <w:rPr>
                <w:rFonts w:ascii="Calibri" w:eastAsia="Times New Roman" w:hAnsi="Calibri" w:cs="Calibri"/>
                <w:b/>
                <w:bCs/>
                <w:color w:val="0D0D0D"/>
              </w:rPr>
              <w:t>2014</w:t>
            </w:r>
          </w:p>
        </w:tc>
      </w:tr>
      <w:tr w:rsidR="00051D7E" w:rsidRPr="00FE01A8" w14:paraId="477CA8AF" w14:textId="77777777" w:rsidTr="007531FB">
        <w:trPr>
          <w:trHeight w:val="612"/>
        </w:trPr>
        <w:tc>
          <w:tcPr>
            <w:tcW w:w="2700" w:type="dxa"/>
            <w:tcBorders>
              <w:top w:val="nil"/>
              <w:left w:val="nil"/>
              <w:bottom w:val="nil"/>
              <w:right w:val="nil"/>
            </w:tcBorders>
            <w:shd w:val="clear" w:color="auto" w:fill="FFFFFF" w:themeFill="background1"/>
            <w:vAlign w:val="bottom"/>
            <w:hideMark/>
          </w:tcPr>
          <w:p w14:paraId="14F5A8C1" w14:textId="77777777" w:rsidR="00051D7E" w:rsidRPr="00FE01A8" w:rsidRDefault="00051D7E" w:rsidP="007531FB">
            <w:pPr>
              <w:rPr>
                <w:rFonts w:ascii="Calibri" w:eastAsia="Times New Roman" w:hAnsi="Calibri" w:cs="Calibri"/>
                <w:color w:val="0D0D0D"/>
              </w:rPr>
            </w:pPr>
            <w:r w:rsidRPr="00FE01A8">
              <w:rPr>
                <w:rFonts w:ascii="Calibri" w:eastAsia="Times New Roman" w:hAnsi="Calibri" w:cs="Calibri"/>
                <w:color w:val="0D0D0D"/>
              </w:rPr>
              <w:t>Annual money-weighted rate of return, net of investment expenses</w:t>
            </w:r>
          </w:p>
        </w:tc>
        <w:tc>
          <w:tcPr>
            <w:tcW w:w="900" w:type="dxa"/>
            <w:tcBorders>
              <w:top w:val="single" w:sz="12" w:space="0" w:color="00688D"/>
              <w:left w:val="nil"/>
              <w:bottom w:val="nil"/>
              <w:right w:val="nil"/>
            </w:tcBorders>
            <w:shd w:val="clear" w:color="auto" w:fill="F2F2F2" w:themeFill="background1" w:themeFillShade="F2"/>
            <w:vAlign w:val="bottom"/>
          </w:tcPr>
          <w:p w14:paraId="2F57AB30" w14:textId="77777777" w:rsidR="00051D7E" w:rsidRPr="00FE01A8" w:rsidRDefault="00051D7E" w:rsidP="007531FB">
            <w:pPr>
              <w:rPr>
                <w:rFonts w:ascii="Calibri" w:eastAsia="Times New Roman" w:hAnsi="Calibri" w:cs="Calibri"/>
                <w:color w:val="0D0D0D"/>
              </w:rPr>
            </w:pPr>
            <w:r>
              <w:rPr>
                <w:rFonts w:ascii="Calibri" w:eastAsia="Times New Roman" w:hAnsi="Calibri" w:cs="Calibri"/>
                <w:color w:val="0D0D0D"/>
              </w:rPr>
              <w:t>15.86</w:t>
            </w:r>
            <w:r w:rsidRPr="00FE01A8">
              <w:rPr>
                <w:rFonts w:ascii="Calibri" w:eastAsia="Times New Roman" w:hAnsi="Calibri" w:cs="Calibri"/>
                <w:color w:val="0D0D0D"/>
              </w:rPr>
              <w:t>%</w:t>
            </w:r>
          </w:p>
        </w:tc>
        <w:tc>
          <w:tcPr>
            <w:tcW w:w="815" w:type="dxa"/>
            <w:tcBorders>
              <w:top w:val="nil"/>
              <w:left w:val="nil"/>
              <w:bottom w:val="nil"/>
              <w:right w:val="nil"/>
            </w:tcBorders>
            <w:shd w:val="clear" w:color="auto" w:fill="FFFFFF" w:themeFill="background1"/>
            <w:noWrap/>
            <w:vAlign w:val="bottom"/>
            <w:hideMark/>
          </w:tcPr>
          <w:p w14:paraId="514F1752" w14:textId="77777777" w:rsidR="00051D7E" w:rsidRPr="00FE01A8" w:rsidRDefault="00051D7E" w:rsidP="007531FB">
            <w:pPr>
              <w:jc w:val="center"/>
              <w:rPr>
                <w:rFonts w:ascii="Calibri" w:eastAsia="Times New Roman" w:hAnsi="Calibri" w:cs="Calibri"/>
                <w:color w:val="0D0D0D"/>
              </w:rPr>
            </w:pPr>
            <w:r w:rsidRPr="00FE01A8">
              <w:rPr>
                <w:rFonts w:ascii="Calibri" w:eastAsia="Times New Roman" w:hAnsi="Calibri" w:cs="Calibri"/>
                <w:color w:val="0D0D0D"/>
              </w:rPr>
              <w:t>4.48%</w:t>
            </w:r>
          </w:p>
        </w:tc>
        <w:tc>
          <w:tcPr>
            <w:tcW w:w="818" w:type="dxa"/>
            <w:tcBorders>
              <w:top w:val="nil"/>
              <w:left w:val="nil"/>
              <w:bottom w:val="nil"/>
              <w:right w:val="nil"/>
            </w:tcBorders>
            <w:shd w:val="clear" w:color="auto" w:fill="F2F2F2" w:themeFill="background1" w:themeFillShade="F2"/>
            <w:noWrap/>
            <w:vAlign w:val="bottom"/>
            <w:hideMark/>
          </w:tcPr>
          <w:p w14:paraId="623E782F" w14:textId="77777777" w:rsidR="00051D7E" w:rsidRPr="00FE01A8" w:rsidRDefault="00051D7E" w:rsidP="007531FB">
            <w:pPr>
              <w:jc w:val="center"/>
              <w:rPr>
                <w:rFonts w:ascii="Calibri" w:eastAsia="Times New Roman" w:hAnsi="Calibri" w:cs="Calibri"/>
                <w:color w:val="0D0D0D"/>
              </w:rPr>
            </w:pPr>
            <w:r w:rsidRPr="00FE01A8">
              <w:rPr>
                <w:rFonts w:ascii="Calibri" w:eastAsia="Times New Roman" w:hAnsi="Calibri" w:cs="Calibri"/>
                <w:color w:val="0D0D0D"/>
              </w:rPr>
              <w:t>4.03%</w:t>
            </w:r>
          </w:p>
        </w:tc>
        <w:tc>
          <w:tcPr>
            <w:tcW w:w="819" w:type="dxa"/>
            <w:tcBorders>
              <w:top w:val="nil"/>
              <w:left w:val="nil"/>
              <w:bottom w:val="nil"/>
              <w:right w:val="nil"/>
            </w:tcBorders>
            <w:shd w:val="clear" w:color="auto" w:fill="FFFFFF" w:themeFill="background1"/>
            <w:noWrap/>
            <w:vAlign w:val="bottom"/>
            <w:hideMark/>
          </w:tcPr>
          <w:p w14:paraId="11958349" w14:textId="77777777" w:rsidR="00051D7E" w:rsidRPr="00FE01A8" w:rsidRDefault="00051D7E" w:rsidP="007531FB">
            <w:pPr>
              <w:jc w:val="center"/>
              <w:rPr>
                <w:rFonts w:ascii="Calibri" w:eastAsia="Times New Roman" w:hAnsi="Calibri" w:cs="Calibri"/>
                <w:color w:val="0D0D0D"/>
              </w:rPr>
            </w:pPr>
            <w:r w:rsidRPr="00FE01A8">
              <w:rPr>
                <w:rFonts w:ascii="Calibri" w:eastAsia="Times New Roman" w:hAnsi="Calibri" w:cs="Calibri"/>
                <w:color w:val="0D0D0D"/>
              </w:rPr>
              <w:t>4.80%</w:t>
            </w:r>
          </w:p>
        </w:tc>
        <w:tc>
          <w:tcPr>
            <w:tcW w:w="818" w:type="dxa"/>
            <w:tcBorders>
              <w:top w:val="nil"/>
              <w:left w:val="nil"/>
              <w:bottom w:val="nil"/>
              <w:right w:val="nil"/>
            </w:tcBorders>
            <w:shd w:val="clear" w:color="auto" w:fill="F2F2F2" w:themeFill="background1" w:themeFillShade="F2"/>
            <w:noWrap/>
            <w:vAlign w:val="bottom"/>
            <w:hideMark/>
          </w:tcPr>
          <w:p w14:paraId="2FDA43B0" w14:textId="77777777" w:rsidR="00051D7E" w:rsidRPr="00FE01A8" w:rsidRDefault="00051D7E" w:rsidP="007531FB">
            <w:pPr>
              <w:jc w:val="center"/>
              <w:rPr>
                <w:rFonts w:ascii="Calibri" w:eastAsia="Times New Roman" w:hAnsi="Calibri" w:cs="Calibri"/>
                <w:color w:val="0D0D0D"/>
              </w:rPr>
            </w:pPr>
            <w:r w:rsidRPr="00FE01A8">
              <w:rPr>
                <w:rFonts w:ascii="Calibri" w:eastAsia="Times New Roman" w:hAnsi="Calibri" w:cs="Calibri"/>
                <w:color w:val="0D0D0D"/>
              </w:rPr>
              <w:t>7.04%</w:t>
            </w:r>
          </w:p>
        </w:tc>
        <w:tc>
          <w:tcPr>
            <w:tcW w:w="818" w:type="dxa"/>
            <w:tcBorders>
              <w:top w:val="nil"/>
              <w:left w:val="nil"/>
              <w:bottom w:val="nil"/>
              <w:right w:val="nil"/>
            </w:tcBorders>
            <w:shd w:val="clear" w:color="auto" w:fill="FFFFFF" w:themeFill="background1"/>
            <w:noWrap/>
            <w:vAlign w:val="bottom"/>
            <w:hideMark/>
          </w:tcPr>
          <w:p w14:paraId="63638B4E" w14:textId="77777777" w:rsidR="00051D7E" w:rsidRPr="00FE01A8" w:rsidRDefault="00051D7E" w:rsidP="007531FB">
            <w:pPr>
              <w:jc w:val="center"/>
              <w:rPr>
                <w:rFonts w:ascii="Calibri" w:eastAsia="Times New Roman" w:hAnsi="Calibri" w:cs="Calibri"/>
                <w:color w:val="0D0D0D"/>
              </w:rPr>
            </w:pPr>
            <w:r w:rsidRPr="00FE01A8">
              <w:rPr>
                <w:rFonts w:ascii="Calibri" w:eastAsia="Times New Roman" w:hAnsi="Calibri" w:cs="Calibri"/>
                <w:color w:val="0D0D0D"/>
              </w:rPr>
              <w:t>0.64%</w:t>
            </w:r>
          </w:p>
        </w:tc>
        <w:tc>
          <w:tcPr>
            <w:tcW w:w="818" w:type="dxa"/>
            <w:tcBorders>
              <w:top w:val="nil"/>
              <w:left w:val="nil"/>
              <w:bottom w:val="nil"/>
              <w:right w:val="nil"/>
            </w:tcBorders>
            <w:shd w:val="clear" w:color="auto" w:fill="F2F2F2" w:themeFill="background1" w:themeFillShade="F2"/>
            <w:noWrap/>
            <w:vAlign w:val="bottom"/>
            <w:hideMark/>
          </w:tcPr>
          <w:p w14:paraId="7CE41D67" w14:textId="77777777" w:rsidR="00051D7E" w:rsidRPr="00FE01A8" w:rsidRDefault="00051D7E" w:rsidP="007531FB">
            <w:pPr>
              <w:jc w:val="center"/>
              <w:rPr>
                <w:rFonts w:ascii="Calibri" w:eastAsia="Times New Roman" w:hAnsi="Calibri" w:cs="Calibri"/>
                <w:color w:val="0D0D0D"/>
              </w:rPr>
            </w:pPr>
            <w:r w:rsidRPr="00FE01A8">
              <w:rPr>
                <w:rFonts w:ascii="Calibri" w:eastAsia="Times New Roman" w:hAnsi="Calibri" w:cs="Calibri"/>
                <w:color w:val="0D0D0D"/>
              </w:rPr>
              <w:t>0.12%</w:t>
            </w:r>
          </w:p>
        </w:tc>
        <w:tc>
          <w:tcPr>
            <w:tcW w:w="944" w:type="dxa"/>
            <w:tcBorders>
              <w:top w:val="nil"/>
              <w:left w:val="nil"/>
              <w:bottom w:val="nil"/>
              <w:right w:val="nil"/>
            </w:tcBorders>
            <w:shd w:val="clear" w:color="auto" w:fill="FFFFFF" w:themeFill="background1"/>
            <w:noWrap/>
            <w:vAlign w:val="bottom"/>
            <w:hideMark/>
          </w:tcPr>
          <w:p w14:paraId="5648F21A" w14:textId="77777777" w:rsidR="00051D7E" w:rsidRPr="00FE01A8" w:rsidRDefault="00051D7E" w:rsidP="007531FB">
            <w:pPr>
              <w:jc w:val="center"/>
              <w:rPr>
                <w:rFonts w:ascii="Calibri" w:eastAsia="Times New Roman" w:hAnsi="Calibri" w:cs="Calibri"/>
                <w:color w:val="0D0D0D"/>
              </w:rPr>
            </w:pPr>
            <w:r w:rsidRPr="00FE01A8">
              <w:rPr>
                <w:rFonts w:ascii="Calibri" w:eastAsia="Times New Roman" w:hAnsi="Calibri" w:cs="Calibri"/>
                <w:color w:val="0D0D0D"/>
              </w:rPr>
              <w:t>14.27%</w:t>
            </w:r>
          </w:p>
        </w:tc>
      </w:tr>
    </w:tbl>
    <w:p w14:paraId="47F40D11" w14:textId="77777777" w:rsidR="00051D7E" w:rsidRPr="00F54559" w:rsidRDefault="00051D7E" w:rsidP="00051D7E">
      <w:pPr>
        <w:tabs>
          <w:tab w:val="left" w:pos="1440"/>
          <w:tab w:val="left" w:pos="7200"/>
        </w:tabs>
        <w:spacing w:before="240"/>
        <w:rPr>
          <w:rFonts w:eastAsia="Franklin Gothic Book" w:cstheme="minorHAnsi"/>
          <w:b/>
          <w:spacing w:val="1"/>
          <w:sz w:val="28"/>
          <w:szCs w:val="28"/>
        </w:rPr>
      </w:pPr>
      <w:r w:rsidRPr="00F54559">
        <w:rPr>
          <w:rFonts w:cstheme="minorHAnsi"/>
          <w:sz w:val="24"/>
          <w:szCs w:val="20"/>
        </w:rPr>
        <w:t>The money-weighted rate of return considers the changing amounts actually invested during a period and weights the amount of pension plan investments by the proportion of time they are available to earn a return during that period. The rate of return is then calculated by solving, through an iterative process, for the rate that equates the sum of the weighted external cash flows into and out of the pension plan investments to the ending fair value of pension plan investments.</w:t>
      </w:r>
      <w:r w:rsidRPr="00F54559">
        <w:rPr>
          <w:rFonts w:eastAsia="Franklin Gothic Book" w:cstheme="minorHAnsi"/>
          <w:b/>
          <w:spacing w:val="1"/>
          <w:sz w:val="28"/>
          <w:szCs w:val="28"/>
        </w:rPr>
        <w:br w:type="page"/>
      </w:r>
    </w:p>
    <w:p w14:paraId="78A61067" w14:textId="77777777" w:rsidR="00051D7E" w:rsidRPr="0023665A" w:rsidRDefault="00051D7E" w:rsidP="00051D7E">
      <w:pPr>
        <w:pStyle w:val="AFR2"/>
        <w:rPr>
          <w:b w:val="0"/>
          <w:i w:val="0"/>
          <w:iCs w:val="0"/>
          <w:smallCaps w:val="0"/>
          <w:sz w:val="26"/>
          <w:szCs w:val="26"/>
        </w:rPr>
      </w:pPr>
      <w:r w:rsidRPr="0023665A">
        <w:rPr>
          <w:sz w:val="26"/>
          <w:szCs w:val="26"/>
        </w:rPr>
        <w:lastRenderedPageBreak/>
        <w:t>OPEB Plan:</w:t>
      </w:r>
      <w:r w:rsidRPr="0023665A">
        <w:rPr>
          <w:b w:val="0"/>
          <w:i w:val="0"/>
          <w:iCs w:val="0"/>
          <w:smallCaps w:val="0"/>
          <w:sz w:val="26"/>
          <w:szCs w:val="26"/>
        </w:rPr>
        <w:t xml:space="preserve"> </w:t>
      </w:r>
    </w:p>
    <w:p w14:paraId="15D02759" w14:textId="228DBC04" w:rsidR="00051D7E" w:rsidRDefault="00D71835" w:rsidP="00E96223">
      <w:pPr>
        <w:pStyle w:val="AFR2"/>
        <w:pBdr>
          <w:bottom w:val="none" w:sz="0" w:space="0" w:color="auto"/>
        </w:pBdr>
      </w:pPr>
      <w:r w:rsidRPr="00E96223">
        <w:rPr>
          <w:b w:val="0"/>
          <w:i w:val="0"/>
        </w:rPr>
        <w:drawing>
          <wp:inline distT="0" distB="0" distL="0" distR="0" wp14:anchorId="31CB1D34" wp14:editId="628D8884">
            <wp:extent cx="5943600" cy="4242188"/>
            <wp:effectExtent l="0" t="0" r="0" b="6350"/>
            <wp:docPr id="79" name="Picture 79" descr="Changes in Net OPEB Liability and Related Ratios      &#10;Fiscal Year Ended June 30 2021 2020 2019 2018 2017 2016**&#10;Changes for the year:      &#10;Service cost  $6,964   $6,434   $6,583   $6,330   $6,174   $ &#10;Interest  15,725   14,769   15,354   14,482   15,567  &#10;Changes in benefit terms  (49,469)  (102)  -   -   (8,670) &#10;Differences between expected and actual experience   (8,908)  -   (30,871)  -   (17,138) &#10;Changes of assumptions  (8,539)  5,938   10,090   -   6,051  &#10;Benefit payments  (6,992)  (8,194)  (9,425)  (9,454)  (10,364) &#10;Net change in total OPEB liability  (51,219)  18,845   (8,269)  11,358   (8,380) &#10;Total OPEB liability – beginning   213,431   194,586   202,855   191,497   199,877  &#10;Total OPEB liability – ending (a)  162,212   213,431   194,586   202,855   191,497   199,877 &#10;Contributions – employer  12,473   12,694   11,868   11,942   16,146  &#10;Net investment income  37,389   1,561   3,546   7,979   11,565  &#10;Benefit payments  (6,992)  (8,194)  (9,425)  (9,454)  (10,364) &#10;Net change in plan fiduciary net position  42,870   6,061   5,989   10,467   17,347  &#10;Fiduciary net position – beginning   137,400   131,339   125,350   114,883   97,536  &#10;Fiduciary net position – ending (b)  180,270   137,400   131,339   125,350   114,883   97,536 &#10;Net OPEB liability (asset) – ending (a)-(b)  $(18,058)  $76,031   $63,247   $77,505   $76,614   $102,341 &#10;Plan fiduciary net position as a percentage of the total OPEB liability (asset) 111.13% 64.38% 67.50% 61.79% 59.99% 48.80%&#10;Covered payroll  $258,827   $241,501   $237,125   $220,849   $214,956  &#10;Net OPEB liability (asset) as a percentage of covered payroll -6.98% 31.48% 26.67% 35.09% 35.64% &#10;** Detailed information regarding the change in the total OPEB liability for FY16 has not been presented as that information was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4242188"/>
                    </a:xfrm>
                    <a:prstGeom prst="rect">
                      <a:avLst/>
                    </a:prstGeom>
                    <a:noFill/>
                    <a:ln>
                      <a:noFill/>
                    </a:ln>
                  </pic:spPr>
                </pic:pic>
              </a:graphicData>
            </a:graphic>
          </wp:inline>
        </w:drawing>
      </w:r>
    </w:p>
    <w:p w14:paraId="6D823268" w14:textId="77777777" w:rsidR="00051D7E" w:rsidRPr="001A18A6" w:rsidRDefault="00051D7E" w:rsidP="00051D7E">
      <w:pPr>
        <w:spacing w:before="120" w:line="259" w:lineRule="auto"/>
        <w:jc w:val="center"/>
        <w:rPr>
          <w:rFonts w:cstheme="minorHAnsi"/>
          <w:b/>
          <w:sz w:val="12"/>
          <w:szCs w:val="28"/>
        </w:rPr>
      </w:pPr>
      <w:r w:rsidRPr="003B0D41">
        <w:rPr>
          <w:rFonts w:ascii="Calibri" w:eastAsia="Times New Roman" w:hAnsi="Calibri" w:cs="Calibri"/>
          <w:b/>
          <w:bCs/>
          <w:color w:val="0D0D0D"/>
        </w:rPr>
        <w:t>Schedule of Employer Contributions</w:t>
      </w:r>
    </w:p>
    <w:tbl>
      <w:tblPr>
        <w:tblW w:w="9393" w:type="dxa"/>
        <w:tblLook w:val="04A0" w:firstRow="1" w:lastRow="0" w:firstColumn="1" w:lastColumn="0" w:noHBand="0" w:noVBand="1"/>
      </w:tblPr>
      <w:tblGrid>
        <w:gridCol w:w="4412"/>
        <w:gridCol w:w="997"/>
        <w:gridCol w:w="996"/>
        <w:gridCol w:w="996"/>
        <w:gridCol w:w="996"/>
        <w:gridCol w:w="996"/>
      </w:tblGrid>
      <w:tr w:rsidR="00051D7E" w:rsidRPr="003B0D41" w14:paraId="41414BA9" w14:textId="77777777" w:rsidTr="007531FB">
        <w:trPr>
          <w:trHeight w:val="336"/>
          <w:tblHeader/>
        </w:trPr>
        <w:tc>
          <w:tcPr>
            <w:tcW w:w="4320" w:type="dxa"/>
            <w:tcBorders>
              <w:top w:val="nil"/>
              <w:left w:val="nil"/>
              <w:bottom w:val="single" w:sz="8" w:space="0" w:color="00688D"/>
              <w:right w:val="nil"/>
            </w:tcBorders>
            <w:shd w:val="clear" w:color="000000" w:fill="FFFFFF"/>
            <w:vAlign w:val="center"/>
            <w:hideMark/>
          </w:tcPr>
          <w:p w14:paraId="36D4BF03" w14:textId="77777777" w:rsidR="00051D7E" w:rsidRPr="00D02584" w:rsidRDefault="00051D7E" w:rsidP="007531FB">
            <w:pP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Fiscal Year Ended June 30</w:t>
            </w:r>
          </w:p>
        </w:tc>
        <w:tc>
          <w:tcPr>
            <w:tcW w:w="0" w:type="dxa"/>
            <w:tcBorders>
              <w:top w:val="nil"/>
              <w:left w:val="nil"/>
              <w:bottom w:val="single" w:sz="8" w:space="0" w:color="00688D"/>
              <w:right w:val="nil"/>
            </w:tcBorders>
            <w:shd w:val="clear" w:color="auto" w:fill="D9D9D9" w:themeFill="background1" w:themeFillShade="D9"/>
            <w:noWrap/>
            <w:vAlign w:val="bottom"/>
            <w:hideMark/>
          </w:tcPr>
          <w:p w14:paraId="1AB09A0D" w14:textId="77777777" w:rsidR="00051D7E" w:rsidRPr="00D02584" w:rsidRDefault="00051D7E" w:rsidP="007531FB">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2021</w:t>
            </w:r>
          </w:p>
        </w:tc>
        <w:tc>
          <w:tcPr>
            <w:tcW w:w="432" w:type="dxa"/>
            <w:tcBorders>
              <w:top w:val="nil"/>
              <w:left w:val="nil"/>
              <w:bottom w:val="single" w:sz="8" w:space="0" w:color="00688D"/>
              <w:right w:val="nil"/>
            </w:tcBorders>
            <w:shd w:val="clear" w:color="auto" w:fill="auto"/>
            <w:vAlign w:val="bottom"/>
          </w:tcPr>
          <w:p w14:paraId="0412B4E6" w14:textId="77777777" w:rsidR="00051D7E" w:rsidRPr="00D02584" w:rsidRDefault="00051D7E" w:rsidP="007531FB">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2020</w:t>
            </w:r>
          </w:p>
        </w:tc>
        <w:tc>
          <w:tcPr>
            <w:tcW w:w="432" w:type="dxa"/>
            <w:tcBorders>
              <w:top w:val="nil"/>
              <w:left w:val="nil"/>
              <w:bottom w:val="single" w:sz="8" w:space="0" w:color="00688D"/>
              <w:right w:val="nil"/>
            </w:tcBorders>
            <w:shd w:val="clear" w:color="auto" w:fill="D9D9D9" w:themeFill="background1" w:themeFillShade="D9"/>
            <w:noWrap/>
            <w:vAlign w:val="bottom"/>
            <w:hideMark/>
          </w:tcPr>
          <w:p w14:paraId="5CB29CAA" w14:textId="77777777" w:rsidR="00051D7E" w:rsidRPr="00D02584" w:rsidRDefault="00051D7E" w:rsidP="007531FB">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2019</w:t>
            </w:r>
          </w:p>
        </w:tc>
        <w:tc>
          <w:tcPr>
            <w:tcW w:w="432" w:type="dxa"/>
            <w:tcBorders>
              <w:top w:val="nil"/>
              <w:left w:val="nil"/>
              <w:bottom w:val="single" w:sz="8" w:space="0" w:color="00688D"/>
              <w:right w:val="nil"/>
            </w:tcBorders>
            <w:shd w:val="clear" w:color="000000" w:fill="FFFFFF"/>
            <w:noWrap/>
            <w:vAlign w:val="bottom"/>
            <w:hideMark/>
          </w:tcPr>
          <w:p w14:paraId="4B31200A" w14:textId="77777777" w:rsidR="00051D7E" w:rsidRPr="00D02584" w:rsidRDefault="00051D7E" w:rsidP="007531FB">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2018</w:t>
            </w:r>
          </w:p>
        </w:tc>
        <w:tc>
          <w:tcPr>
            <w:tcW w:w="432" w:type="dxa"/>
            <w:tcBorders>
              <w:top w:val="nil"/>
              <w:left w:val="nil"/>
              <w:bottom w:val="single" w:sz="8" w:space="0" w:color="00688D"/>
              <w:right w:val="nil"/>
            </w:tcBorders>
            <w:shd w:val="clear" w:color="auto" w:fill="D9D9D9" w:themeFill="background1" w:themeFillShade="D9"/>
            <w:noWrap/>
            <w:vAlign w:val="bottom"/>
            <w:hideMark/>
          </w:tcPr>
          <w:p w14:paraId="36A70A42" w14:textId="77777777" w:rsidR="00051D7E" w:rsidRPr="00D02584" w:rsidRDefault="00051D7E" w:rsidP="007531FB">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2017</w:t>
            </w:r>
          </w:p>
        </w:tc>
      </w:tr>
      <w:tr w:rsidR="00051D7E" w:rsidRPr="003B0D41" w14:paraId="544B204E" w14:textId="77777777" w:rsidTr="007531FB">
        <w:trPr>
          <w:trHeight w:val="312"/>
        </w:trPr>
        <w:tc>
          <w:tcPr>
            <w:tcW w:w="4320" w:type="dxa"/>
            <w:tcBorders>
              <w:top w:val="nil"/>
              <w:left w:val="nil"/>
              <w:bottom w:val="nil"/>
              <w:right w:val="nil"/>
            </w:tcBorders>
            <w:shd w:val="clear" w:color="000000" w:fill="FFFFFF"/>
            <w:vAlign w:val="center"/>
            <w:hideMark/>
          </w:tcPr>
          <w:p w14:paraId="01006964" w14:textId="77777777" w:rsidR="00051D7E" w:rsidRPr="00D02584" w:rsidRDefault="00051D7E" w:rsidP="007531FB">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Actuarially determined contribution</w:t>
            </w:r>
          </w:p>
        </w:tc>
        <w:tc>
          <w:tcPr>
            <w:tcW w:w="0" w:type="dxa"/>
            <w:tcBorders>
              <w:top w:val="nil"/>
              <w:left w:val="nil"/>
              <w:bottom w:val="nil"/>
              <w:right w:val="nil"/>
            </w:tcBorders>
            <w:shd w:val="clear" w:color="auto" w:fill="D9D9D9" w:themeFill="background1" w:themeFillShade="D9"/>
            <w:noWrap/>
            <w:vAlign w:val="bottom"/>
            <w:hideMark/>
          </w:tcPr>
          <w:p w14:paraId="07D7D063"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13,564</w:t>
            </w:r>
          </w:p>
        </w:tc>
        <w:tc>
          <w:tcPr>
            <w:tcW w:w="432" w:type="dxa"/>
            <w:tcBorders>
              <w:top w:val="nil"/>
              <w:left w:val="nil"/>
              <w:bottom w:val="nil"/>
              <w:right w:val="nil"/>
            </w:tcBorders>
            <w:shd w:val="clear" w:color="auto" w:fill="auto"/>
            <w:vAlign w:val="bottom"/>
          </w:tcPr>
          <w:p w14:paraId="7D621C23"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11,942</w:t>
            </w:r>
          </w:p>
        </w:tc>
        <w:tc>
          <w:tcPr>
            <w:tcW w:w="432" w:type="dxa"/>
            <w:tcBorders>
              <w:top w:val="nil"/>
              <w:left w:val="nil"/>
              <w:bottom w:val="nil"/>
              <w:right w:val="nil"/>
            </w:tcBorders>
            <w:shd w:val="clear" w:color="auto" w:fill="D9D9D9" w:themeFill="background1" w:themeFillShade="D9"/>
            <w:noWrap/>
            <w:vAlign w:val="bottom"/>
            <w:hideMark/>
          </w:tcPr>
          <w:p w14:paraId="37DE5C92"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13,216</w:t>
            </w:r>
          </w:p>
        </w:tc>
        <w:tc>
          <w:tcPr>
            <w:tcW w:w="432" w:type="dxa"/>
            <w:tcBorders>
              <w:top w:val="nil"/>
              <w:left w:val="nil"/>
              <w:bottom w:val="nil"/>
              <w:right w:val="nil"/>
            </w:tcBorders>
            <w:shd w:val="clear" w:color="000000" w:fill="FFFFFF"/>
            <w:noWrap/>
            <w:vAlign w:val="bottom"/>
            <w:hideMark/>
          </w:tcPr>
          <w:p w14:paraId="689213D8"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$ 12,819</w:t>
            </w:r>
          </w:p>
        </w:tc>
        <w:tc>
          <w:tcPr>
            <w:tcW w:w="432" w:type="dxa"/>
            <w:tcBorders>
              <w:top w:val="nil"/>
              <w:left w:val="nil"/>
              <w:bottom w:val="nil"/>
              <w:right w:val="nil"/>
            </w:tcBorders>
            <w:shd w:val="clear" w:color="auto" w:fill="D9D9D9" w:themeFill="background1" w:themeFillShade="D9"/>
            <w:noWrap/>
            <w:vAlign w:val="bottom"/>
            <w:hideMark/>
          </w:tcPr>
          <w:p w14:paraId="47103842"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14,970</w:t>
            </w:r>
          </w:p>
        </w:tc>
      </w:tr>
      <w:tr w:rsidR="00051D7E" w:rsidRPr="003B0D41" w14:paraId="5DE71EC7" w14:textId="77777777" w:rsidTr="007531FB">
        <w:trPr>
          <w:trHeight w:val="576"/>
        </w:trPr>
        <w:tc>
          <w:tcPr>
            <w:tcW w:w="4320" w:type="dxa"/>
            <w:tcBorders>
              <w:top w:val="nil"/>
              <w:left w:val="nil"/>
              <w:bottom w:val="nil"/>
              <w:right w:val="nil"/>
            </w:tcBorders>
            <w:shd w:val="clear" w:color="000000" w:fill="FFFFFF"/>
            <w:vAlign w:val="center"/>
            <w:hideMark/>
          </w:tcPr>
          <w:p w14:paraId="6123327E" w14:textId="77777777" w:rsidR="00051D7E" w:rsidRPr="00D02584" w:rsidRDefault="00051D7E" w:rsidP="007531FB">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Contributions in relation to the actuarially determined contribution</w:t>
            </w:r>
          </w:p>
        </w:tc>
        <w:tc>
          <w:tcPr>
            <w:tcW w:w="0" w:type="dxa"/>
            <w:tcBorders>
              <w:top w:val="nil"/>
              <w:left w:val="nil"/>
              <w:bottom w:val="nil"/>
              <w:right w:val="nil"/>
            </w:tcBorders>
            <w:shd w:val="clear" w:color="auto" w:fill="D9D9D9" w:themeFill="background1" w:themeFillShade="D9"/>
            <w:noWrap/>
            <w:vAlign w:val="bottom"/>
            <w:hideMark/>
          </w:tcPr>
          <w:p w14:paraId="1E54E3AB"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12,473</w:t>
            </w:r>
          </w:p>
        </w:tc>
        <w:tc>
          <w:tcPr>
            <w:tcW w:w="432" w:type="dxa"/>
            <w:tcBorders>
              <w:top w:val="nil"/>
              <w:left w:val="nil"/>
              <w:bottom w:val="nil"/>
              <w:right w:val="nil"/>
            </w:tcBorders>
            <w:shd w:val="clear" w:color="auto" w:fill="auto"/>
            <w:vAlign w:val="bottom"/>
          </w:tcPr>
          <w:p w14:paraId="39AECD12"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12,694</w:t>
            </w:r>
          </w:p>
        </w:tc>
        <w:tc>
          <w:tcPr>
            <w:tcW w:w="432" w:type="dxa"/>
            <w:tcBorders>
              <w:top w:val="nil"/>
              <w:left w:val="nil"/>
              <w:bottom w:val="nil"/>
              <w:right w:val="nil"/>
            </w:tcBorders>
            <w:shd w:val="clear" w:color="auto" w:fill="D9D9D9" w:themeFill="background1" w:themeFillShade="D9"/>
            <w:noWrap/>
            <w:vAlign w:val="bottom"/>
            <w:hideMark/>
          </w:tcPr>
          <w:p w14:paraId="01FDFCFD"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11,868</w:t>
            </w:r>
          </w:p>
        </w:tc>
        <w:tc>
          <w:tcPr>
            <w:tcW w:w="432" w:type="dxa"/>
            <w:tcBorders>
              <w:top w:val="nil"/>
              <w:left w:val="nil"/>
              <w:bottom w:val="nil"/>
              <w:right w:val="nil"/>
            </w:tcBorders>
            <w:shd w:val="clear" w:color="auto" w:fill="auto"/>
            <w:noWrap/>
            <w:vAlign w:val="bottom"/>
            <w:hideMark/>
          </w:tcPr>
          <w:p w14:paraId="07DF3A66"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11,942</w:t>
            </w:r>
          </w:p>
        </w:tc>
        <w:tc>
          <w:tcPr>
            <w:tcW w:w="432" w:type="dxa"/>
            <w:tcBorders>
              <w:top w:val="nil"/>
              <w:left w:val="nil"/>
              <w:bottom w:val="nil"/>
              <w:right w:val="nil"/>
            </w:tcBorders>
            <w:shd w:val="clear" w:color="auto" w:fill="D9D9D9" w:themeFill="background1" w:themeFillShade="D9"/>
            <w:noWrap/>
            <w:vAlign w:val="bottom"/>
            <w:hideMark/>
          </w:tcPr>
          <w:p w14:paraId="19D00F49"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16,146</w:t>
            </w:r>
          </w:p>
        </w:tc>
      </w:tr>
      <w:tr w:rsidR="00051D7E" w:rsidRPr="003B0D41" w14:paraId="2D0FC52F" w14:textId="77777777" w:rsidTr="007531FB">
        <w:trPr>
          <w:trHeight w:val="375"/>
        </w:trPr>
        <w:tc>
          <w:tcPr>
            <w:tcW w:w="4320" w:type="dxa"/>
            <w:tcBorders>
              <w:top w:val="single" w:sz="4" w:space="0" w:color="00688D"/>
              <w:left w:val="nil"/>
              <w:bottom w:val="double" w:sz="6" w:space="0" w:color="00688D"/>
              <w:right w:val="nil"/>
            </w:tcBorders>
            <w:shd w:val="clear" w:color="000000" w:fill="FFFFFF"/>
            <w:vAlign w:val="bottom"/>
            <w:hideMark/>
          </w:tcPr>
          <w:p w14:paraId="06949CE3" w14:textId="77777777" w:rsidR="00051D7E" w:rsidRPr="00D02584" w:rsidRDefault="00051D7E" w:rsidP="007531FB">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Contribution deficiency (excess)</w:t>
            </w:r>
          </w:p>
        </w:tc>
        <w:tc>
          <w:tcPr>
            <w:tcW w:w="0"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0E537182"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1,091</w:t>
            </w:r>
          </w:p>
        </w:tc>
        <w:tc>
          <w:tcPr>
            <w:tcW w:w="432" w:type="dxa"/>
            <w:tcBorders>
              <w:top w:val="single" w:sz="4" w:space="0" w:color="00688D"/>
              <w:left w:val="nil"/>
              <w:bottom w:val="double" w:sz="6" w:space="0" w:color="00688D"/>
              <w:right w:val="nil"/>
            </w:tcBorders>
            <w:shd w:val="clear" w:color="auto" w:fill="auto"/>
            <w:vAlign w:val="bottom"/>
          </w:tcPr>
          <w:p w14:paraId="32362ED1"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(752)</w:t>
            </w:r>
          </w:p>
        </w:tc>
        <w:tc>
          <w:tcPr>
            <w:tcW w:w="432"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63AED04E"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1,348</w:t>
            </w:r>
          </w:p>
        </w:tc>
        <w:tc>
          <w:tcPr>
            <w:tcW w:w="432" w:type="dxa"/>
            <w:tcBorders>
              <w:top w:val="single" w:sz="4" w:space="0" w:color="00688D"/>
              <w:left w:val="nil"/>
              <w:bottom w:val="double" w:sz="6" w:space="0" w:color="00688D"/>
              <w:right w:val="nil"/>
            </w:tcBorders>
            <w:shd w:val="clear" w:color="auto" w:fill="auto"/>
            <w:noWrap/>
            <w:vAlign w:val="bottom"/>
            <w:hideMark/>
          </w:tcPr>
          <w:p w14:paraId="447A2C02"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877</w:t>
            </w:r>
          </w:p>
        </w:tc>
        <w:tc>
          <w:tcPr>
            <w:tcW w:w="432"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1DF7233E"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(1,176)</w:t>
            </w:r>
          </w:p>
        </w:tc>
      </w:tr>
      <w:tr w:rsidR="00051D7E" w:rsidRPr="003B0D41" w14:paraId="2898378F" w14:textId="77777777" w:rsidTr="007531FB">
        <w:trPr>
          <w:trHeight w:val="324"/>
        </w:trPr>
        <w:tc>
          <w:tcPr>
            <w:tcW w:w="4320" w:type="dxa"/>
            <w:tcBorders>
              <w:top w:val="nil"/>
              <w:left w:val="nil"/>
              <w:bottom w:val="nil"/>
              <w:right w:val="nil"/>
            </w:tcBorders>
            <w:shd w:val="clear" w:color="000000" w:fill="FFFFFF"/>
            <w:vAlign w:val="bottom"/>
            <w:hideMark/>
          </w:tcPr>
          <w:p w14:paraId="510C76BD" w14:textId="77777777" w:rsidR="00051D7E" w:rsidRPr="00D02584" w:rsidRDefault="00051D7E" w:rsidP="007531FB">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Covered payroll</w:t>
            </w:r>
          </w:p>
        </w:tc>
        <w:tc>
          <w:tcPr>
            <w:tcW w:w="0" w:type="dxa"/>
            <w:tcBorders>
              <w:top w:val="nil"/>
              <w:left w:val="nil"/>
              <w:bottom w:val="nil"/>
              <w:right w:val="nil"/>
            </w:tcBorders>
            <w:shd w:val="clear" w:color="auto" w:fill="D9D9D9" w:themeFill="background1" w:themeFillShade="D9"/>
            <w:noWrap/>
            <w:vAlign w:val="bottom"/>
            <w:hideMark/>
          </w:tcPr>
          <w:p w14:paraId="66340241"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$258,827</w:t>
            </w:r>
          </w:p>
        </w:tc>
        <w:tc>
          <w:tcPr>
            <w:tcW w:w="432" w:type="dxa"/>
            <w:tcBorders>
              <w:top w:val="nil"/>
              <w:left w:val="nil"/>
              <w:bottom w:val="nil"/>
              <w:right w:val="nil"/>
            </w:tcBorders>
            <w:shd w:val="clear" w:color="auto" w:fill="auto"/>
            <w:vAlign w:val="bottom"/>
          </w:tcPr>
          <w:p w14:paraId="74477065"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$241,501</w:t>
            </w:r>
          </w:p>
        </w:tc>
        <w:tc>
          <w:tcPr>
            <w:tcW w:w="432" w:type="dxa"/>
            <w:tcBorders>
              <w:top w:val="nil"/>
              <w:left w:val="nil"/>
              <w:bottom w:val="nil"/>
              <w:right w:val="nil"/>
            </w:tcBorders>
            <w:shd w:val="clear" w:color="auto" w:fill="D9D9D9" w:themeFill="background1" w:themeFillShade="D9"/>
            <w:noWrap/>
            <w:vAlign w:val="bottom"/>
            <w:hideMark/>
          </w:tcPr>
          <w:p w14:paraId="73AFCB66"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$237,125</w:t>
            </w:r>
          </w:p>
        </w:tc>
        <w:tc>
          <w:tcPr>
            <w:tcW w:w="432" w:type="dxa"/>
            <w:tcBorders>
              <w:top w:val="nil"/>
              <w:left w:val="nil"/>
              <w:bottom w:val="nil"/>
              <w:right w:val="nil"/>
            </w:tcBorders>
            <w:shd w:val="clear" w:color="auto" w:fill="auto"/>
            <w:noWrap/>
            <w:vAlign w:val="bottom"/>
            <w:hideMark/>
          </w:tcPr>
          <w:p w14:paraId="3A1AF9DF"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$220,849</w:t>
            </w:r>
          </w:p>
        </w:tc>
        <w:tc>
          <w:tcPr>
            <w:tcW w:w="432" w:type="dxa"/>
            <w:tcBorders>
              <w:top w:val="nil"/>
              <w:left w:val="nil"/>
              <w:bottom w:val="nil"/>
              <w:right w:val="nil"/>
            </w:tcBorders>
            <w:shd w:val="clear" w:color="auto" w:fill="D9D9D9" w:themeFill="background1" w:themeFillShade="D9"/>
            <w:noWrap/>
            <w:vAlign w:val="bottom"/>
            <w:hideMark/>
          </w:tcPr>
          <w:p w14:paraId="37F0B68E"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$214,956</w:t>
            </w:r>
          </w:p>
        </w:tc>
      </w:tr>
      <w:tr w:rsidR="00051D7E" w:rsidRPr="003B0D41" w14:paraId="0C12176D" w14:textId="77777777" w:rsidTr="007531FB">
        <w:trPr>
          <w:trHeight w:val="312"/>
        </w:trPr>
        <w:tc>
          <w:tcPr>
            <w:tcW w:w="4320" w:type="dxa"/>
            <w:tcBorders>
              <w:top w:val="nil"/>
              <w:left w:val="nil"/>
              <w:bottom w:val="single" w:sz="4" w:space="0" w:color="00688D"/>
              <w:right w:val="nil"/>
            </w:tcBorders>
            <w:shd w:val="clear" w:color="000000" w:fill="FFFFFF"/>
            <w:vAlign w:val="center"/>
            <w:hideMark/>
          </w:tcPr>
          <w:p w14:paraId="729837D9" w14:textId="77777777" w:rsidR="00051D7E" w:rsidRPr="00D02584" w:rsidRDefault="00051D7E" w:rsidP="007531FB">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Contributions as a percentage of covered payroll</w:t>
            </w:r>
          </w:p>
        </w:tc>
        <w:tc>
          <w:tcPr>
            <w:tcW w:w="0" w:type="dxa"/>
            <w:tcBorders>
              <w:top w:val="nil"/>
              <w:left w:val="nil"/>
              <w:bottom w:val="single" w:sz="4" w:space="0" w:color="00688D"/>
              <w:right w:val="nil"/>
            </w:tcBorders>
            <w:shd w:val="clear" w:color="auto" w:fill="D9D9D9" w:themeFill="background1" w:themeFillShade="D9"/>
            <w:noWrap/>
            <w:vAlign w:val="bottom"/>
            <w:hideMark/>
          </w:tcPr>
          <w:p w14:paraId="54A363EF"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4.82%</w:t>
            </w:r>
          </w:p>
        </w:tc>
        <w:tc>
          <w:tcPr>
            <w:tcW w:w="432" w:type="dxa"/>
            <w:tcBorders>
              <w:top w:val="nil"/>
              <w:left w:val="nil"/>
              <w:bottom w:val="single" w:sz="4" w:space="0" w:color="00688D"/>
              <w:right w:val="nil"/>
            </w:tcBorders>
            <w:shd w:val="clear" w:color="auto" w:fill="auto"/>
            <w:vAlign w:val="bottom"/>
          </w:tcPr>
          <w:p w14:paraId="1B3DBB71"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5.26%</w:t>
            </w:r>
          </w:p>
        </w:tc>
        <w:tc>
          <w:tcPr>
            <w:tcW w:w="432" w:type="dxa"/>
            <w:tcBorders>
              <w:top w:val="nil"/>
              <w:left w:val="nil"/>
              <w:bottom w:val="single" w:sz="4" w:space="0" w:color="00688D"/>
              <w:right w:val="nil"/>
            </w:tcBorders>
            <w:shd w:val="clear" w:color="auto" w:fill="D9D9D9" w:themeFill="background1" w:themeFillShade="D9"/>
            <w:noWrap/>
            <w:vAlign w:val="bottom"/>
            <w:hideMark/>
          </w:tcPr>
          <w:p w14:paraId="2A4C9BF1"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5.00%</w:t>
            </w:r>
          </w:p>
        </w:tc>
        <w:tc>
          <w:tcPr>
            <w:tcW w:w="432" w:type="dxa"/>
            <w:tcBorders>
              <w:top w:val="nil"/>
              <w:left w:val="nil"/>
              <w:bottom w:val="single" w:sz="4" w:space="0" w:color="00688D"/>
              <w:right w:val="nil"/>
            </w:tcBorders>
            <w:shd w:val="clear" w:color="000000" w:fill="FFFFFF"/>
            <w:noWrap/>
            <w:vAlign w:val="bottom"/>
            <w:hideMark/>
          </w:tcPr>
          <w:p w14:paraId="580747BD"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5.41%</w:t>
            </w:r>
          </w:p>
        </w:tc>
        <w:tc>
          <w:tcPr>
            <w:tcW w:w="432" w:type="dxa"/>
            <w:tcBorders>
              <w:top w:val="nil"/>
              <w:left w:val="nil"/>
              <w:bottom w:val="single" w:sz="4" w:space="0" w:color="00688D"/>
              <w:right w:val="nil"/>
            </w:tcBorders>
            <w:shd w:val="clear" w:color="auto" w:fill="D9D9D9" w:themeFill="background1" w:themeFillShade="D9"/>
            <w:noWrap/>
            <w:vAlign w:val="bottom"/>
            <w:hideMark/>
          </w:tcPr>
          <w:p w14:paraId="2A57F9AC" w14:textId="77777777" w:rsidR="00051D7E" w:rsidRPr="00D02584" w:rsidRDefault="00051D7E" w:rsidP="007531FB">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7.51%</w:t>
            </w:r>
          </w:p>
        </w:tc>
      </w:tr>
    </w:tbl>
    <w:p w14:paraId="737DD37D" w14:textId="77777777" w:rsidR="000D6B08" w:rsidRDefault="000D6B08" w:rsidP="00051D7E">
      <w:pPr>
        <w:pStyle w:val="AFR4"/>
        <w:spacing w:after="240"/>
        <w:rPr>
          <w:rFonts w:cstheme="minorHAnsi"/>
          <w:sz w:val="28"/>
          <w:szCs w:val="28"/>
        </w:rPr>
      </w:pPr>
      <w:r>
        <w:rPr>
          <w:rFonts w:cstheme="minorHAnsi"/>
          <w:sz w:val="28"/>
          <w:szCs w:val="28"/>
        </w:rPr>
        <w:br w:type="page"/>
      </w:r>
    </w:p>
    <w:p w14:paraId="1723AACB" w14:textId="7349DBB0" w:rsidR="00051D7E" w:rsidRPr="00FE714D" w:rsidRDefault="00051D7E" w:rsidP="00051D7E">
      <w:pPr>
        <w:pStyle w:val="AFR4"/>
        <w:spacing w:after="240"/>
        <w:rPr>
          <w:rFonts w:eastAsiaTheme="majorEastAsia" w:cstheme="minorHAnsi"/>
          <w:i/>
          <w:iCs/>
          <w:smallCaps/>
          <w:noProof/>
          <w:color w:val="000000" w:themeColor="text1"/>
          <w:sz w:val="26"/>
          <w:szCs w:val="26"/>
          <w:u w:val="none" w:color="5B9BD5"/>
        </w:rPr>
      </w:pPr>
      <w:r>
        <w:rPr>
          <w:rFonts w:cstheme="minorHAnsi"/>
          <w:sz w:val="28"/>
          <w:szCs w:val="28"/>
        </w:rPr>
        <w:lastRenderedPageBreak/>
        <w:fldChar w:fldCharType="begin"/>
      </w:r>
      <w:r>
        <w:rPr>
          <w:rFonts w:cstheme="minorHAnsi"/>
          <w:sz w:val="28"/>
          <w:szCs w:val="28"/>
        </w:rPr>
        <w:fldChar w:fldCharType="end"/>
      </w:r>
      <w:r w:rsidRPr="00A74468">
        <w:rPr>
          <w:rFonts w:eastAsiaTheme="majorEastAsia" w:cstheme="minorHAnsi"/>
          <w:i/>
          <w:iCs/>
          <w:smallCaps/>
          <w:noProof/>
          <w:color w:val="000000" w:themeColor="text1"/>
          <w:sz w:val="26"/>
          <w:szCs w:val="26"/>
          <w:u w:val="none" w:color="5B9BD5"/>
        </w:rPr>
        <w:t>OPEB Plan - continued:</w:t>
      </w:r>
    </w:p>
    <w:p w14:paraId="4E5BF839" w14:textId="77777777" w:rsidR="00051D7E" w:rsidRDefault="00051D7E" w:rsidP="00051D7E">
      <w:pPr>
        <w:pStyle w:val="Heading3"/>
        <w:rPr>
          <w:rFonts w:asciiTheme="minorHAnsi" w:hAnsiTheme="minorHAnsi" w:cstheme="minorHAnsi"/>
        </w:rPr>
      </w:pPr>
      <w:r w:rsidRPr="00F54559">
        <w:rPr>
          <w:rFonts w:asciiTheme="minorHAnsi" w:hAnsiTheme="minorHAnsi" w:cstheme="minorHAnsi"/>
        </w:rPr>
        <w:t>Notes</w:t>
      </w:r>
      <w:r w:rsidRPr="00F54559">
        <w:rPr>
          <w:rFonts w:asciiTheme="minorHAnsi" w:hAnsiTheme="minorHAnsi" w:cstheme="minorHAnsi"/>
          <w:spacing w:val="-1"/>
        </w:rPr>
        <w:t xml:space="preserve"> </w:t>
      </w:r>
      <w:r w:rsidRPr="00F54559">
        <w:rPr>
          <w:rFonts w:asciiTheme="minorHAnsi" w:hAnsiTheme="minorHAnsi" w:cstheme="minorHAnsi"/>
        </w:rPr>
        <w:t>to</w:t>
      </w:r>
      <w:r w:rsidRPr="00F54559">
        <w:rPr>
          <w:rFonts w:asciiTheme="minorHAnsi" w:hAnsiTheme="minorHAnsi" w:cstheme="minorHAnsi"/>
          <w:spacing w:val="-2"/>
        </w:rPr>
        <w:t xml:space="preserve"> </w:t>
      </w:r>
      <w:r w:rsidRPr="00F54559">
        <w:rPr>
          <w:rFonts w:asciiTheme="minorHAnsi" w:hAnsiTheme="minorHAnsi" w:cstheme="minorHAnsi"/>
          <w:spacing w:val="2"/>
        </w:rPr>
        <w:t>R</w:t>
      </w:r>
      <w:r w:rsidRPr="00F54559">
        <w:rPr>
          <w:rFonts w:asciiTheme="minorHAnsi" w:hAnsiTheme="minorHAnsi" w:cstheme="minorHAnsi"/>
        </w:rPr>
        <w:t>eq</w:t>
      </w:r>
      <w:r w:rsidRPr="00F54559">
        <w:rPr>
          <w:rFonts w:asciiTheme="minorHAnsi" w:hAnsiTheme="minorHAnsi" w:cstheme="minorHAnsi"/>
          <w:spacing w:val="2"/>
        </w:rPr>
        <w:t>ui</w:t>
      </w:r>
      <w:r w:rsidRPr="00F54559">
        <w:rPr>
          <w:rFonts w:asciiTheme="minorHAnsi" w:hAnsiTheme="minorHAnsi" w:cstheme="minorHAnsi"/>
        </w:rPr>
        <w:t>red</w:t>
      </w:r>
      <w:r w:rsidRPr="00F54559">
        <w:rPr>
          <w:rFonts w:asciiTheme="minorHAnsi" w:hAnsiTheme="minorHAnsi" w:cstheme="minorHAnsi"/>
          <w:spacing w:val="-2"/>
        </w:rPr>
        <w:t xml:space="preserve"> </w:t>
      </w:r>
      <w:r w:rsidRPr="00F54559">
        <w:rPr>
          <w:rFonts w:asciiTheme="minorHAnsi" w:hAnsiTheme="minorHAnsi" w:cstheme="minorHAnsi"/>
        </w:rPr>
        <w:t>S</w:t>
      </w:r>
      <w:r w:rsidRPr="00F54559">
        <w:rPr>
          <w:rFonts w:asciiTheme="minorHAnsi" w:hAnsiTheme="minorHAnsi" w:cstheme="minorHAnsi"/>
          <w:spacing w:val="2"/>
        </w:rPr>
        <w:t>u</w:t>
      </w:r>
      <w:r w:rsidRPr="00F54559">
        <w:rPr>
          <w:rFonts w:asciiTheme="minorHAnsi" w:hAnsiTheme="minorHAnsi" w:cstheme="minorHAnsi"/>
        </w:rPr>
        <w:t>pp</w:t>
      </w:r>
      <w:r w:rsidRPr="00F54559">
        <w:rPr>
          <w:rFonts w:asciiTheme="minorHAnsi" w:hAnsiTheme="minorHAnsi" w:cstheme="minorHAnsi"/>
          <w:spacing w:val="2"/>
        </w:rPr>
        <w:t>l</w:t>
      </w:r>
      <w:r w:rsidRPr="00F54559">
        <w:rPr>
          <w:rFonts w:asciiTheme="minorHAnsi" w:hAnsiTheme="minorHAnsi" w:cstheme="minorHAnsi"/>
        </w:rPr>
        <w:t>eme</w:t>
      </w:r>
      <w:r w:rsidRPr="00F54559">
        <w:rPr>
          <w:rFonts w:asciiTheme="minorHAnsi" w:hAnsiTheme="minorHAnsi" w:cstheme="minorHAnsi"/>
          <w:spacing w:val="2"/>
        </w:rPr>
        <w:t>n</w:t>
      </w:r>
      <w:r w:rsidRPr="00F54559">
        <w:rPr>
          <w:rFonts w:asciiTheme="minorHAnsi" w:hAnsiTheme="minorHAnsi" w:cstheme="minorHAnsi"/>
        </w:rPr>
        <w:t>t</w:t>
      </w:r>
      <w:r w:rsidRPr="00F54559">
        <w:rPr>
          <w:rFonts w:asciiTheme="minorHAnsi" w:hAnsiTheme="minorHAnsi" w:cstheme="minorHAnsi"/>
          <w:spacing w:val="2"/>
        </w:rPr>
        <w:t>a</w:t>
      </w:r>
      <w:r w:rsidRPr="00F54559">
        <w:rPr>
          <w:rFonts w:asciiTheme="minorHAnsi" w:hAnsiTheme="minorHAnsi" w:cstheme="minorHAnsi"/>
        </w:rPr>
        <w:t xml:space="preserve">ry </w:t>
      </w:r>
      <w:r w:rsidRPr="00F54559">
        <w:rPr>
          <w:rFonts w:asciiTheme="minorHAnsi" w:hAnsiTheme="minorHAnsi" w:cstheme="minorHAnsi"/>
          <w:spacing w:val="2"/>
        </w:rPr>
        <w:t>Inf</w:t>
      </w:r>
      <w:r w:rsidRPr="00F54559">
        <w:rPr>
          <w:rFonts w:asciiTheme="minorHAnsi" w:hAnsiTheme="minorHAnsi" w:cstheme="minorHAnsi"/>
        </w:rPr>
        <w:t>orm</w:t>
      </w:r>
      <w:r w:rsidRPr="00F54559">
        <w:rPr>
          <w:rFonts w:asciiTheme="minorHAnsi" w:hAnsiTheme="minorHAnsi" w:cstheme="minorHAnsi"/>
          <w:spacing w:val="2"/>
        </w:rPr>
        <w:t>a</w:t>
      </w:r>
      <w:r w:rsidRPr="00F54559">
        <w:rPr>
          <w:rFonts w:asciiTheme="minorHAnsi" w:hAnsiTheme="minorHAnsi" w:cstheme="minorHAnsi"/>
        </w:rPr>
        <w:t>t</w:t>
      </w:r>
      <w:r w:rsidRPr="00F54559">
        <w:rPr>
          <w:rFonts w:asciiTheme="minorHAnsi" w:hAnsiTheme="minorHAnsi" w:cstheme="minorHAnsi"/>
          <w:spacing w:val="2"/>
        </w:rPr>
        <w:t>i</w:t>
      </w:r>
      <w:r w:rsidRPr="00F54559">
        <w:rPr>
          <w:rFonts w:asciiTheme="minorHAnsi" w:hAnsiTheme="minorHAnsi" w:cstheme="minorHAnsi"/>
        </w:rPr>
        <w:t>on:</w:t>
      </w:r>
    </w:p>
    <w:p w14:paraId="394E91AD" w14:textId="77777777" w:rsidR="00051D7E" w:rsidRDefault="00051D7E" w:rsidP="00051D7E">
      <w:pPr>
        <w:rPr>
          <w:rFonts w:cstheme="minorHAnsi"/>
          <w:sz w:val="24"/>
          <w:szCs w:val="24"/>
        </w:rPr>
      </w:pPr>
      <w:r w:rsidRPr="00F54559">
        <w:rPr>
          <w:rFonts w:cstheme="minorHAnsi"/>
          <w:i/>
          <w:sz w:val="24"/>
          <w:szCs w:val="24"/>
        </w:rPr>
        <w:t>Changes of benefit terms:</w:t>
      </w:r>
      <w:r>
        <w:rPr>
          <w:rFonts w:cstheme="minorHAnsi"/>
          <w:sz w:val="24"/>
          <w:szCs w:val="24"/>
        </w:rPr>
        <w:t xml:space="preserve"> </w:t>
      </w:r>
    </w:p>
    <w:p w14:paraId="686C57F6" w14:textId="761F12BD" w:rsidR="00051D7E" w:rsidRPr="009C0A89" w:rsidRDefault="00051D7E" w:rsidP="00051D7E">
      <w:pPr>
        <w:rPr>
          <w:sz w:val="24"/>
          <w:szCs w:val="24"/>
        </w:rPr>
      </w:pPr>
      <w:r w:rsidRPr="009C0A89">
        <w:rPr>
          <w:sz w:val="24"/>
          <w:szCs w:val="24"/>
        </w:rPr>
        <w:t>Effective January 1, 2021 UMS offered a funded Health Reimbursement Account (HRA) through a retiree health exchange. Retirees can choose from various individual Medicare coverages</w:t>
      </w:r>
      <w:r w:rsidR="006E51EB">
        <w:rPr>
          <w:sz w:val="24"/>
          <w:szCs w:val="24"/>
        </w:rPr>
        <w:t xml:space="preserve"> or the</w:t>
      </w:r>
      <w:r w:rsidRPr="009C0A89">
        <w:rPr>
          <w:sz w:val="24"/>
          <w:szCs w:val="24"/>
        </w:rPr>
        <w:t xml:space="preserve"> UMS sponsored group coverage. </w:t>
      </w:r>
      <w:r w:rsidR="006E51EB">
        <w:rPr>
          <w:sz w:val="24"/>
          <w:szCs w:val="24"/>
        </w:rPr>
        <w:t>The total OPEB liability decreased $51,219 from the prior year including changes of benefit terms of $49,469</w:t>
      </w:r>
      <w:r w:rsidRPr="009C0A89">
        <w:rPr>
          <w:sz w:val="24"/>
          <w:szCs w:val="24"/>
        </w:rPr>
        <w:t>.</w:t>
      </w:r>
    </w:p>
    <w:p w14:paraId="1F776384" w14:textId="77777777" w:rsidR="00051D7E" w:rsidRPr="009C0A89" w:rsidRDefault="00051D7E" w:rsidP="00051D7E"/>
    <w:p w14:paraId="42318F0D" w14:textId="77777777" w:rsidR="00051D7E" w:rsidRPr="00F54559" w:rsidRDefault="00051D7E" w:rsidP="00E96223">
      <w:pPr>
        <w:rPr>
          <w:rFonts w:cstheme="minorHAnsi"/>
          <w:sz w:val="24"/>
          <w:szCs w:val="20"/>
        </w:rPr>
      </w:pPr>
      <w:r w:rsidRPr="00F54559">
        <w:rPr>
          <w:rFonts w:cstheme="minorHAnsi"/>
          <w:i/>
          <w:sz w:val="24"/>
          <w:szCs w:val="20"/>
        </w:rPr>
        <w:t>Changes of assumptions</w:t>
      </w:r>
      <w:r w:rsidRPr="00F54559">
        <w:rPr>
          <w:rFonts w:cstheme="minorHAnsi"/>
          <w:sz w:val="24"/>
          <w:szCs w:val="20"/>
        </w:rPr>
        <w:t>:</w:t>
      </w:r>
    </w:p>
    <w:p w14:paraId="0249C63C" w14:textId="77777777" w:rsidR="00051D7E" w:rsidRPr="002749F4" w:rsidRDefault="00051D7E" w:rsidP="00051D7E">
      <w:pPr>
        <w:ind w:left="720" w:hanging="720"/>
        <w:rPr>
          <w:rFonts w:cstheme="minorHAnsi"/>
          <w:sz w:val="24"/>
          <w:szCs w:val="24"/>
        </w:rPr>
      </w:pPr>
      <w:r w:rsidRPr="002749F4">
        <w:rPr>
          <w:rFonts w:cstheme="minorHAnsi"/>
          <w:sz w:val="24"/>
          <w:szCs w:val="24"/>
        </w:rPr>
        <w:t>2021:</w:t>
      </w:r>
      <w:r w:rsidRPr="002749F4">
        <w:rPr>
          <w:rFonts w:cstheme="minorHAnsi"/>
          <w:sz w:val="24"/>
          <w:szCs w:val="24"/>
        </w:rPr>
        <w:tab/>
      </w:r>
      <w:r w:rsidRPr="002749F4">
        <w:rPr>
          <w:rFonts w:eastAsia="Franklin Gothic Book" w:cstheme="minorHAnsi"/>
          <w:spacing w:val="-1"/>
          <w:sz w:val="24"/>
          <w:szCs w:val="24"/>
        </w:rPr>
        <w:t>Th</w:t>
      </w:r>
      <w:r w:rsidRPr="002749F4">
        <w:rPr>
          <w:rFonts w:cstheme="minorHAnsi"/>
          <w:sz w:val="24"/>
          <w:szCs w:val="24"/>
        </w:rPr>
        <w:t>e mortality tables were updated to the Pub-2010 amount-weighted mortality tables with scale MP-2020</w:t>
      </w:r>
      <w:r>
        <w:rPr>
          <w:rFonts w:cstheme="minorHAnsi"/>
          <w:sz w:val="24"/>
          <w:szCs w:val="24"/>
        </w:rPr>
        <w:t xml:space="preserve">. </w:t>
      </w:r>
      <w:r w:rsidRPr="00F54559">
        <w:rPr>
          <w:rFonts w:cstheme="minorHAnsi"/>
          <w:sz w:val="24"/>
          <w:szCs w:val="24"/>
        </w:rPr>
        <w:t>The health care cost rate was updated to reflect more recent trends.</w:t>
      </w:r>
      <w:r>
        <w:rPr>
          <w:rFonts w:cstheme="minorHAnsi"/>
          <w:sz w:val="24"/>
          <w:szCs w:val="24"/>
        </w:rPr>
        <w:t xml:space="preserve"> The inflation rate was changed from 2.4% to 2.2%.</w:t>
      </w:r>
    </w:p>
    <w:p w14:paraId="63469D79" w14:textId="77777777" w:rsidR="00051D7E" w:rsidRDefault="00051D7E" w:rsidP="00051D7E">
      <w:pPr>
        <w:ind w:left="720" w:hanging="720"/>
        <w:rPr>
          <w:rFonts w:cstheme="minorHAnsi"/>
          <w:sz w:val="24"/>
          <w:szCs w:val="20"/>
        </w:rPr>
      </w:pPr>
      <w:r>
        <w:rPr>
          <w:rFonts w:cstheme="minorHAnsi"/>
          <w:sz w:val="24"/>
          <w:szCs w:val="20"/>
        </w:rPr>
        <w:t>2020:</w:t>
      </w:r>
      <w:r>
        <w:rPr>
          <w:rFonts w:cstheme="minorHAnsi"/>
          <w:sz w:val="24"/>
          <w:szCs w:val="20"/>
        </w:rPr>
        <w:tab/>
      </w:r>
      <w:r w:rsidRPr="00F54559">
        <w:rPr>
          <w:rFonts w:cstheme="minorHAnsi"/>
          <w:sz w:val="24"/>
          <w:szCs w:val="20"/>
        </w:rPr>
        <w:t>The investment rate of return/discount rate was changed from 7.</w:t>
      </w:r>
      <w:r>
        <w:rPr>
          <w:rFonts w:cstheme="minorHAnsi"/>
          <w:sz w:val="24"/>
          <w:szCs w:val="20"/>
        </w:rPr>
        <w:t>5</w:t>
      </w:r>
      <w:r w:rsidRPr="00F54559">
        <w:rPr>
          <w:rFonts w:cstheme="minorHAnsi"/>
          <w:sz w:val="24"/>
          <w:szCs w:val="20"/>
        </w:rPr>
        <w:t>% to 7.</w:t>
      </w:r>
      <w:r>
        <w:rPr>
          <w:rFonts w:cstheme="minorHAnsi"/>
          <w:sz w:val="24"/>
          <w:szCs w:val="20"/>
        </w:rPr>
        <w:t>25</w:t>
      </w:r>
      <w:r w:rsidRPr="00F54559">
        <w:rPr>
          <w:rFonts w:cstheme="minorHAnsi"/>
          <w:sz w:val="24"/>
          <w:szCs w:val="20"/>
        </w:rPr>
        <w:t>%</w:t>
      </w:r>
    </w:p>
    <w:p w14:paraId="27141536" w14:textId="77777777" w:rsidR="00051D7E" w:rsidRPr="00F54559" w:rsidRDefault="00051D7E" w:rsidP="00051D7E">
      <w:pPr>
        <w:ind w:left="720" w:hanging="720"/>
        <w:rPr>
          <w:rFonts w:cstheme="minorHAnsi"/>
          <w:sz w:val="24"/>
          <w:szCs w:val="20"/>
        </w:rPr>
      </w:pPr>
      <w:r w:rsidRPr="00F54559">
        <w:rPr>
          <w:rFonts w:cstheme="minorHAnsi"/>
          <w:sz w:val="24"/>
          <w:szCs w:val="20"/>
        </w:rPr>
        <w:t>2019:</w:t>
      </w:r>
      <w:r w:rsidRPr="00F54559">
        <w:rPr>
          <w:rFonts w:cstheme="minorHAnsi"/>
          <w:sz w:val="24"/>
          <w:szCs w:val="20"/>
        </w:rPr>
        <w:tab/>
      </w:r>
      <w:r w:rsidRPr="00F54559">
        <w:rPr>
          <w:rFonts w:cstheme="minorHAnsi"/>
          <w:sz w:val="24"/>
          <w:szCs w:val="24"/>
        </w:rPr>
        <w:t>The mortality tables were updated to reflect more recent mortality tables and generational mortality improvement. The health care cost rate was updated to reflect more recent trends.</w:t>
      </w:r>
    </w:p>
    <w:p w14:paraId="487E7276" w14:textId="77777777" w:rsidR="00051D7E" w:rsidRPr="00F54559" w:rsidRDefault="00051D7E" w:rsidP="00051D7E">
      <w:pPr>
        <w:rPr>
          <w:rFonts w:cstheme="minorHAnsi"/>
          <w:sz w:val="24"/>
          <w:szCs w:val="20"/>
        </w:rPr>
      </w:pPr>
      <w:r w:rsidRPr="00F54559">
        <w:rPr>
          <w:rFonts w:cstheme="minorHAnsi"/>
          <w:sz w:val="24"/>
          <w:szCs w:val="20"/>
        </w:rPr>
        <w:t>2018:</w:t>
      </w:r>
      <w:r w:rsidRPr="00F54559">
        <w:rPr>
          <w:rFonts w:cstheme="minorHAnsi"/>
          <w:sz w:val="24"/>
          <w:szCs w:val="20"/>
        </w:rPr>
        <w:tab/>
      </w:r>
      <w:r w:rsidRPr="00F54559">
        <w:rPr>
          <w:rFonts w:cstheme="minorHAnsi"/>
          <w:i/>
          <w:sz w:val="24"/>
          <w:szCs w:val="20"/>
        </w:rPr>
        <w:t>None</w:t>
      </w:r>
    </w:p>
    <w:p w14:paraId="35F9FB66" w14:textId="77777777" w:rsidR="00051D7E" w:rsidRPr="00F54559" w:rsidRDefault="00051D7E" w:rsidP="00051D7E">
      <w:pPr>
        <w:ind w:left="720" w:hanging="720"/>
        <w:rPr>
          <w:rFonts w:cstheme="minorHAnsi"/>
          <w:sz w:val="24"/>
          <w:szCs w:val="20"/>
        </w:rPr>
      </w:pPr>
      <w:r w:rsidRPr="00F54559">
        <w:rPr>
          <w:rFonts w:cstheme="minorHAnsi"/>
          <w:sz w:val="24"/>
          <w:szCs w:val="20"/>
        </w:rPr>
        <w:t>2017:</w:t>
      </w:r>
      <w:r w:rsidRPr="00F54559">
        <w:rPr>
          <w:rFonts w:cstheme="minorHAnsi"/>
          <w:sz w:val="24"/>
          <w:szCs w:val="20"/>
        </w:rPr>
        <w:tab/>
        <w:t>The investment rate of return/discount rate was changed from 7.75% to 7.5% and the actuarial funding method was changed from Projected Unit Credit to Entry Age Normal.</w:t>
      </w:r>
    </w:p>
    <w:p w14:paraId="522E4C6C" w14:textId="77777777" w:rsidR="00051D7E" w:rsidRPr="00F54559" w:rsidRDefault="00051D7E" w:rsidP="00051D7E">
      <w:pPr>
        <w:rPr>
          <w:rFonts w:cstheme="minorHAnsi"/>
          <w:sz w:val="24"/>
          <w:szCs w:val="20"/>
        </w:rPr>
      </w:pPr>
    </w:p>
    <w:p w14:paraId="5536B94E" w14:textId="77777777" w:rsidR="00051D7E" w:rsidRPr="00F54559" w:rsidRDefault="00051D7E" w:rsidP="00051D7E">
      <w:pPr>
        <w:rPr>
          <w:rFonts w:cstheme="minorHAnsi"/>
          <w:i/>
          <w:sz w:val="24"/>
          <w:szCs w:val="24"/>
        </w:rPr>
      </w:pPr>
      <w:r w:rsidRPr="00F54559">
        <w:rPr>
          <w:rFonts w:cstheme="minorHAnsi"/>
          <w:i/>
          <w:sz w:val="24"/>
          <w:szCs w:val="24"/>
        </w:rPr>
        <w:t>Methods and assumptions used in calculations of actuarially determined contributions:</w:t>
      </w:r>
    </w:p>
    <w:p w14:paraId="2F6FB8A8" w14:textId="77777777" w:rsidR="00051D7E" w:rsidRPr="00F54559" w:rsidRDefault="00051D7E" w:rsidP="00E96223">
      <w:pPr>
        <w:rPr>
          <w:rFonts w:cstheme="minorHAnsi"/>
          <w:sz w:val="24"/>
          <w:szCs w:val="20"/>
        </w:rPr>
      </w:pPr>
      <w:r w:rsidRPr="00F54559">
        <w:rPr>
          <w:rFonts w:cstheme="minorHAnsi"/>
          <w:sz w:val="24"/>
          <w:szCs w:val="20"/>
        </w:rPr>
        <w:t>The actuarially determined contributions in the schedule of employers' contributions are calculated as of July 1, one year prior to the end of the fiscal year in which contributions are reported. The following actuarial methods and assumptions were used to determine contributions reported in that schedule:</w:t>
      </w:r>
      <w:r>
        <w:rPr>
          <w:rFonts w:cstheme="minorHAnsi"/>
          <w:sz w:val="24"/>
          <w:szCs w:val="20"/>
        </w:rPr>
        <w:t xml:space="preserve"> </w:t>
      </w:r>
    </w:p>
    <w:p w14:paraId="6C0BDE45" w14:textId="77777777" w:rsidR="00051D7E" w:rsidRPr="00A74468" w:rsidRDefault="00051D7E" w:rsidP="00051D7E">
      <w:pPr>
        <w:rPr>
          <w:rFonts w:cstheme="minorHAnsi"/>
          <w:szCs w:val="20"/>
        </w:rPr>
      </w:pPr>
    </w:p>
    <w:tbl>
      <w:tblPr>
        <w:tblStyle w:val="TableGrid2"/>
        <w:tblW w:w="47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Description w:val="Actuarial cost method since 2017 has been entry age normal.  Amortization method changed from level dollar amount over 30 years on a closed amortization period in 2017 &amp; 2018 to 28 years in 2019.  Asset valuation method is market value.  Inflation decreased from 3% per year in 2017 and 2018 to 2.6% in 2019.  Healthcare cost trend rate has changed from 8% decreasing 1% per year to an ultimate rate of 5% for 2020 and later years to 8% decreasing 0.5% per year to 5.5%, then grading down to an ultimate trend rate of 3.9% with the ultimate medical inflation rate reached in 2075.  The investment rate of return/discount rate has remained 7.5% net of OPEB plan investment expenses, including inflation since 2017."/>
      </w:tblPr>
      <w:tblGrid>
        <w:gridCol w:w="2809"/>
        <w:gridCol w:w="6102"/>
      </w:tblGrid>
      <w:tr w:rsidR="00051D7E" w:rsidRPr="00A454B4" w14:paraId="77971495" w14:textId="77777777" w:rsidTr="00E96223">
        <w:trPr>
          <w:trHeight w:val="246"/>
          <w:jc w:val="center"/>
        </w:trPr>
        <w:tc>
          <w:tcPr>
            <w:tcW w:w="1576" w:type="pct"/>
          </w:tcPr>
          <w:p w14:paraId="1E5AE3B8" w14:textId="77777777" w:rsidR="00051D7E" w:rsidRPr="00D9538A" w:rsidRDefault="00051D7E" w:rsidP="007531FB">
            <w:pPr>
              <w:widowControl w:val="0"/>
              <w:rPr>
                <w:rFonts w:cstheme="minorHAnsi"/>
                <w:sz w:val="24"/>
                <w:szCs w:val="20"/>
              </w:rPr>
            </w:pPr>
            <w:r w:rsidRPr="00D9538A">
              <w:rPr>
                <w:rFonts w:eastAsia="Franklin Gothic Book" w:cstheme="minorHAnsi"/>
                <w:spacing w:val="-2"/>
                <w:sz w:val="24"/>
              </w:rPr>
              <w:t>A</w:t>
            </w:r>
            <w:r w:rsidRPr="00D9538A">
              <w:rPr>
                <w:rFonts w:eastAsia="Franklin Gothic Book" w:cstheme="minorHAnsi"/>
                <w:sz w:val="24"/>
              </w:rPr>
              <w:t>ctua</w:t>
            </w:r>
            <w:r w:rsidRPr="00D9538A">
              <w:rPr>
                <w:rFonts w:eastAsia="Franklin Gothic Book" w:cstheme="minorHAnsi"/>
                <w:spacing w:val="-1"/>
                <w:sz w:val="24"/>
              </w:rPr>
              <w:t>r</w:t>
            </w:r>
            <w:r w:rsidRPr="00D9538A">
              <w:rPr>
                <w:rFonts w:eastAsia="Franklin Gothic Book" w:cstheme="minorHAnsi"/>
                <w:sz w:val="24"/>
              </w:rPr>
              <w:t>ial</w:t>
            </w:r>
            <w:r w:rsidRPr="00D9538A">
              <w:rPr>
                <w:rFonts w:eastAsia="Franklin Gothic Book" w:cstheme="minorHAnsi"/>
                <w:spacing w:val="-2"/>
                <w:sz w:val="24"/>
              </w:rPr>
              <w:t xml:space="preserve"> </w:t>
            </w:r>
            <w:r w:rsidRPr="00D9538A">
              <w:rPr>
                <w:rFonts w:eastAsia="Franklin Gothic Book" w:cstheme="minorHAnsi"/>
                <w:spacing w:val="1"/>
                <w:sz w:val="24"/>
              </w:rPr>
              <w:t>c</w:t>
            </w:r>
            <w:r w:rsidRPr="00D9538A">
              <w:rPr>
                <w:rFonts w:eastAsia="Franklin Gothic Book" w:cstheme="minorHAnsi"/>
                <w:sz w:val="24"/>
              </w:rPr>
              <w:t>ost method</w:t>
            </w:r>
          </w:p>
        </w:tc>
        <w:tc>
          <w:tcPr>
            <w:tcW w:w="3424" w:type="pct"/>
          </w:tcPr>
          <w:p w14:paraId="1FDEDDFE" w14:textId="77777777" w:rsidR="00051D7E" w:rsidRPr="00C07091" w:rsidRDefault="00051D7E" w:rsidP="007531FB">
            <w:pPr>
              <w:widowControl w:val="0"/>
              <w:rPr>
                <w:rFonts w:eastAsia="Franklin Gothic Book" w:cstheme="minorHAnsi"/>
                <w:sz w:val="24"/>
              </w:rPr>
            </w:pPr>
            <w:r w:rsidRPr="00C07091">
              <w:rPr>
                <w:rFonts w:eastAsia="Franklin Gothic Book" w:cstheme="minorHAnsi"/>
                <w:spacing w:val="-2"/>
                <w:sz w:val="24"/>
              </w:rPr>
              <w:t>2017 to 202</w:t>
            </w:r>
            <w:r>
              <w:rPr>
                <w:rFonts w:eastAsia="Franklin Gothic Book" w:cstheme="minorHAnsi"/>
                <w:spacing w:val="-2"/>
                <w:sz w:val="24"/>
              </w:rPr>
              <w:t>1</w:t>
            </w:r>
            <w:r w:rsidRPr="00C07091">
              <w:rPr>
                <w:rFonts w:eastAsia="Franklin Gothic Book" w:cstheme="minorHAnsi"/>
                <w:spacing w:val="-2"/>
                <w:sz w:val="24"/>
              </w:rPr>
              <w:t>: E</w:t>
            </w:r>
            <w:r w:rsidRPr="00C07091">
              <w:rPr>
                <w:rFonts w:eastAsia="Franklin Gothic Book" w:cstheme="minorHAnsi"/>
                <w:sz w:val="24"/>
              </w:rPr>
              <w:t>nt</w:t>
            </w:r>
            <w:r w:rsidRPr="00C07091">
              <w:rPr>
                <w:rFonts w:eastAsia="Franklin Gothic Book" w:cstheme="minorHAnsi"/>
                <w:spacing w:val="-1"/>
                <w:sz w:val="24"/>
              </w:rPr>
              <w:t>r</w:t>
            </w:r>
            <w:r w:rsidRPr="00C07091">
              <w:rPr>
                <w:rFonts w:eastAsia="Franklin Gothic Book" w:cstheme="minorHAnsi"/>
                <w:sz w:val="24"/>
              </w:rPr>
              <w:t>y</w:t>
            </w:r>
            <w:r w:rsidRPr="00C07091">
              <w:rPr>
                <w:rFonts w:eastAsia="Franklin Gothic Book" w:cstheme="minorHAnsi"/>
                <w:spacing w:val="-8"/>
                <w:sz w:val="24"/>
              </w:rPr>
              <w:t xml:space="preserve"> a</w:t>
            </w:r>
            <w:r w:rsidRPr="00C07091">
              <w:rPr>
                <w:rFonts w:eastAsia="Franklin Gothic Book" w:cstheme="minorHAnsi"/>
                <w:sz w:val="24"/>
              </w:rPr>
              <w:t>ge</w:t>
            </w:r>
            <w:r w:rsidRPr="00C07091">
              <w:rPr>
                <w:rFonts w:eastAsia="Franklin Gothic Book" w:cstheme="minorHAnsi"/>
                <w:spacing w:val="-6"/>
                <w:sz w:val="24"/>
              </w:rPr>
              <w:t xml:space="preserve"> n</w:t>
            </w:r>
            <w:r w:rsidRPr="00C07091">
              <w:rPr>
                <w:rFonts w:eastAsia="Franklin Gothic Book" w:cstheme="minorHAnsi"/>
                <w:sz w:val="24"/>
              </w:rPr>
              <w:t>o</w:t>
            </w:r>
            <w:r w:rsidRPr="00C07091">
              <w:rPr>
                <w:rFonts w:eastAsia="Franklin Gothic Book" w:cstheme="minorHAnsi"/>
                <w:spacing w:val="-2"/>
                <w:sz w:val="24"/>
              </w:rPr>
              <w:t>r</w:t>
            </w:r>
            <w:r w:rsidRPr="00C07091">
              <w:rPr>
                <w:rFonts w:eastAsia="Franklin Gothic Book" w:cstheme="minorHAnsi"/>
                <w:sz w:val="24"/>
              </w:rPr>
              <w:t>mal</w:t>
            </w:r>
          </w:p>
          <w:p w14:paraId="43F70C13" w14:textId="77777777" w:rsidR="00051D7E" w:rsidRPr="00232DCB" w:rsidRDefault="00051D7E" w:rsidP="007531FB">
            <w:pPr>
              <w:widowControl w:val="0"/>
              <w:rPr>
                <w:rFonts w:eastAsia="Franklin Gothic Book" w:cstheme="minorHAnsi"/>
                <w:color w:val="FF0000"/>
                <w:spacing w:val="-2"/>
                <w:sz w:val="16"/>
                <w:szCs w:val="16"/>
                <w:highlight w:val="yellow"/>
              </w:rPr>
            </w:pPr>
            <w:r w:rsidRPr="00C07091">
              <w:rPr>
                <w:rFonts w:eastAsia="Franklin Gothic Book" w:cstheme="minorHAnsi"/>
                <w:sz w:val="24"/>
              </w:rPr>
              <w:t>2016: Projected Unit Credit</w:t>
            </w:r>
          </w:p>
        </w:tc>
      </w:tr>
      <w:tr w:rsidR="00051D7E" w:rsidRPr="00A454B4" w14:paraId="439AEF7F" w14:textId="77777777" w:rsidTr="00E96223">
        <w:trPr>
          <w:trHeight w:val="246"/>
          <w:jc w:val="center"/>
        </w:trPr>
        <w:tc>
          <w:tcPr>
            <w:tcW w:w="1576" w:type="pct"/>
          </w:tcPr>
          <w:p w14:paraId="79FD969B" w14:textId="77777777" w:rsidR="00051D7E" w:rsidRPr="00F54559" w:rsidRDefault="00051D7E" w:rsidP="007531FB">
            <w:pPr>
              <w:widowControl w:val="0"/>
              <w:rPr>
                <w:rFonts w:eastAsia="Franklin Gothic Book" w:cstheme="minorHAnsi"/>
                <w:spacing w:val="-2"/>
                <w:sz w:val="24"/>
              </w:rPr>
            </w:pPr>
            <w:r w:rsidRPr="00F54559">
              <w:rPr>
                <w:rFonts w:eastAsia="Franklin Gothic Book" w:cstheme="minorHAnsi"/>
                <w:spacing w:val="-2"/>
                <w:sz w:val="24"/>
              </w:rPr>
              <w:t>Amortization method</w:t>
            </w:r>
          </w:p>
        </w:tc>
        <w:tc>
          <w:tcPr>
            <w:tcW w:w="3424" w:type="pct"/>
          </w:tcPr>
          <w:p w14:paraId="1087A987" w14:textId="77777777" w:rsidR="00051D7E" w:rsidRDefault="00051D7E" w:rsidP="007531FB">
            <w:pPr>
              <w:widowControl w:val="0"/>
              <w:rPr>
                <w:rFonts w:eastAsia="Franklin Gothic Book" w:cstheme="minorHAnsi"/>
                <w:sz w:val="24"/>
              </w:rPr>
            </w:pPr>
            <w:r w:rsidRPr="00DE70A0">
              <w:rPr>
                <w:rFonts w:eastAsia="Franklin Gothic Book" w:cstheme="minorHAnsi"/>
                <w:sz w:val="24"/>
              </w:rPr>
              <w:t>2021</w:t>
            </w:r>
            <w:r>
              <w:rPr>
                <w:rFonts w:eastAsia="Franklin Gothic Book" w:cstheme="minorHAnsi"/>
                <w:sz w:val="24"/>
              </w:rPr>
              <w:t>:</w:t>
            </w:r>
            <w:r w:rsidRPr="00F54559">
              <w:rPr>
                <w:rFonts w:eastAsia="Franklin Gothic Book" w:cstheme="minorHAnsi"/>
                <w:sz w:val="24"/>
              </w:rPr>
              <w:t xml:space="preserve"> Level dollar amount </w:t>
            </w:r>
            <w:r w:rsidRPr="005C055F">
              <w:rPr>
                <w:rFonts w:eastAsia="Franklin Gothic Book" w:cstheme="minorHAnsi"/>
                <w:sz w:val="24"/>
              </w:rPr>
              <w:t xml:space="preserve">over 25 years </w:t>
            </w:r>
            <w:r w:rsidRPr="00F54559">
              <w:rPr>
                <w:rFonts w:eastAsia="Franklin Gothic Book" w:cstheme="minorHAnsi"/>
                <w:sz w:val="24"/>
              </w:rPr>
              <w:t>on a closed amortization period</w:t>
            </w:r>
          </w:p>
          <w:p w14:paraId="3F7F6534" w14:textId="77777777" w:rsidR="00051D7E" w:rsidRDefault="00051D7E" w:rsidP="007531FB">
            <w:pPr>
              <w:widowControl w:val="0"/>
              <w:rPr>
                <w:rFonts w:eastAsia="Franklin Gothic Book" w:cstheme="minorHAnsi"/>
                <w:sz w:val="24"/>
              </w:rPr>
            </w:pPr>
            <w:r>
              <w:rPr>
                <w:rFonts w:eastAsia="Franklin Gothic Book" w:cstheme="minorHAnsi"/>
                <w:sz w:val="24"/>
              </w:rPr>
              <w:t xml:space="preserve">2020: </w:t>
            </w:r>
            <w:r w:rsidRPr="00F54559">
              <w:rPr>
                <w:rFonts w:eastAsia="Franklin Gothic Book" w:cstheme="minorHAnsi"/>
                <w:sz w:val="24"/>
              </w:rPr>
              <w:t>Level dollar amount over 2</w:t>
            </w:r>
            <w:r>
              <w:rPr>
                <w:rFonts w:eastAsia="Franklin Gothic Book" w:cstheme="minorHAnsi"/>
                <w:sz w:val="24"/>
              </w:rPr>
              <w:t>6</w:t>
            </w:r>
            <w:r w:rsidRPr="00F54559">
              <w:rPr>
                <w:rFonts w:eastAsia="Franklin Gothic Book" w:cstheme="minorHAnsi"/>
                <w:sz w:val="24"/>
              </w:rPr>
              <w:t xml:space="preserve"> years on a closed amortization period</w:t>
            </w:r>
          </w:p>
          <w:p w14:paraId="155A4878" w14:textId="77777777" w:rsidR="00051D7E" w:rsidRPr="00F54559" w:rsidRDefault="00051D7E" w:rsidP="007531FB">
            <w:pPr>
              <w:widowControl w:val="0"/>
              <w:rPr>
                <w:rFonts w:cstheme="minorHAnsi"/>
                <w:sz w:val="24"/>
                <w:szCs w:val="20"/>
              </w:rPr>
            </w:pPr>
            <w:r w:rsidRPr="00F54559">
              <w:rPr>
                <w:rFonts w:eastAsia="Franklin Gothic Book" w:cstheme="minorHAnsi"/>
                <w:sz w:val="24"/>
              </w:rPr>
              <w:t>2019: Level dollar amount over 28 years on a closed amortization period</w:t>
            </w:r>
          </w:p>
        </w:tc>
      </w:tr>
      <w:tr w:rsidR="00051D7E" w:rsidRPr="00A454B4" w14:paraId="6F3DA10D" w14:textId="77777777" w:rsidTr="00E96223">
        <w:trPr>
          <w:trHeight w:val="246"/>
          <w:jc w:val="center"/>
        </w:trPr>
        <w:tc>
          <w:tcPr>
            <w:tcW w:w="1576" w:type="pct"/>
          </w:tcPr>
          <w:p w14:paraId="29E2B50D" w14:textId="77777777" w:rsidR="00051D7E" w:rsidRPr="00F54559" w:rsidRDefault="00051D7E" w:rsidP="007531FB">
            <w:pPr>
              <w:widowControl w:val="0"/>
              <w:rPr>
                <w:rFonts w:eastAsia="Franklin Gothic Book" w:cstheme="minorHAnsi"/>
                <w:spacing w:val="-2"/>
                <w:sz w:val="24"/>
              </w:rPr>
            </w:pPr>
          </w:p>
        </w:tc>
        <w:tc>
          <w:tcPr>
            <w:tcW w:w="3424" w:type="pct"/>
          </w:tcPr>
          <w:p w14:paraId="79488C5C" w14:textId="77777777" w:rsidR="00051D7E" w:rsidRPr="00F54559" w:rsidRDefault="00051D7E" w:rsidP="007531FB">
            <w:pPr>
              <w:widowControl w:val="0"/>
              <w:rPr>
                <w:rFonts w:eastAsia="Franklin Gothic Book" w:cstheme="minorHAnsi"/>
                <w:sz w:val="24"/>
              </w:rPr>
            </w:pPr>
            <w:r w:rsidRPr="00F54559">
              <w:rPr>
                <w:rFonts w:eastAsia="Franklin Gothic Book" w:cstheme="minorHAnsi"/>
                <w:sz w:val="24"/>
              </w:rPr>
              <w:t>2017 to 2018: Level dollar amount over 30 years on a closed amortization period</w:t>
            </w:r>
          </w:p>
        </w:tc>
      </w:tr>
      <w:tr w:rsidR="00051D7E" w:rsidRPr="00A454B4" w14:paraId="6F05C8A1" w14:textId="77777777" w:rsidTr="00E96223">
        <w:trPr>
          <w:trHeight w:val="246"/>
          <w:jc w:val="center"/>
        </w:trPr>
        <w:tc>
          <w:tcPr>
            <w:tcW w:w="1576" w:type="pct"/>
          </w:tcPr>
          <w:p w14:paraId="2A5864D6" w14:textId="77777777" w:rsidR="00051D7E" w:rsidRPr="00F54559" w:rsidRDefault="00051D7E" w:rsidP="007531FB">
            <w:pPr>
              <w:widowControl w:val="0"/>
              <w:rPr>
                <w:rFonts w:eastAsia="Franklin Gothic Book" w:cstheme="minorHAnsi"/>
                <w:spacing w:val="-2"/>
                <w:sz w:val="24"/>
              </w:rPr>
            </w:pPr>
            <w:r w:rsidRPr="00F54559">
              <w:rPr>
                <w:rFonts w:eastAsia="Franklin Gothic Book" w:cstheme="minorHAnsi"/>
                <w:spacing w:val="-2"/>
                <w:sz w:val="24"/>
              </w:rPr>
              <w:t>Amortization period</w:t>
            </w:r>
          </w:p>
        </w:tc>
        <w:tc>
          <w:tcPr>
            <w:tcW w:w="3424" w:type="pct"/>
          </w:tcPr>
          <w:p w14:paraId="1C213BFD" w14:textId="77777777" w:rsidR="00051D7E" w:rsidRDefault="00051D7E" w:rsidP="007531FB">
            <w:pPr>
              <w:widowControl w:val="0"/>
              <w:rPr>
                <w:rFonts w:eastAsia="Franklin Gothic Book" w:cstheme="minorHAnsi"/>
                <w:sz w:val="24"/>
              </w:rPr>
            </w:pPr>
            <w:r>
              <w:rPr>
                <w:rFonts w:eastAsia="Franklin Gothic Book" w:cstheme="minorHAnsi"/>
                <w:sz w:val="24"/>
              </w:rPr>
              <w:t>2021</w:t>
            </w:r>
            <w:r w:rsidRPr="005C055F">
              <w:rPr>
                <w:rFonts w:eastAsia="Franklin Gothic Book" w:cstheme="minorHAnsi"/>
                <w:sz w:val="24"/>
              </w:rPr>
              <w:t>: 25 years</w:t>
            </w:r>
          </w:p>
          <w:p w14:paraId="42070F02" w14:textId="77777777" w:rsidR="00051D7E" w:rsidRDefault="00051D7E" w:rsidP="007531FB">
            <w:pPr>
              <w:widowControl w:val="0"/>
              <w:rPr>
                <w:rFonts w:eastAsia="Franklin Gothic Book" w:cstheme="minorHAnsi"/>
                <w:sz w:val="24"/>
              </w:rPr>
            </w:pPr>
            <w:r>
              <w:rPr>
                <w:rFonts w:eastAsia="Franklin Gothic Book" w:cstheme="minorHAnsi"/>
                <w:sz w:val="24"/>
              </w:rPr>
              <w:t>2020: 26 years</w:t>
            </w:r>
          </w:p>
          <w:p w14:paraId="23D79F1D" w14:textId="77777777" w:rsidR="00051D7E" w:rsidRPr="00F54559" w:rsidRDefault="00051D7E" w:rsidP="007531FB">
            <w:pPr>
              <w:widowControl w:val="0"/>
              <w:rPr>
                <w:rFonts w:eastAsia="Franklin Gothic Book" w:cstheme="minorHAnsi"/>
                <w:sz w:val="24"/>
              </w:rPr>
            </w:pPr>
            <w:r w:rsidRPr="00F54559">
              <w:rPr>
                <w:rFonts w:eastAsia="Franklin Gothic Book" w:cstheme="minorHAnsi"/>
                <w:sz w:val="24"/>
              </w:rPr>
              <w:t>2019: 28 years</w:t>
            </w:r>
          </w:p>
          <w:p w14:paraId="21FFD7C8" w14:textId="77777777" w:rsidR="00051D7E" w:rsidRPr="00F54559" w:rsidRDefault="00051D7E" w:rsidP="007531FB">
            <w:pPr>
              <w:widowControl w:val="0"/>
              <w:rPr>
                <w:rFonts w:eastAsia="Franklin Gothic Book" w:cstheme="minorHAnsi"/>
                <w:sz w:val="24"/>
              </w:rPr>
            </w:pPr>
            <w:r w:rsidRPr="00F54559">
              <w:rPr>
                <w:rFonts w:eastAsia="Franklin Gothic Book" w:cstheme="minorHAnsi"/>
                <w:sz w:val="24"/>
              </w:rPr>
              <w:t>2017 to 2018: 30 years</w:t>
            </w:r>
          </w:p>
        </w:tc>
      </w:tr>
      <w:tr w:rsidR="00051D7E" w:rsidRPr="00A454B4" w14:paraId="7FDEB30F" w14:textId="77777777" w:rsidTr="00E96223">
        <w:trPr>
          <w:trHeight w:val="246"/>
          <w:jc w:val="center"/>
        </w:trPr>
        <w:tc>
          <w:tcPr>
            <w:tcW w:w="1576" w:type="pct"/>
          </w:tcPr>
          <w:p w14:paraId="4BEEB270" w14:textId="77777777" w:rsidR="00051D7E" w:rsidRPr="00F54559" w:rsidRDefault="00051D7E" w:rsidP="007531FB">
            <w:pPr>
              <w:widowControl w:val="0"/>
              <w:rPr>
                <w:rFonts w:eastAsia="Franklin Gothic Book" w:cstheme="minorHAnsi"/>
                <w:spacing w:val="-2"/>
                <w:sz w:val="24"/>
              </w:rPr>
            </w:pPr>
            <w:r w:rsidRPr="00F54559">
              <w:rPr>
                <w:rFonts w:eastAsia="Franklin Gothic Book" w:cstheme="minorHAnsi"/>
                <w:spacing w:val="-2"/>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1"/>
                <w:sz w:val="24"/>
              </w:rPr>
              <w:t xml:space="preserve"> v</w:t>
            </w:r>
            <w:r w:rsidRPr="00F54559">
              <w:rPr>
                <w:rFonts w:eastAsia="Franklin Gothic Book" w:cstheme="minorHAnsi"/>
                <w:sz w:val="24"/>
              </w:rPr>
              <w:t>alua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2"/>
                <w:sz w:val="24"/>
              </w:rPr>
              <w:t xml:space="preserve"> </w:t>
            </w:r>
            <w:r w:rsidRPr="00F54559">
              <w:rPr>
                <w:rFonts w:eastAsia="Franklin Gothic Book" w:cstheme="minorHAnsi"/>
                <w:spacing w:val="1"/>
                <w:sz w:val="24"/>
              </w:rPr>
              <w:t>m</w:t>
            </w:r>
            <w:r w:rsidRPr="00F54559">
              <w:rPr>
                <w:rFonts w:eastAsia="Franklin Gothic Book" w:cstheme="minorHAnsi"/>
                <w:sz w:val="24"/>
              </w:rPr>
              <w:t>ethod</w:t>
            </w:r>
          </w:p>
        </w:tc>
        <w:tc>
          <w:tcPr>
            <w:tcW w:w="3424" w:type="pct"/>
          </w:tcPr>
          <w:p w14:paraId="1F404689" w14:textId="77777777" w:rsidR="00051D7E" w:rsidRPr="00F54559" w:rsidRDefault="00051D7E" w:rsidP="007531FB">
            <w:pPr>
              <w:widowControl w:val="0"/>
              <w:rPr>
                <w:rFonts w:eastAsia="Franklin Gothic Book" w:cstheme="minorHAnsi"/>
                <w:sz w:val="24"/>
              </w:rPr>
            </w:pPr>
            <w:r w:rsidRPr="00F54559">
              <w:rPr>
                <w:rFonts w:eastAsia="Franklin Gothic Book" w:cstheme="minorHAnsi"/>
                <w:sz w:val="24"/>
              </w:rPr>
              <w:t>Market value</w:t>
            </w:r>
          </w:p>
        </w:tc>
      </w:tr>
    </w:tbl>
    <w:p w14:paraId="19EE49C3" w14:textId="65909069" w:rsidR="00BC13C1" w:rsidRDefault="00BC13C1"/>
    <w:p w14:paraId="7600EC6D" w14:textId="52358AF6" w:rsidR="00BC13C1" w:rsidRDefault="00BC13C1"/>
    <w:p w14:paraId="603FE677" w14:textId="77777777" w:rsidR="00BC13C1" w:rsidRPr="00FE714D" w:rsidRDefault="00BC13C1" w:rsidP="00BC13C1">
      <w:pPr>
        <w:pStyle w:val="AFR4"/>
        <w:spacing w:after="240"/>
        <w:rPr>
          <w:rFonts w:eastAsiaTheme="majorEastAsia" w:cstheme="minorHAnsi"/>
          <w:i/>
          <w:iCs/>
          <w:smallCaps/>
          <w:noProof/>
          <w:color w:val="000000" w:themeColor="text1"/>
          <w:sz w:val="26"/>
          <w:szCs w:val="26"/>
          <w:u w:val="none" w:color="5B9BD5"/>
        </w:rPr>
      </w:pPr>
      <w:r>
        <w:rPr>
          <w:rFonts w:cstheme="minorHAnsi"/>
          <w:sz w:val="28"/>
          <w:szCs w:val="28"/>
        </w:rPr>
        <w:lastRenderedPageBreak/>
        <w:fldChar w:fldCharType="begin"/>
      </w:r>
      <w:r>
        <w:rPr>
          <w:rFonts w:cstheme="minorHAnsi"/>
          <w:sz w:val="28"/>
          <w:szCs w:val="28"/>
        </w:rPr>
        <w:fldChar w:fldCharType="end"/>
      </w:r>
      <w:r w:rsidRPr="00A74468">
        <w:rPr>
          <w:rFonts w:eastAsiaTheme="majorEastAsia" w:cstheme="minorHAnsi"/>
          <w:i/>
          <w:iCs/>
          <w:smallCaps/>
          <w:noProof/>
          <w:color w:val="000000" w:themeColor="text1"/>
          <w:sz w:val="26"/>
          <w:szCs w:val="26"/>
          <w:u w:val="none" w:color="5B9BD5"/>
        </w:rPr>
        <w:t>OPEB Plan - continued:</w:t>
      </w:r>
    </w:p>
    <w:tbl>
      <w:tblPr>
        <w:tblStyle w:val="TableGrid2"/>
        <w:tblW w:w="47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Description w:val="Actuarial cost method since 2017 has been entry age normal.  Amortization method changed from level dollar amount over 30 years on a closed amortization period in 2017 &amp; 2018 to 28 years in 2019.  Asset valuation method is market value.  Inflation decreased from 3% per year in 2017 and 2018 to 2.6% in 2019.  Healthcare cost trend rate has changed from 8% decreasing 1% per year to an ultimate rate of 5% for 2020 and later years to 8% decreasing 0.5% per year to 5.5%, then grading down to an ultimate trend rate of 3.9% with the ultimate medical inflation rate reached in 2075.  The investment rate of return/discount rate has remained 7.5% net of OPEB plan investment expenses, including inflation since 2017."/>
      </w:tblPr>
      <w:tblGrid>
        <w:gridCol w:w="2809"/>
        <w:gridCol w:w="6102"/>
      </w:tblGrid>
      <w:tr w:rsidR="00051D7E" w:rsidRPr="00A454B4" w14:paraId="5A3B7559" w14:textId="77777777" w:rsidTr="00E96223">
        <w:trPr>
          <w:trHeight w:val="246"/>
          <w:jc w:val="center"/>
        </w:trPr>
        <w:tc>
          <w:tcPr>
            <w:tcW w:w="1576" w:type="pct"/>
          </w:tcPr>
          <w:p w14:paraId="1D88369F" w14:textId="77777777" w:rsidR="00051D7E" w:rsidRPr="00F54559" w:rsidRDefault="00051D7E" w:rsidP="007531FB">
            <w:pPr>
              <w:widowControl w:val="0"/>
              <w:rPr>
                <w:rFonts w:eastAsia="Franklin Gothic Book" w:cstheme="minorHAnsi"/>
                <w:sz w:val="24"/>
              </w:rPr>
            </w:pP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tc>
        <w:tc>
          <w:tcPr>
            <w:tcW w:w="3424" w:type="pct"/>
          </w:tcPr>
          <w:p w14:paraId="0DA42218" w14:textId="77777777" w:rsidR="00051D7E" w:rsidRDefault="00051D7E" w:rsidP="007531FB">
            <w:pPr>
              <w:widowControl w:val="0"/>
              <w:rPr>
                <w:rFonts w:eastAsia="Franklin Gothic Book" w:cstheme="minorHAnsi"/>
                <w:sz w:val="24"/>
              </w:rPr>
            </w:pPr>
            <w:r>
              <w:rPr>
                <w:rFonts w:eastAsia="Franklin Gothic Book" w:cstheme="minorHAnsi"/>
                <w:sz w:val="24"/>
              </w:rPr>
              <w:t>2021: 2.2%</w:t>
            </w:r>
          </w:p>
          <w:p w14:paraId="6CBCAC43" w14:textId="77777777" w:rsidR="00051D7E" w:rsidRDefault="00051D7E" w:rsidP="007531FB">
            <w:pPr>
              <w:widowControl w:val="0"/>
              <w:rPr>
                <w:rFonts w:eastAsia="Franklin Gothic Book" w:cstheme="minorHAnsi"/>
                <w:sz w:val="24"/>
              </w:rPr>
            </w:pPr>
            <w:r>
              <w:rPr>
                <w:rFonts w:eastAsia="Franklin Gothic Book" w:cstheme="minorHAnsi"/>
                <w:sz w:val="24"/>
              </w:rPr>
              <w:t>2020: 2.4%</w:t>
            </w:r>
          </w:p>
          <w:p w14:paraId="1D29735D" w14:textId="77777777" w:rsidR="00051D7E" w:rsidRPr="00F54559" w:rsidRDefault="00051D7E" w:rsidP="007531FB">
            <w:pPr>
              <w:widowControl w:val="0"/>
              <w:rPr>
                <w:rFonts w:eastAsia="Franklin Gothic Book" w:cstheme="minorHAnsi"/>
                <w:sz w:val="24"/>
              </w:rPr>
            </w:pPr>
            <w:r w:rsidRPr="00F54559">
              <w:rPr>
                <w:rFonts w:eastAsia="Franklin Gothic Book" w:cstheme="minorHAnsi"/>
                <w:sz w:val="24"/>
              </w:rPr>
              <w:t>2019: 2.6%</w:t>
            </w:r>
          </w:p>
        </w:tc>
      </w:tr>
      <w:tr w:rsidR="00051D7E" w:rsidRPr="00A454B4" w14:paraId="25B204EC" w14:textId="77777777" w:rsidTr="00E96223">
        <w:trPr>
          <w:trHeight w:val="246"/>
          <w:jc w:val="center"/>
        </w:trPr>
        <w:tc>
          <w:tcPr>
            <w:tcW w:w="1576" w:type="pct"/>
          </w:tcPr>
          <w:p w14:paraId="3611CADF" w14:textId="77777777" w:rsidR="00051D7E" w:rsidRPr="00F54559" w:rsidRDefault="00051D7E" w:rsidP="007531FB">
            <w:pPr>
              <w:widowControl w:val="0"/>
              <w:rPr>
                <w:rFonts w:cstheme="minorHAnsi"/>
                <w:sz w:val="24"/>
                <w:szCs w:val="20"/>
              </w:rPr>
            </w:pPr>
          </w:p>
        </w:tc>
        <w:tc>
          <w:tcPr>
            <w:tcW w:w="3424" w:type="pct"/>
          </w:tcPr>
          <w:p w14:paraId="63A0AA4C" w14:textId="77777777" w:rsidR="00051D7E" w:rsidRPr="00F54559" w:rsidRDefault="00051D7E" w:rsidP="007531FB">
            <w:pPr>
              <w:widowControl w:val="0"/>
              <w:rPr>
                <w:rFonts w:eastAsia="Franklin Gothic Book" w:cstheme="minorHAnsi"/>
                <w:sz w:val="24"/>
              </w:rPr>
            </w:pPr>
            <w:r w:rsidRPr="00F54559">
              <w:rPr>
                <w:rFonts w:eastAsia="Franklin Gothic Book" w:cstheme="minorHAnsi"/>
                <w:sz w:val="24"/>
              </w:rPr>
              <w:t>2017 to 2018: 3% per year</w:t>
            </w:r>
          </w:p>
        </w:tc>
      </w:tr>
      <w:tr w:rsidR="00051D7E" w:rsidRPr="00A454B4" w14:paraId="582A8A85" w14:textId="77777777" w:rsidTr="00E96223">
        <w:trPr>
          <w:trHeight w:val="246"/>
          <w:jc w:val="center"/>
        </w:trPr>
        <w:tc>
          <w:tcPr>
            <w:tcW w:w="1576" w:type="pct"/>
          </w:tcPr>
          <w:p w14:paraId="39738702" w14:textId="77777777" w:rsidR="00051D7E" w:rsidRPr="00F54559" w:rsidRDefault="00051D7E" w:rsidP="007531FB">
            <w:pPr>
              <w:widowControl w:val="0"/>
              <w:rPr>
                <w:rFonts w:cstheme="minorHAnsi"/>
                <w:sz w:val="24"/>
                <w:szCs w:val="20"/>
              </w:rPr>
            </w:pPr>
            <w:r w:rsidRPr="00F54559">
              <w:rPr>
                <w:rFonts w:cstheme="minorHAnsi"/>
                <w:sz w:val="24"/>
                <w:szCs w:val="20"/>
              </w:rPr>
              <w:t>Healthcare cost trend rate</w:t>
            </w:r>
          </w:p>
        </w:tc>
        <w:tc>
          <w:tcPr>
            <w:tcW w:w="3424" w:type="pct"/>
          </w:tcPr>
          <w:p w14:paraId="200F3730" w14:textId="77777777" w:rsidR="00051D7E" w:rsidRDefault="00051D7E" w:rsidP="007531FB">
            <w:pPr>
              <w:widowControl w:val="0"/>
              <w:rPr>
                <w:rFonts w:eastAsia="Franklin Gothic Book" w:cstheme="minorHAnsi"/>
                <w:spacing w:val="-1"/>
                <w:sz w:val="24"/>
              </w:rPr>
            </w:pPr>
            <w:r>
              <w:rPr>
                <w:rFonts w:eastAsia="Franklin Gothic Book" w:cstheme="minorHAnsi"/>
                <w:spacing w:val="-1"/>
                <w:sz w:val="24"/>
              </w:rPr>
              <w:t xml:space="preserve">2021: </w:t>
            </w:r>
            <w:r w:rsidRPr="00FE714D">
              <w:rPr>
                <w:rFonts w:eastAsia="Franklin Gothic Book" w:cstheme="minorHAnsi"/>
                <w:spacing w:val="-1"/>
                <w:sz w:val="24"/>
                <w:szCs w:val="24"/>
              </w:rPr>
              <w:t xml:space="preserve">6% decreasing .25% per year to 5.25%, then grading down to an ultimate trend rate of 4%, utilizing the Society of Actuaries </w:t>
            </w:r>
            <w:proofErr w:type="spellStart"/>
            <w:r w:rsidRPr="00FE714D">
              <w:rPr>
                <w:rFonts w:eastAsia="Franklin Gothic Book" w:cstheme="minorHAnsi"/>
                <w:spacing w:val="-1"/>
                <w:sz w:val="24"/>
                <w:szCs w:val="24"/>
              </w:rPr>
              <w:t>Getzen</w:t>
            </w:r>
            <w:proofErr w:type="spellEnd"/>
            <w:r w:rsidRPr="00FE714D">
              <w:rPr>
                <w:rFonts w:eastAsia="Franklin Gothic Book" w:cstheme="minorHAnsi"/>
                <w:spacing w:val="-1"/>
                <w:sz w:val="24"/>
                <w:szCs w:val="24"/>
              </w:rPr>
              <w:t xml:space="preserve"> Medical Trend Model. The ultimate medical inflation rate is reached in 2075</w:t>
            </w:r>
            <w:r w:rsidRPr="00BC1813">
              <w:rPr>
                <w:rFonts w:eastAsia="Franklin Gothic Book" w:cstheme="minorHAnsi"/>
                <w:spacing w:val="-1"/>
                <w:sz w:val="24"/>
                <w:szCs w:val="24"/>
              </w:rPr>
              <w:t>.</w:t>
            </w:r>
          </w:p>
          <w:p w14:paraId="02C4EFA7" w14:textId="77777777" w:rsidR="00051D7E" w:rsidRPr="00F54559" w:rsidRDefault="00051D7E" w:rsidP="007531FB">
            <w:pPr>
              <w:widowControl w:val="0"/>
              <w:rPr>
                <w:rFonts w:cstheme="minorHAnsi"/>
                <w:color w:val="FF0000"/>
                <w:sz w:val="24"/>
                <w:szCs w:val="20"/>
              </w:rPr>
            </w:pPr>
            <w:r w:rsidRPr="00F54559">
              <w:rPr>
                <w:rFonts w:eastAsia="Franklin Gothic Book" w:cstheme="minorHAnsi"/>
                <w:spacing w:val="-1"/>
                <w:sz w:val="24"/>
              </w:rPr>
              <w:t>2019</w:t>
            </w:r>
            <w:r>
              <w:rPr>
                <w:rFonts w:eastAsia="Franklin Gothic Book" w:cstheme="minorHAnsi"/>
                <w:spacing w:val="-1"/>
                <w:sz w:val="24"/>
              </w:rPr>
              <w:t xml:space="preserve"> to 2020</w:t>
            </w:r>
            <w:r w:rsidRPr="00F54559">
              <w:rPr>
                <w:rFonts w:eastAsia="Franklin Gothic Book" w:cstheme="minorHAnsi"/>
                <w:spacing w:val="-1"/>
                <w:sz w:val="24"/>
              </w:rPr>
              <w:t xml:space="preserve">: 8% decreasing .5% per year to 5.5%, then grading down to an ultimate trend rate of 3.9%, utilizing the Society of Actuaries </w:t>
            </w:r>
            <w:proofErr w:type="spellStart"/>
            <w:r w:rsidRPr="00F54559">
              <w:rPr>
                <w:rFonts w:eastAsia="Franklin Gothic Book" w:cstheme="minorHAnsi"/>
                <w:spacing w:val="-1"/>
                <w:sz w:val="24"/>
              </w:rPr>
              <w:t>Getzen</w:t>
            </w:r>
            <w:proofErr w:type="spellEnd"/>
            <w:r w:rsidRPr="00F54559">
              <w:rPr>
                <w:rFonts w:eastAsia="Franklin Gothic Book" w:cstheme="minorHAnsi"/>
                <w:spacing w:val="-1"/>
                <w:sz w:val="24"/>
              </w:rPr>
              <w:t xml:space="preserve"> Medical Trend Model. The ultimate medical inflation rate is reached in 2075.</w:t>
            </w:r>
          </w:p>
        </w:tc>
      </w:tr>
      <w:tr w:rsidR="00051D7E" w:rsidRPr="00A454B4" w14:paraId="6EC96698" w14:textId="77777777" w:rsidTr="00E96223">
        <w:trPr>
          <w:trHeight w:val="246"/>
          <w:jc w:val="center"/>
        </w:trPr>
        <w:tc>
          <w:tcPr>
            <w:tcW w:w="1576" w:type="pct"/>
          </w:tcPr>
          <w:p w14:paraId="7310FAA4" w14:textId="77777777" w:rsidR="00051D7E" w:rsidRPr="00F54559" w:rsidRDefault="00051D7E" w:rsidP="007531FB">
            <w:pPr>
              <w:widowControl w:val="0"/>
              <w:tabs>
                <w:tab w:val="left" w:pos="4264"/>
              </w:tabs>
              <w:rPr>
                <w:rFonts w:eastAsia="Franklin Gothic Book" w:cstheme="minorHAnsi"/>
                <w:sz w:val="24"/>
              </w:rPr>
            </w:pPr>
          </w:p>
        </w:tc>
        <w:tc>
          <w:tcPr>
            <w:tcW w:w="3424" w:type="pct"/>
          </w:tcPr>
          <w:p w14:paraId="6D6C4CC0" w14:textId="77777777" w:rsidR="00051D7E" w:rsidRPr="00F54559" w:rsidRDefault="00051D7E" w:rsidP="007531FB">
            <w:pPr>
              <w:widowControl w:val="0"/>
              <w:rPr>
                <w:rFonts w:eastAsia="Franklin Gothic Book" w:cstheme="minorHAnsi"/>
                <w:sz w:val="24"/>
              </w:rPr>
            </w:pPr>
            <w:r w:rsidRPr="00F54559">
              <w:rPr>
                <w:rFonts w:eastAsia="Franklin Gothic Book" w:cstheme="minorHAnsi"/>
                <w:spacing w:val="-1"/>
                <w:sz w:val="24"/>
              </w:rPr>
              <w:t>2017 to 2018: 8% decreasing 1% per year to an ultimate rate of 5% for 2020 and later years</w:t>
            </w:r>
          </w:p>
        </w:tc>
      </w:tr>
      <w:tr w:rsidR="00051D7E" w:rsidRPr="00A454B4" w14:paraId="3E2D55DF" w14:textId="77777777" w:rsidTr="00E96223">
        <w:trPr>
          <w:trHeight w:val="246"/>
          <w:jc w:val="center"/>
        </w:trPr>
        <w:tc>
          <w:tcPr>
            <w:tcW w:w="1576" w:type="pct"/>
          </w:tcPr>
          <w:p w14:paraId="3F71D75F" w14:textId="77777777" w:rsidR="00051D7E" w:rsidRPr="00F54559" w:rsidRDefault="00051D7E" w:rsidP="007531FB">
            <w:pPr>
              <w:widowControl w:val="0"/>
              <w:tabs>
                <w:tab w:val="left" w:pos="4264"/>
              </w:tabs>
              <w:rPr>
                <w:rFonts w:cstheme="minorHAnsi"/>
                <w:sz w:val="24"/>
                <w:szCs w:val="20"/>
              </w:rPr>
            </w:pP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w:t>
            </w:r>
            <w:r w:rsidRPr="00F54559">
              <w:rPr>
                <w:rFonts w:eastAsia="Franklin Gothic Book" w:cstheme="minorHAnsi"/>
                <w:spacing w:val="-1"/>
                <w:sz w:val="24"/>
              </w:rPr>
              <w:t xml:space="preserve"> 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2"/>
                <w:sz w:val="24"/>
              </w:rPr>
              <w:t xml:space="preserve"> </w:t>
            </w:r>
            <w:r w:rsidRPr="00F54559">
              <w:rPr>
                <w:rFonts w:eastAsia="Franklin Gothic Book" w:cstheme="minorHAnsi"/>
                <w:sz w:val="24"/>
              </w:rPr>
              <w:t>of</w:t>
            </w:r>
            <w:r w:rsidRPr="00F54559">
              <w:rPr>
                <w:rFonts w:eastAsia="Franklin Gothic Book" w:cstheme="minorHAnsi"/>
                <w:spacing w:val="-2"/>
                <w:sz w:val="24"/>
              </w:rPr>
              <w:t xml:space="preserve"> </w:t>
            </w:r>
            <w:r w:rsidRPr="00F54559">
              <w:rPr>
                <w:rFonts w:eastAsia="Franklin Gothic Book" w:cstheme="minorHAnsi"/>
                <w:sz w:val="24"/>
              </w:rPr>
              <w:t>r</w:t>
            </w:r>
            <w:r w:rsidRPr="00F54559">
              <w:rPr>
                <w:rFonts w:eastAsia="Franklin Gothic Book" w:cstheme="minorHAnsi"/>
                <w:spacing w:val="-1"/>
                <w:sz w:val="24"/>
              </w:rPr>
              <w:t>e</w:t>
            </w:r>
            <w:r w:rsidRPr="00F54559">
              <w:rPr>
                <w:rFonts w:eastAsia="Franklin Gothic Book" w:cstheme="minorHAnsi"/>
                <w:sz w:val="24"/>
              </w:rPr>
              <w:t>tu</w:t>
            </w:r>
            <w:r w:rsidRPr="00F54559">
              <w:rPr>
                <w:rFonts w:eastAsia="Franklin Gothic Book" w:cstheme="minorHAnsi"/>
                <w:spacing w:val="-1"/>
                <w:sz w:val="24"/>
              </w:rPr>
              <w:t>r</w:t>
            </w:r>
            <w:r w:rsidRPr="00F54559">
              <w:rPr>
                <w:rFonts w:eastAsia="Franklin Gothic Book" w:cstheme="minorHAnsi"/>
                <w:sz w:val="24"/>
              </w:rPr>
              <w:t>n/ discount rate</w:t>
            </w:r>
          </w:p>
        </w:tc>
        <w:tc>
          <w:tcPr>
            <w:tcW w:w="3424" w:type="pct"/>
          </w:tcPr>
          <w:p w14:paraId="0D601E9F" w14:textId="77777777" w:rsidR="00051D7E" w:rsidRDefault="00051D7E" w:rsidP="007531FB">
            <w:pPr>
              <w:widowControl w:val="0"/>
              <w:rPr>
                <w:rFonts w:eastAsia="Franklin Gothic Book" w:cstheme="minorHAnsi"/>
                <w:sz w:val="24"/>
              </w:rPr>
            </w:pPr>
            <w:r>
              <w:rPr>
                <w:rFonts w:eastAsia="Franklin Gothic Book" w:cstheme="minorHAnsi"/>
                <w:sz w:val="24"/>
              </w:rPr>
              <w:t>2020 to 2021: 7.25%</w:t>
            </w:r>
            <w:r w:rsidRPr="00F54559">
              <w:rPr>
                <w:rFonts w:eastAsia="Franklin Gothic Book" w:cstheme="minorHAnsi"/>
                <w:spacing w:val="-1"/>
                <w:sz w:val="24"/>
              </w:rPr>
              <w:t xml:space="preserve"> net of investment expenses, including inflation</w:t>
            </w:r>
          </w:p>
          <w:p w14:paraId="3B837BB3" w14:textId="6BDF3E18" w:rsidR="00051D7E" w:rsidRPr="00F54559" w:rsidRDefault="00051D7E" w:rsidP="007531FB">
            <w:pPr>
              <w:widowControl w:val="0"/>
              <w:rPr>
                <w:rFonts w:eastAsia="Franklin Gothic Book" w:cstheme="minorHAnsi"/>
                <w:color w:val="FF0000"/>
                <w:sz w:val="24"/>
              </w:rPr>
            </w:pPr>
            <w:r w:rsidRPr="00F54559">
              <w:rPr>
                <w:rFonts w:eastAsia="Franklin Gothic Book" w:cstheme="minorHAnsi"/>
                <w:sz w:val="24"/>
              </w:rPr>
              <w:t xml:space="preserve">2017 to 2019: </w:t>
            </w:r>
            <w:r w:rsidRPr="00F54559">
              <w:rPr>
                <w:rFonts w:eastAsia="Franklin Gothic Book" w:cstheme="minorHAnsi"/>
                <w:spacing w:val="-1"/>
                <w:sz w:val="24"/>
              </w:rPr>
              <w:t>7.5% net of investment expenses, including inflation</w:t>
            </w:r>
          </w:p>
        </w:tc>
      </w:tr>
      <w:tr w:rsidR="00051D7E" w:rsidRPr="00A454B4" w14:paraId="14F666CB" w14:textId="77777777" w:rsidTr="00E96223">
        <w:trPr>
          <w:trHeight w:val="246"/>
          <w:jc w:val="center"/>
        </w:trPr>
        <w:tc>
          <w:tcPr>
            <w:tcW w:w="1576" w:type="pct"/>
          </w:tcPr>
          <w:p w14:paraId="6C442FAA" w14:textId="77777777" w:rsidR="00051D7E" w:rsidRPr="00F54559" w:rsidRDefault="00051D7E" w:rsidP="007531FB">
            <w:pPr>
              <w:widowControl w:val="0"/>
              <w:tabs>
                <w:tab w:val="left" w:pos="4264"/>
              </w:tabs>
              <w:rPr>
                <w:rFonts w:eastAsia="Franklin Gothic Book" w:cstheme="minorHAnsi"/>
                <w:sz w:val="24"/>
              </w:rPr>
            </w:pPr>
          </w:p>
        </w:tc>
        <w:tc>
          <w:tcPr>
            <w:tcW w:w="3424" w:type="pct"/>
          </w:tcPr>
          <w:p w14:paraId="0EE57CEE" w14:textId="77777777" w:rsidR="00051D7E" w:rsidRPr="00F54559" w:rsidRDefault="00051D7E" w:rsidP="007531FB">
            <w:pPr>
              <w:widowControl w:val="0"/>
              <w:rPr>
                <w:rFonts w:eastAsia="Franklin Gothic Book" w:cstheme="minorHAnsi"/>
                <w:sz w:val="24"/>
              </w:rPr>
            </w:pPr>
            <w:r w:rsidRPr="00F54559">
              <w:rPr>
                <w:rFonts w:eastAsia="Franklin Gothic Book" w:cstheme="minorHAnsi"/>
                <w:spacing w:val="-1"/>
                <w:sz w:val="24"/>
              </w:rPr>
              <w:t>2016: 7.75% net of investment expenses, including inflation</w:t>
            </w:r>
          </w:p>
        </w:tc>
      </w:tr>
    </w:tbl>
    <w:p w14:paraId="4BD2334A" w14:textId="77777777" w:rsidR="00051D7E" w:rsidRPr="00072C68" w:rsidRDefault="00051D7E" w:rsidP="00072C68">
      <w:pPr>
        <w:pStyle w:val="AFR4"/>
        <w:spacing w:before="0" w:after="0"/>
        <w:rPr>
          <w:b w:val="0"/>
          <w:u w:val="none"/>
        </w:rPr>
      </w:pPr>
      <w:r w:rsidRPr="00072C68">
        <w:rPr>
          <w:b w:val="0"/>
          <w:u w:val="none"/>
        </w:rPr>
        <w:fldChar w:fldCharType="begin"/>
      </w:r>
      <w:r w:rsidRPr="00072C68">
        <w:rPr>
          <w:b w:val="0"/>
          <w:u w:val="none"/>
        </w:rPr>
        <w:fldChar w:fldCharType="end"/>
      </w:r>
    </w:p>
    <w:tbl>
      <w:tblPr>
        <w:tblW w:w="9270" w:type="dxa"/>
        <w:tblLook w:val="04A0" w:firstRow="1" w:lastRow="0" w:firstColumn="1" w:lastColumn="0" w:noHBand="0" w:noVBand="1"/>
      </w:tblPr>
      <w:tblGrid>
        <w:gridCol w:w="4958"/>
        <w:gridCol w:w="935"/>
        <w:gridCol w:w="814"/>
        <w:gridCol w:w="814"/>
        <w:gridCol w:w="814"/>
        <w:gridCol w:w="935"/>
      </w:tblGrid>
      <w:tr w:rsidR="00051D7E" w:rsidRPr="003B0D41" w14:paraId="6F0AA926" w14:textId="77777777" w:rsidTr="007531FB">
        <w:trPr>
          <w:trHeight w:val="750"/>
          <w:tblHeader/>
        </w:trPr>
        <w:tc>
          <w:tcPr>
            <w:tcW w:w="5449" w:type="dxa"/>
            <w:tcBorders>
              <w:top w:val="nil"/>
              <w:left w:val="nil"/>
              <w:bottom w:val="single" w:sz="12" w:space="0" w:color="00688D"/>
              <w:right w:val="nil"/>
            </w:tcBorders>
            <w:shd w:val="clear" w:color="000000" w:fill="FFFFFF"/>
            <w:vAlign w:val="bottom"/>
            <w:hideMark/>
          </w:tcPr>
          <w:p w14:paraId="5A068AE7" w14:textId="77777777" w:rsidR="00051D7E" w:rsidRPr="00770E90" w:rsidRDefault="00051D7E" w:rsidP="007531FB">
            <w:pP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Investment Returns:</w:t>
            </w:r>
            <w:r w:rsidRPr="00770E90">
              <w:rPr>
                <w:rFonts w:ascii="Calibri" w:eastAsia="Times New Roman" w:hAnsi="Calibri" w:cs="Calibri"/>
                <w:b/>
                <w:bCs/>
                <w:color w:val="0D0D0D"/>
                <w:sz w:val="24"/>
                <w:szCs w:val="24"/>
              </w:rPr>
              <w:br/>
              <w:t>Fiscal Year Ended June 30</w:t>
            </w:r>
          </w:p>
        </w:tc>
        <w:tc>
          <w:tcPr>
            <w:tcW w:w="744" w:type="dxa"/>
            <w:tcBorders>
              <w:top w:val="nil"/>
              <w:left w:val="nil"/>
              <w:bottom w:val="single" w:sz="12" w:space="0" w:color="00688D"/>
              <w:right w:val="nil"/>
            </w:tcBorders>
            <w:shd w:val="clear" w:color="auto" w:fill="D9D9D9" w:themeFill="background1" w:themeFillShade="D9"/>
            <w:vAlign w:val="bottom"/>
          </w:tcPr>
          <w:p w14:paraId="480BA4C5" w14:textId="77777777" w:rsidR="00051D7E" w:rsidRPr="00770E90" w:rsidRDefault="00051D7E" w:rsidP="007531FB">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2021</w:t>
            </w:r>
          </w:p>
        </w:tc>
        <w:tc>
          <w:tcPr>
            <w:tcW w:w="764" w:type="dxa"/>
            <w:tcBorders>
              <w:top w:val="nil"/>
              <w:left w:val="nil"/>
              <w:bottom w:val="single" w:sz="12" w:space="0" w:color="00688D"/>
              <w:right w:val="nil"/>
            </w:tcBorders>
            <w:shd w:val="clear" w:color="000000" w:fill="FFFFFF"/>
            <w:noWrap/>
            <w:vAlign w:val="bottom"/>
            <w:hideMark/>
          </w:tcPr>
          <w:p w14:paraId="01BD0624" w14:textId="77777777" w:rsidR="00051D7E" w:rsidRPr="00770E90" w:rsidRDefault="00051D7E" w:rsidP="007531FB">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2020</w:t>
            </w:r>
          </w:p>
        </w:tc>
        <w:tc>
          <w:tcPr>
            <w:tcW w:w="764" w:type="dxa"/>
            <w:tcBorders>
              <w:top w:val="nil"/>
              <w:left w:val="nil"/>
              <w:bottom w:val="single" w:sz="12" w:space="0" w:color="00688D"/>
              <w:right w:val="nil"/>
            </w:tcBorders>
            <w:shd w:val="clear" w:color="auto" w:fill="D9D9D9" w:themeFill="background1" w:themeFillShade="D9"/>
            <w:noWrap/>
            <w:vAlign w:val="bottom"/>
            <w:hideMark/>
          </w:tcPr>
          <w:p w14:paraId="4BA14E1F" w14:textId="77777777" w:rsidR="00051D7E" w:rsidRPr="00770E90" w:rsidRDefault="00051D7E" w:rsidP="007531FB">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2019</w:t>
            </w:r>
          </w:p>
        </w:tc>
        <w:tc>
          <w:tcPr>
            <w:tcW w:w="764" w:type="dxa"/>
            <w:tcBorders>
              <w:top w:val="nil"/>
              <w:left w:val="nil"/>
              <w:bottom w:val="single" w:sz="12" w:space="0" w:color="00688D"/>
              <w:right w:val="nil"/>
            </w:tcBorders>
            <w:shd w:val="clear" w:color="000000" w:fill="FFFFFF"/>
            <w:noWrap/>
            <w:vAlign w:val="bottom"/>
            <w:hideMark/>
          </w:tcPr>
          <w:p w14:paraId="063EDA34" w14:textId="77777777" w:rsidR="00051D7E" w:rsidRPr="00770E90" w:rsidRDefault="00051D7E" w:rsidP="007531FB">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2018</w:t>
            </w:r>
          </w:p>
        </w:tc>
        <w:tc>
          <w:tcPr>
            <w:tcW w:w="785" w:type="dxa"/>
            <w:tcBorders>
              <w:top w:val="nil"/>
              <w:left w:val="nil"/>
              <w:bottom w:val="single" w:sz="12" w:space="0" w:color="00688D"/>
              <w:right w:val="nil"/>
            </w:tcBorders>
            <w:shd w:val="clear" w:color="auto" w:fill="D9D9D9" w:themeFill="background1" w:themeFillShade="D9"/>
            <w:noWrap/>
            <w:vAlign w:val="bottom"/>
            <w:hideMark/>
          </w:tcPr>
          <w:p w14:paraId="3445A654" w14:textId="77777777" w:rsidR="00051D7E" w:rsidRPr="00770E90" w:rsidRDefault="00051D7E" w:rsidP="007531FB">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2017</w:t>
            </w:r>
          </w:p>
        </w:tc>
      </w:tr>
      <w:tr w:rsidR="00051D7E" w:rsidRPr="003B0D41" w14:paraId="136EFB07" w14:textId="77777777" w:rsidTr="007531FB">
        <w:trPr>
          <w:trHeight w:val="324"/>
        </w:trPr>
        <w:tc>
          <w:tcPr>
            <w:tcW w:w="5449" w:type="dxa"/>
            <w:tcBorders>
              <w:top w:val="nil"/>
              <w:left w:val="nil"/>
              <w:bottom w:val="nil"/>
              <w:right w:val="nil"/>
            </w:tcBorders>
            <w:shd w:val="clear" w:color="000000" w:fill="FFFFFF"/>
            <w:vAlign w:val="bottom"/>
            <w:hideMark/>
          </w:tcPr>
          <w:p w14:paraId="0707FF55" w14:textId="77777777" w:rsidR="00051D7E" w:rsidRPr="00770E90" w:rsidRDefault="00051D7E" w:rsidP="007531FB">
            <w:pPr>
              <w:rPr>
                <w:rFonts w:ascii="Calibri" w:eastAsia="Times New Roman" w:hAnsi="Calibri" w:cs="Calibri"/>
                <w:color w:val="0D0D0D"/>
                <w:sz w:val="24"/>
                <w:szCs w:val="24"/>
              </w:rPr>
            </w:pPr>
            <w:r w:rsidRPr="00770E90">
              <w:rPr>
                <w:rFonts w:ascii="Calibri" w:eastAsia="Times New Roman" w:hAnsi="Calibri" w:cs="Calibri"/>
                <w:color w:val="0D0D0D"/>
                <w:sz w:val="24"/>
                <w:szCs w:val="24"/>
              </w:rPr>
              <w:t>Annual money-weighted rate of return, net of investment expenses</w:t>
            </w:r>
          </w:p>
        </w:tc>
        <w:tc>
          <w:tcPr>
            <w:tcW w:w="744" w:type="dxa"/>
            <w:tcBorders>
              <w:top w:val="nil"/>
              <w:left w:val="nil"/>
              <w:bottom w:val="nil"/>
              <w:right w:val="nil"/>
            </w:tcBorders>
            <w:shd w:val="clear" w:color="auto" w:fill="D9D9D9" w:themeFill="background1" w:themeFillShade="D9"/>
            <w:vAlign w:val="bottom"/>
          </w:tcPr>
          <w:p w14:paraId="69C141DD" w14:textId="77777777" w:rsidR="00051D7E" w:rsidRPr="00770E90" w:rsidRDefault="00051D7E" w:rsidP="007531FB">
            <w:pPr>
              <w:jc w:val="center"/>
              <w:rPr>
                <w:rFonts w:ascii="Calibri" w:eastAsia="Times New Roman" w:hAnsi="Calibri" w:cs="Calibri"/>
                <w:color w:val="0D0D0D"/>
                <w:sz w:val="24"/>
                <w:szCs w:val="24"/>
              </w:rPr>
            </w:pPr>
            <w:r w:rsidRPr="00770E90">
              <w:rPr>
                <w:rFonts w:ascii="Calibri" w:eastAsia="Times New Roman" w:hAnsi="Calibri" w:cs="Calibri"/>
                <w:sz w:val="24"/>
                <w:szCs w:val="24"/>
              </w:rPr>
              <w:t>26.88%</w:t>
            </w:r>
          </w:p>
        </w:tc>
        <w:tc>
          <w:tcPr>
            <w:tcW w:w="764" w:type="dxa"/>
            <w:tcBorders>
              <w:top w:val="nil"/>
              <w:left w:val="nil"/>
              <w:bottom w:val="nil"/>
              <w:right w:val="nil"/>
            </w:tcBorders>
            <w:shd w:val="clear" w:color="000000" w:fill="FFFFFF"/>
            <w:noWrap/>
            <w:vAlign w:val="bottom"/>
            <w:hideMark/>
          </w:tcPr>
          <w:p w14:paraId="3608A875" w14:textId="77777777" w:rsidR="00051D7E" w:rsidRPr="00770E90" w:rsidRDefault="00051D7E" w:rsidP="007531FB">
            <w:pPr>
              <w:jc w:val="center"/>
              <w:rPr>
                <w:rFonts w:ascii="Calibri" w:eastAsia="Times New Roman" w:hAnsi="Calibri" w:cs="Calibri"/>
                <w:color w:val="0D0D0D"/>
                <w:sz w:val="24"/>
                <w:szCs w:val="24"/>
              </w:rPr>
            </w:pPr>
            <w:r w:rsidRPr="00770E90">
              <w:rPr>
                <w:rFonts w:ascii="Calibri" w:eastAsia="Times New Roman" w:hAnsi="Calibri" w:cs="Calibri"/>
                <w:color w:val="0D0D0D"/>
                <w:sz w:val="24"/>
                <w:szCs w:val="24"/>
              </w:rPr>
              <w:t>1.16%</w:t>
            </w:r>
          </w:p>
        </w:tc>
        <w:tc>
          <w:tcPr>
            <w:tcW w:w="764" w:type="dxa"/>
            <w:tcBorders>
              <w:top w:val="nil"/>
              <w:left w:val="nil"/>
              <w:bottom w:val="nil"/>
              <w:right w:val="nil"/>
            </w:tcBorders>
            <w:shd w:val="clear" w:color="auto" w:fill="D9D9D9" w:themeFill="background1" w:themeFillShade="D9"/>
            <w:noWrap/>
            <w:vAlign w:val="bottom"/>
            <w:hideMark/>
          </w:tcPr>
          <w:p w14:paraId="05335CEF" w14:textId="77777777" w:rsidR="00051D7E" w:rsidRPr="00770E90" w:rsidRDefault="00051D7E" w:rsidP="007531FB">
            <w:pPr>
              <w:jc w:val="center"/>
              <w:rPr>
                <w:rFonts w:ascii="Calibri" w:eastAsia="Times New Roman" w:hAnsi="Calibri" w:cs="Calibri"/>
                <w:color w:val="0D0D0D"/>
                <w:sz w:val="24"/>
                <w:szCs w:val="24"/>
              </w:rPr>
            </w:pPr>
            <w:r w:rsidRPr="00770E90">
              <w:rPr>
                <w:rFonts w:ascii="Calibri" w:eastAsia="Times New Roman" w:hAnsi="Calibri" w:cs="Calibri"/>
                <w:color w:val="0D0D0D"/>
                <w:sz w:val="24"/>
                <w:szCs w:val="24"/>
              </w:rPr>
              <w:t>2.81%</w:t>
            </w:r>
          </w:p>
        </w:tc>
        <w:tc>
          <w:tcPr>
            <w:tcW w:w="764" w:type="dxa"/>
            <w:tcBorders>
              <w:top w:val="nil"/>
              <w:left w:val="nil"/>
              <w:bottom w:val="nil"/>
              <w:right w:val="nil"/>
            </w:tcBorders>
            <w:shd w:val="clear" w:color="000000" w:fill="FFFFFF"/>
            <w:noWrap/>
            <w:vAlign w:val="bottom"/>
            <w:hideMark/>
          </w:tcPr>
          <w:p w14:paraId="1E80FACB" w14:textId="77777777" w:rsidR="00051D7E" w:rsidRPr="00770E90" w:rsidRDefault="00051D7E" w:rsidP="007531FB">
            <w:pPr>
              <w:jc w:val="center"/>
              <w:rPr>
                <w:rFonts w:ascii="Calibri" w:eastAsia="Times New Roman" w:hAnsi="Calibri" w:cs="Calibri"/>
                <w:color w:val="0D0D0D"/>
                <w:sz w:val="24"/>
                <w:szCs w:val="24"/>
              </w:rPr>
            </w:pPr>
            <w:r w:rsidRPr="00770E90">
              <w:rPr>
                <w:rFonts w:ascii="Calibri" w:eastAsia="Times New Roman" w:hAnsi="Calibri" w:cs="Calibri"/>
                <w:color w:val="0D0D0D"/>
                <w:sz w:val="24"/>
                <w:szCs w:val="24"/>
              </w:rPr>
              <w:t>6.90%</w:t>
            </w:r>
          </w:p>
        </w:tc>
        <w:tc>
          <w:tcPr>
            <w:tcW w:w="785" w:type="dxa"/>
            <w:tcBorders>
              <w:top w:val="nil"/>
              <w:left w:val="nil"/>
              <w:bottom w:val="nil"/>
              <w:right w:val="nil"/>
            </w:tcBorders>
            <w:shd w:val="clear" w:color="auto" w:fill="D9D9D9" w:themeFill="background1" w:themeFillShade="D9"/>
            <w:noWrap/>
            <w:vAlign w:val="bottom"/>
            <w:hideMark/>
          </w:tcPr>
          <w:p w14:paraId="5521F98A" w14:textId="77777777" w:rsidR="00051D7E" w:rsidRPr="00770E90" w:rsidRDefault="00051D7E" w:rsidP="007531FB">
            <w:pPr>
              <w:jc w:val="center"/>
              <w:rPr>
                <w:rFonts w:ascii="Calibri" w:eastAsia="Times New Roman" w:hAnsi="Calibri" w:cs="Calibri"/>
                <w:color w:val="0D0D0D"/>
                <w:sz w:val="24"/>
                <w:szCs w:val="24"/>
              </w:rPr>
            </w:pPr>
            <w:r w:rsidRPr="00770E90">
              <w:rPr>
                <w:rFonts w:ascii="Calibri" w:eastAsia="Times New Roman" w:hAnsi="Calibri" w:cs="Calibri"/>
                <w:color w:val="0D0D0D"/>
                <w:sz w:val="24"/>
                <w:szCs w:val="24"/>
              </w:rPr>
              <w:t>11.56%</w:t>
            </w:r>
          </w:p>
        </w:tc>
      </w:tr>
    </w:tbl>
    <w:p w14:paraId="23A0F17E" w14:textId="77777777" w:rsidR="00051D7E" w:rsidRPr="00F54559" w:rsidRDefault="00051D7E" w:rsidP="00051D7E">
      <w:pPr>
        <w:tabs>
          <w:tab w:val="left" w:pos="1440"/>
          <w:tab w:val="left" w:pos="7200"/>
        </w:tabs>
        <w:spacing w:before="240"/>
        <w:rPr>
          <w:rFonts w:cstheme="minorHAnsi"/>
          <w:b/>
          <w:sz w:val="28"/>
          <w:szCs w:val="28"/>
        </w:rPr>
      </w:pPr>
      <w:r w:rsidRPr="00F54559">
        <w:rPr>
          <w:rFonts w:cstheme="minorHAnsi"/>
          <w:sz w:val="24"/>
          <w:szCs w:val="20"/>
        </w:rPr>
        <w:t>The money-weighted rate of return considers the changing amounts actually invested during a period and weights the amount of OPEB plan investments by the proportion of time they are available to earn a return during that period. The rate of return is then calculated by solving, through an iterative process, for the rate that equates the sum of the weighted external cash flows into and out of the OPEB plan investments to the ending fair value of OPEB plan investments.</w:t>
      </w:r>
    </w:p>
    <w:p w14:paraId="705D4038" w14:textId="77777777" w:rsidR="00051D7E" w:rsidRPr="00F54559" w:rsidRDefault="00051D7E" w:rsidP="00051D7E">
      <w:pPr>
        <w:tabs>
          <w:tab w:val="left" w:pos="1440"/>
          <w:tab w:val="left" w:pos="7200"/>
        </w:tabs>
        <w:rPr>
          <w:rFonts w:cstheme="minorHAnsi"/>
          <w:szCs w:val="20"/>
        </w:rPr>
        <w:sectPr w:rsidR="00051D7E" w:rsidRPr="00F54559" w:rsidSect="007531FB">
          <w:pgSz w:w="12240" w:h="15840" w:code="1"/>
          <w:pgMar w:top="1440" w:right="1440" w:bottom="1440" w:left="1440" w:header="720" w:footer="720" w:gutter="0"/>
          <w:cols w:space="0"/>
          <w:titlePg/>
          <w:docGrid w:linePitch="360"/>
        </w:sectPr>
      </w:pPr>
    </w:p>
    <w:p w14:paraId="44758F31" w14:textId="77777777" w:rsidR="00051D7E" w:rsidRPr="00F54559" w:rsidRDefault="00051D7E" w:rsidP="00051D7E">
      <w:pPr>
        <w:rPr>
          <w:rFonts w:cstheme="minorHAnsi"/>
          <w:b/>
          <w:i/>
          <w:sz w:val="26"/>
          <w:szCs w:val="26"/>
          <w:u w:color="000000" w:themeColor="text1"/>
        </w:rPr>
      </w:pPr>
      <w:r w:rsidRPr="00F54559">
        <w:rPr>
          <w:rFonts w:cstheme="minorHAnsi"/>
          <w:b/>
          <w:i/>
          <w:sz w:val="26"/>
          <w:szCs w:val="26"/>
          <w:u w:color="000000" w:themeColor="text1"/>
        </w:rPr>
        <w:lastRenderedPageBreak/>
        <w:t>UNIVERSITY OF MAINE SYSTEM</w:t>
      </w:r>
    </w:p>
    <w:p w14:paraId="6D032589" w14:textId="77777777" w:rsidR="00051D7E" w:rsidRPr="00F54559" w:rsidRDefault="00051D7E" w:rsidP="00051D7E">
      <w:pPr>
        <w:pStyle w:val="AFR1"/>
        <w:spacing w:after="0"/>
        <w:rPr>
          <w:rFonts w:asciiTheme="minorHAnsi" w:hAnsiTheme="minorHAnsi" w:cstheme="minorHAnsi"/>
          <w:sz w:val="14"/>
        </w:rPr>
      </w:pPr>
      <w:r w:rsidRPr="00F54559">
        <w:rPr>
          <w:rFonts w:asciiTheme="minorHAnsi" w:hAnsiTheme="minorHAnsi" w:cstheme="minorHAnsi"/>
        </w:rPr>
        <w:t>Supplemental InformatioN REQUIRED BY THE STATE OF MAINE</w:t>
      </w:r>
    </w:p>
    <w:p w14:paraId="2CC3F7B3" w14:textId="77777777" w:rsidR="00051D7E" w:rsidRPr="00F54559" w:rsidRDefault="00051D7E" w:rsidP="00051D7E">
      <w:pPr>
        <w:pStyle w:val="AFR1"/>
        <w:spacing w:after="0"/>
        <w:rPr>
          <w:rFonts w:asciiTheme="minorHAnsi" w:hAnsiTheme="minorHAnsi" w:cstheme="minorHAnsi"/>
        </w:rPr>
      </w:pPr>
      <w:r w:rsidRPr="00F54559">
        <w:rPr>
          <w:rFonts w:asciiTheme="minorHAnsi" w:hAnsiTheme="minorHAnsi" w:cstheme="minorHAnsi"/>
        </w:rPr>
        <w:t>SCHEDULES OF ACTIVITIES</w:t>
      </w:r>
    </w:p>
    <w:p w14:paraId="75025C79" w14:textId="77777777" w:rsidR="00051D7E" w:rsidRPr="00F54559" w:rsidRDefault="00051D7E" w:rsidP="00051D7E">
      <w:pPr>
        <w:pStyle w:val="AFR1"/>
        <w:rPr>
          <w:rFonts w:asciiTheme="minorHAnsi" w:hAnsiTheme="minorHAnsi" w:cstheme="minorHAnsi"/>
          <w:sz w:val="24"/>
          <w:szCs w:val="24"/>
        </w:rPr>
      </w:pPr>
      <w:r w:rsidRPr="00F54559">
        <w:rPr>
          <w:rFonts w:asciiTheme="minorHAnsi" w:hAnsiTheme="minorHAnsi" w:cstheme="minorHAnsi"/>
          <w:sz w:val="24"/>
          <w:szCs w:val="24"/>
        </w:rPr>
        <w:t>(IN THOUSANDS)</w:t>
      </w:r>
    </w:p>
    <w:p w14:paraId="76A294FA" w14:textId="77777777" w:rsidR="00051D7E" w:rsidRPr="00F54559" w:rsidRDefault="00051D7E" w:rsidP="00051D7E">
      <w:pPr>
        <w:tabs>
          <w:tab w:val="left" w:pos="1440"/>
          <w:tab w:val="left" w:pos="7200"/>
        </w:tabs>
        <w:spacing w:before="120" w:after="120"/>
        <w:rPr>
          <w:rFonts w:eastAsia="Times New Roman" w:cstheme="minorHAnsi"/>
          <w:b/>
          <w:shd w:val="clear" w:color="auto" w:fill="FFFFFF"/>
        </w:rPr>
      </w:pPr>
      <w:r w:rsidRPr="00B22CCE">
        <w:rPr>
          <w:noProof/>
        </w:rPr>
        <w:drawing>
          <wp:inline distT="0" distB="0" distL="0" distR="0" wp14:anchorId="6187C8FB" wp14:editId="474C6FCC">
            <wp:extent cx="5943600" cy="6332023"/>
            <wp:effectExtent l="0" t="0" r="0" b="0"/>
            <wp:docPr id="52" name="Picture 52" descr="Year Ended June 30, 2021      &#10;Functions/Programs Expenses &quot;Charges for&#10;Services&quot; &quot;Program&#10;Investment&#10;Income&quot; &quot;Operating&#10;Grants/ &#10;Contributions&quot; &quot;Capital&#10;Grants/&#10;Contributions&quot; &quot;Net&#10;(Expense)&#10;Revenue&quot;&#10;University of Maine System  $683,302   $268,683   $29,406   $161,564   $8,225   $(215,424)&#10; General Revenues:     &#10; Unrestricted interest and investment income      22,485 &#10; Additions to endowments - gifts       2,582 &#10; State of Maine noncapital appropriation      218,157 &#10; State of Maine capital appropriation      15,988 &#10; Federal Pell grants      34,591 &#10; Coronavirus relief funding      36,602 &#10; Loss on disposal of capital assets      (2,395)&#10; Total Revenues and Extraordinary Items      328,010 &#10; Change in Net Position      112,586 &#10; Net Position, Beginning of Year      832,108 &#10; Net Position, End of Year      $944,694 &#10;      &#10;Year Ended June 30, 2020 (Restated)      &#10;Functions/Programs Expenses &quot;Charges for&#10;Services&quot; &quot;Program&#10;Investment&#10;Loss&quot; &quot;Operating&#10;Grants/ &#10;Contributions&quot; &quot;Capital&#10;Grants/&#10;Contributions&quot; &quot;Net&#10;(Expense)&#10;Revenue&quot;&#10;University of Maine System  $720,114   $292,138   $(4,165)  $145,880   $3,387   $(282,874)&#10; General Revenues:     &#10; Unrestricted interest and investment income   9,074 &#10; Additions to endowments - gifts     787 &#10; State of Maine noncapital appropriation   219,864 &#10; State of Maine capital appropriation   14,308 &#10; Federal Pell grants     37,808 &#10; Coronavirus relief funding     15,456 &#10; Loss on disposal of capital assets    (511)&#10; Total Revenues and Extraordinary Items   296,786 &#10; Change in Net Position     13,912 &#10; Net Position, Beginning of Year    818,196 &#10; Net Position, End of Year     $832,1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6332023"/>
                    </a:xfrm>
                    <a:prstGeom prst="rect">
                      <a:avLst/>
                    </a:prstGeom>
                    <a:noFill/>
                    <a:ln>
                      <a:noFill/>
                    </a:ln>
                  </pic:spPr>
                </pic:pic>
              </a:graphicData>
            </a:graphic>
          </wp:inline>
        </w:drawing>
      </w:r>
      <w:r>
        <w:rPr>
          <w:rFonts w:eastAsia="Times New Roman" w:cstheme="minorHAnsi"/>
          <w:b/>
          <w:shd w:val="clear" w:color="auto" w:fill="FFFFFF"/>
        </w:rPr>
        <w:fldChar w:fldCharType="begin"/>
      </w:r>
      <w:r>
        <w:rPr>
          <w:rFonts w:eastAsia="Times New Roman" w:cstheme="minorHAnsi"/>
          <w:b/>
          <w:shd w:val="clear" w:color="auto" w:fill="FFFFFF"/>
        </w:rPr>
        <w:fldChar w:fldCharType="end"/>
      </w:r>
    </w:p>
    <w:p w14:paraId="563A20F2" w14:textId="77777777" w:rsidR="00051D7E" w:rsidRPr="00F54559" w:rsidRDefault="00051D7E" w:rsidP="00051D7E">
      <w:pPr>
        <w:tabs>
          <w:tab w:val="left" w:pos="1440"/>
          <w:tab w:val="left" w:pos="7200"/>
        </w:tabs>
        <w:ind w:left="1080" w:hanging="1080"/>
        <w:rPr>
          <w:rFonts w:eastAsia="Times New Roman" w:cstheme="minorHAnsi"/>
          <w:b/>
          <w:shd w:val="clear" w:color="auto" w:fill="FFFFFF"/>
        </w:rPr>
        <w:sectPr w:rsidR="00051D7E" w:rsidRPr="00F54559" w:rsidSect="007531FB">
          <w:headerReference w:type="default" r:id="rId100"/>
          <w:pgSz w:w="12240" w:h="15840" w:code="1"/>
          <w:pgMar w:top="1440" w:right="1440" w:bottom="1440" w:left="1440" w:header="720" w:footer="720" w:gutter="0"/>
          <w:cols w:space="0"/>
          <w:docGrid w:linePitch="360"/>
        </w:sectPr>
      </w:pPr>
    </w:p>
    <w:p w14:paraId="0F0ED3EF" w14:textId="6F2FF96A" w:rsidR="00051D7E" w:rsidRDefault="003A1A29" w:rsidP="00051D7E">
      <w:pPr>
        <w:widowControl w:val="0"/>
        <w:spacing w:before="4"/>
        <w:rPr>
          <w:rFonts w:ascii="Arial" w:eastAsia="Arial" w:hAnsi="Arial" w:cs="Times New Roman"/>
        </w:rPr>
      </w:pPr>
      <w:r w:rsidRPr="003A1A29">
        <w:rPr>
          <w:rFonts w:ascii="Arial" w:eastAsia="Arial" w:hAnsi="Arial" w:cs="Times New Roman"/>
          <w:noProof/>
        </w:rPr>
        <w:lastRenderedPageBreak/>
        <w:drawing>
          <wp:inline distT="0" distB="0" distL="0" distR="0" wp14:anchorId="4674CF5C" wp14:editId="0B5AE470">
            <wp:extent cx="5943600" cy="8054923"/>
            <wp:effectExtent l="0" t="0" r="0" b="3810"/>
            <wp:docPr id="45" name="Picture 45" descr="INDEPENDENT AUDITORS’ REPORT ON INTERNAL CONTROL OVER&#10;FINANCIAL REPORTING AND ON COMPLIANCE AND OTHER MATTERS&#10;BASED ON AN AUDIT OF FINANCIAL STATEMENTS PERFORMED&#10;IN ACCORDANCE WITH GOVERNMENT AUDITING STANDARDS&#10;Board of Trustees&#10;University of Maine System&#10;Orono, Maine&#10;We have audited, in accordance with the auditing standards generally accepted in the United States of America and the standards applicable to financial audits contained in Government Auditing Standards issued by the Comptroller General of the United States, the financial statements of the business-type activities, the discretely presented component unit and the aggregate remaining fund information of the University of Maine System (the System) as of and for the year ended June 30, 2021, and the related&#10;notes to the financial statements, which collectively comprise the System’s basic financial statements, and have issued our report thereon dated November 30, 2021. Our report includes a reference to other&#10;auditors who audited the financial statements of the University of Maine Foundation (Foundation), as described in our report on the System’s financial statements. The financial statements of the Foundation were not audited in accordance with Government Auditing Standards, and accordingly, this report does not include reporting on internal control over financial reporting or instances of reportable noncompliance associated with the Foundation.&#10;&#10;Internal Control Over Financial Reporting&#10;In planning and performing our audit of the financial statements, we considered the System’s internal control over financial reporting (internal control) as a basis for designing audit procedures that are appropriate in the circumstances for the purpose of expressing our opinions on the financial statements, but not for the purpose of expressing an opinion on the effectiveness of the System’s internal control. Accordingly, we do not express an opinion on the effectiveness of the System’s internal&#10;control.&#10;&#10;A deficiency in internal control exists when the design or operation of a control does not allow management or employees, in the normal course of performing their assigned functions, to prevent, or detect and correct, misstatements on a timely basis. A material weakness is a deficiency, or a&#10;combination of deficiencies, in internal control, such that there is a reasonable possibility that a material misstatement of the entity’s financial statements will not be prevented, or detected and corrected on a timely basis. A significant deficiency is a deficiency, or combination of deficiencies, in internal control that is less severe than a material weakness, yet important enough to merit attention by those charged with governance.&#10;&#10;Our consideration of internal control was for the limited purpose described in the first paragraph of this section and was not designed to identify all deficiencies in internal control that might be material weaknesses or significant deficiencies. Given these limitations, during our audit we did not identify any deficiencies in internal control that we consider to be material weaknesses. However, material weaknesses may exist that have not been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print">
                      <a:extLst>
                        <a:ext uri="{28A0092B-C50C-407E-A947-70E740481C1C}">
                          <a14:useLocalDpi xmlns:a14="http://schemas.microsoft.com/office/drawing/2010/main" val="0"/>
                        </a:ext>
                      </a:extLst>
                    </a:blip>
                    <a:srcRect l="8010" t="5374" r="7671" b="6325"/>
                    <a:stretch/>
                  </pic:blipFill>
                  <pic:spPr bwMode="auto">
                    <a:xfrm>
                      <a:off x="0" y="0"/>
                      <a:ext cx="5943600" cy="8054923"/>
                    </a:xfrm>
                    <a:prstGeom prst="rect">
                      <a:avLst/>
                    </a:prstGeom>
                    <a:ln>
                      <a:noFill/>
                    </a:ln>
                    <a:extLst>
                      <a:ext uri="{53640926-AAD7-44D8-BBD7-CCE9431645EC}">
                        <a14:shadowObscured xmlns:a14="http://schemas.microsoft.com/office/drawing/2010/main"/>
                      </a:ext>
                    </a:extLst>
                  </pic:spPr>
                </pic:pic>
              </a:graphicData>
            </a:graphic>
          </wp:inline>
        </w:drawing>
      </w:r>
    </w:p>
    <w:p w14:paraId="517A5AFB" w14:textId="4A7D65EF" w:rsidR="00535573" w:rsidRPr="00A74468" w:rsidRDefault="003A1A29" w:rsidP="007531FB">
      <w:pPr>
        <w:widowControl w:val="0"/>
        <w:spacing w:before="4"/>
        <w:rPr>
          <w:rFonts w:eastAsia="Times New Roman" w:cstheme="minorHAnsi"/>
          <w:sz w:val="20"/>
          <w:szCs w:val="20"/>
        </w:rPr>
      </w:pPr>
      <w:r w:rsidRPr="003A1A29">
        <w:rPr>
          <w:rFonts w:eastAsia="Times New Roman" w:cstheme="minorHAnsi"/>
          <w:noProof/>
          <w:sz w:val="20"/>
          <w:szCs w:val="20"/>
        </w:rPr>
        <w:lastRenderedPageBreak/>
        <w:drawing>
          <wp:inline distT="0" distB="0" distL="0" distR="0" wp14:anchorId="2F6BE4DA" wp14:editId="29C5909C">
            <wp:extent cx="5943600" cy="4674088"/>
            <wp:effectExtent l="0" t="0" r="0" b="0"/>
            <wp:docPr id="50" name="Picture 50" descr="Compliance and Other Matters&#10;As part of obtaining reasonable assurance about whether the System’s financial statements are free of material misstatement, we performed tests of its compliance with certain provisions of laws, regulations, contracts, and grant agreements, noncompliance with which could have a direct and material effect on the financial statements. However, providing an opinion on compliance with those provisions was not an objective of our audit and, accordingly, we do not express such an opinion. The results of our tests disclosed no instances of noncompliance or other matters that are required to be reported under Government Auditing Standards.&#10;&#10;Purpose of This Report &#10;The purpose of this report is solely to describe the scope of our testing of internal control and compliance and the results of that testing, and not to provide an opinion on the effectiveness of the System’s internal control or on compliance. This report is an integral part of an audit performed in&#10;accordance with Government Auditing Standards in considering the System’s internal control and compliance. Accordingly, this communication is not suitable for any other purpose.&#10;&#10;CliftonLarsonAllen LLP&#10;Quincy, Massachusetts&#10;November 30,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l="8012" t="3751" r="7732" b="45049"/>
                    <a:stretch/>
                  </pic:blipFill>
                  <pic:spPr bwMode="auto">
                    <a:xfrm>
                      <a:off x="0" y="0"/>
                      <a:ext cx="5943600" cy="4674088"/>
                    </a:xfrm>
                    <a:prstGeom prst="rect">
                      <a:avLst/>
                    </a:prstGeom>
                    <a:ln>
                      <a:noFill/>
                    </a:ln>
                    <a:extLst>
                      <a:ext uri="{53640926-AAD7-44D8-BBD7-CCE9431645EC}">
                        <a14:shadowObscured xmlns:a14="http://schemas.microsoft.com/office/drawing/2010/main"/>
                      </a:ext>
                    </a:extLst>
                  </pic:spPr>
                </pic:pic>
              </a:graphicData>
            </a:graphic>
          </wp:inline>
        </w:drawing>
      </w:r>
    </w:p>
    <w:sectPr w:rsidR="00535573" w:rsidRPr="00A74468" w:rsidSect="007531FB">
      <w:headerReference w:type="default" r:id="rId103"/>
      <w:footerReference w:type="default" r:id="rId104"/>
      <w:headerReference w:type="first" r:id="rId105"/>
      <w:footerReference w:type="first" r:id="rId106"/>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250D8" w14:textId="77777777" w:rsidR="00FE5B5B" w:rsidRDefault="00FE5B5B" w:rsidP="00CC0C1A">
      <w:r>
        <w:separator/>
      </w:r>
    </w:p>
  </w:endnote>
  <w:endnote w:type="continuationSeparator" w:id="0">
    <w:p w14:paraId="49395F5F" w14:textId="77777777" w:rsidR="00FE5B5B" w:rsidRDefault="00FE5B5B" w:rsidP="00CC0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2360C" w14:textId="77777777" w:rsidR="00FE5B5B" w:rsidRPr="00176957" w:rsidRDefault="00FE5B5B" w:rsidP="001A548E">
    <w:pPr>
      <w:pStyle w:val="Footer"/>
      <w:jc w:val="right"/>
      <w:rPr>
        <w:rFonts w:ascii="Calibri" w:hAnsi="Calibri"/>
        <w:sz w:val="2"/>
      </w:rPr>
    </w:pPr>
  </w:p>
  <w:p w14:paraId="0FB021CF" w14:textId="143EFE37" w:rsidR="00FE5B5B" w:rsidRPr="00C233B6" w:rsidRDefault="00FE5B5B" w:rsidP="001A548E">
    <w:pPr>
      <w:pStyle w:val="Heading7"/>
      <w:pBdr>
        <w:top w:val="none" w:sz="0" w:space="0" w:color="auto"/>
      </w:pBdr>
    </w:pPr>
    <w:r w:rsidRPr="00C233B6">
      <w:t>|</w:t>
    </w:r>
    <w:r>
      <w:t xml:space="preserve"> </w:t>
    </w:r>
    <w:r w:rsidRPr="00C233B6">
      <w:fldChar w:fldCharType="begin"/>
    </w:r>
    <w:r w:rsidRPr="00C233B6">
      <w:instrText xml:space="preserve"> PAGE   \* MERGEFORMAT </w:instrText>
    </w:r>
    <w:r w:rsidRPr="00C233B6">
      <w:fldChar w:fldCharType="separate"/>
    </w:r>
    <w:r>
      <w:rPr>
        <w:noProof/>
      </w:rPr>
      <w:t>2</w:t>
    </w:r>
    <w:r w:rsidRPr="00C233B6">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E9EAE" w14:textId="77777777" w:rsidR="00FE5B5B" w:rsidRDefault="00FE5B5B" w:rsidP="00EB2105">
    <w:pPr>
      <w:jc w:val="center"/>
    </w:pPr>
    <w:r w:rsidRPr="00840745">
      <w:rPr>
        <w:sz w:val="20"/>
      </w:rPr>
      <w:t>See accompanying notes to the basic financial statements.</w:t>
    </w:r>
  </w:p>
  <w:p w14:paraId="7D1B02DC" w14:textId="75554ACC" w:rsidR="00FE5B5B" w:rsidRPr="00F54559" w:rsidRDefault="00FE5B5B" w:rsidP="00316DDD">
    <w:pPr>
      <w:pStyle w:val="Heading7"/>
      <w:pBdr>
        <w:top w:val="single" w:sz="18" w:space="1" w:color="00688D"/>
      </w:pBdr>
      <w:tabs>
        <w:tab w:val="clear" w:pos="4262"/>
        <w:tab w:val="clear" w:pos="5220"/>
        <w:tab w:val="clear" w:pos="6691"/>
        <w:tab w:val="clear" w:pos="7621"/>
        <w:tab w:val="clear" w:pos="9630"/>
        <w:tab w:val="left" w:pos="9000"/>
        <w:tab w:val="right" w:pos="12870"/>
      </w:tabs>
      <w:jc w:val="left"/>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21</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Pr>
        <w:noProof/>
        <w:sz w:val="20"/>
      </w:rPr>
      <w:t>47</w:t>
    </w:r>
    <w:r w:rsidRPr="003571FF">
      <w:rPr>
        <w:noProof/>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96259" w14:textId="3DD3DEB6" w:rsidR="00FE5B5B" w:rsidRPr="003571FF" w:rsidRDefault="00FE5B5B" w:rsidP="00CA2417">
    <w:pPr>
      <w:pStyle w:val="Heading7"/>
      <w:pBdr>
        <w:top w:val="single" w:sz="18" w:space="1" w:color="00688D"/>
      </w:pBdr>
      <w:tabs>
        <w:tab w:val="clear" w:pos="720"/>
        <w:tab w:val="clear" w:pos="1440"/>
        <w:tab w:val="clear" w:pos="4262"/>
        <w:tab w:val="clear" w:pos="5220"/>
        <w:tab w:val="clear" w:pos="6691"/>
        <w:tab w:val="clear" w:pos="7621"/>
        <w:tab w:val="left" w:pos="0"/>
        <w:tab w:val="left" w:pos="12960"/>
      </w:tabs>
      <w:ind w:left="0" w:firstLine="0"/>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21</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Pr>
        <w:noProof/>
        <w:sz w:val="20"/>
      </w:rPr>
      <w:t>63</w:t>
    </w:r>
    <w:r w:rsidRPr="003571FF">
      <w:rPr>
        <w:noProof/>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6B152" w14:textId="77777777" w:rsidR="00FE5B5B" w:rsidRPr="00176957" w:rsidRDefault="00FE5B5B" w:rsidP="007531FB">
    <w:pPr>
      <w:pStyle w:val="Footer"/>
      <w:jc w:val="right"/>
      <w:rPr>
        <w:rFonts w:ascii="Calibri" w:hAnsi="Calibri"/>
        <w:sz w:val="2"/>
      </w:rPr>
    </w:pPr>
  </w:p>
  <w:p w14:paraId="478D4DF0" w14:textId="162C70D0" w:rsidR="00FE5B5B" w:rsidRPr="000950E3" w:rsidRDefault="00FE5B5B" w:rsidP="007531FB">
    <w:pPr>
      <w:pStyle w:val="Heading7"/>
      <w:pBdr>
        <w:top w:val="single" w:sz="18" w:space="1" w:color="00688D"/>
      </w:pBdr>
      <w:tabs>
        <w:tab w:val="clear" w:pos="4262"/>
        <w:tab w:val="clear" w:pos="5220"/>
        <w:tab w:val="clear" w:pos="6691"/>
        <w:tab w:val="clear" w:pos="7621"/>
        <w:tab w:val="clear" w:pos="9630"/>
        <w:tab w:val="left" w:pos="12510"/>
        <w:tab w:val="left" w:pos="12960"/>
      </w:tabs>
      <w:jc w:val="left"/>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21</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Pr>
        <w:noProof/>
        <w:sz w:val="20"/>
      </w:rPr>
      <w:t>59</w:t>
    </w:r>
    <w:r w:rsidRPr="000950E3">
      <w:rPr>
        <w:noProof/>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E54E9" w14:textId="77777777" w:rsidR="00FE5B5B" w:rsidRPr="00176957" w:rsidRDefault="00FE5B5B" w:rsidP="007531FB">
    <w:pPr>
      <w:pStyle w:val="Footer"/>
      <w:jc w:val="right"/>
      <w:rPr>
        <w:rFonts w:ascii="Calibri" w:hAnsi="Calibri"/>
        <w:sz w:val="2"/>
      </w:rPr>
    </w:pPr>
  </w:p>
  <w:p w14:paraId="259C28DE" w14:textId="29488BDB" w:rsidR="00FE5B5B" w:rsidRPr="000950E3" w:rsidRDefault="00FE5B5B" w:rsidP="007531FB">
    <w:pPr>
      <w:pStyle w:val="Heading7"/>
      <w:pBdr>
        <w:top w:val="single" w:sz="18" w:space="1" w:color="00688D"/>
      </w:pBdr>
      <w:tabs>
        <w:tab w:val="clear" w:pos="4262"/>
        <w:tab w:val="clear" w:pos="5220"/>
        <w:tab w:val="clear" w:pos="6691"/>
        <w:tab w:val="clear" w:pos="7621"/>
        <w:tab w:val="right" w:pos="9360"/>
      </w:tabs>
      <w:jc w:val="left"/>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21</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Pr>
        <w:noProof/>
        <w:sz w:val="20"/>
      </w:rPr>
      <w:t>60</w:t>
    </w:r>
    <w:r w:rsidRPr="000950E3">
      <w:rPr>
        <w:noProof/>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E745F" w14:textId="77777777" w:rsidR="00FE5B5B" w:rsidRPr="00176957" w:rsidRDefault="00FE5B5B" w:rsidP="007531FB">
    <w:pPr>
      <w:pStyle w:val="Footer"/>
      <w:jc w:val="right"/>
      <w:rPr>
        <w:rFonts w:ascii="Calibri" w:hAnsi="Calibri"/>
        <w:sz w:val="2"/>
      </w:rPr>
    </w:pPr>
    <w:r>
      <w:rPr>
        <w:rFonts w:ascii="Calibri" w:hAnsi="Calibri"/>
        <w:sz w:val="2"/>
      </w:rPr>
      <w:t xml:space="preserve"> </w:t>
    </w:r>
  </w:p>
  <w:p w14:paraId="49435087" w14:textId="5A05E61D" w:rsidR="00FE5B5B" w:rsidRPr="000950E3" w:rsidRDefault="00FE5B5B" w:rsidP="007531FB">
    <w:pPr>
      <w:pStyle w:val="Heading7"/>
      <w:pBdr>
        <w:top w:val="single" w:sz="18" w:space="1" w:color="00688D"/>
      </w:pBdr>
      <w:tabs>
        <w:tab w:val="clear" w:pos="4262"/>
        <w:tab w:val="clear" w:pos="5220"/>
        <w:tab w:val="clear" w:pos="6691"/>
        <w:tab w:val="clear" w:pos="7621"/>
        <w:tab w:val="clear" w:pos="9630"/>
        <w:tab w:val="right" w:pos="12870"/>
        <w:tab w:val="right" w:pos="12960"/>
      </w:tabs>
      <w:jc w:val="both"/>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21</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Pr>
        <w:noProof/>
        <w:sz w:val="20"/>
      </w:rPr>
      <w:t>109</w:t>
    </w:r>
    <w:r w:rsidRPr="000950E3">
      <w:rPr>
        <w:noProof/>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D4C05" w14:textId="6D227848" w:rsidR="00FE5B5B" w:rsidRPr="003571FF" w:rsidRDefault="00FE5B5B" w:rsidP="00877A9B">
    <w:pPr>
      <w:pStyle w:val="Heading7"/>
      <w:pBdr>
        <w:top w:val="single" w:sz="18" w:space="1" w:color="00688D"/>
      </w:pBdr>
      <w:tabs>
        <w:tab w:val="clear" w:pos="720"/>
        <w:tab w:val="clear" w:pos="1440"/>
        <w:tab w:val="clear" w:pos="4262"/>
        <w:tab w:val="clear" w:pos="5220"/>
        <w:tab w:val="clear" w:pos="6691"/>
        <w:tab w:val="clear" w:pos="7621"/>
        <w:tab w:val="clear" w:pos="9630"/>
        <w:tab w:val="left" w:pos="0"/>
        <w:tab w:val="right" w:pos="12870"/>
        <w:tab w:val="left" w:pos="12960"/>
      </w:tabs>
      <w:ind w:left="0" w:firstLine="0"/>
      <w:jc w:val="left"/>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21</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Pr>
        <w:noProof/>
        <w:sz w:val="20"/>
      </w:rPr>
      <w:t>104</w:t>
    </w:r>
    <w:r w:rsidRPr="003571FF">
      <w:rPr>
        <w:noProof/>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8AF46" w14:textId="77777777" w:rsidR="00FE5B5B" w:rsidRPr="00176957" w:rsidRDefault="00FE5B5B" w:rsidP="007531FB">
    <w:pPr>
      <w:pStyle w:val="Footer"/>
      <w:jc w:val="right"/>
      <w:rPr>
        <w:rFonts w:ascii="Calibri" w:hAnsi="Calibri"/>
        <w:sz w:val="2"/>
      </w:rPr>
    </w:pPr>
  </w:p>
  <w:p w14:paraId="74C9041E" w14:textId="1C1503B8" w:rsidR="00FE5B5B" w:rsidRPr="000950E3" w:rsidRDefault="00FE5B5B" w:rsidP="007531FB">
    <w:pPr>
      <w:pStyle w:val="Heading7"/>
      <w:pBdr>
        <w:top w:val="single" w:sz="18" w:space="1" w:color="00688D"/>
      </w:pBdr>
      <w:tabs>
        <w:tab w:val="clear" w:pos="4262"/>
        <w:tab w:val="clear" w:pos="5220"/>
        <w:tab w:val="clear" w:pos="6691"/>
        <w:tab w:val="clear" w:pos="7621"/>
        <w:tab w:val="right" w:pos="9360"/>
      </w:tabs>
      <w:jc w:val="both"/>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21</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Pr>
        <w:noProof/>
        <w:sz w:val="20"/>
      </w:rPr>
      <w:t>111</w:t>
    </w:r>
    <w:r w:rsidRPr="000950E3">
      <w:rPr>
        <w:noProof/>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5FC3A" w14:textId="77777777" w:rsidR="00FE5B5B" w:rsidRPr="003571FF" w:rsidRDefault="00FE5B5B" w:rsidP="007531FB">
    <w:pPr>
      <w:pStyle w:val="Heading7"/>
      <w:pBdr>
        <w:top w:val="single" w:sz="18" w:space="1" w:color="00688D"/>
      </w:pBdr>
      <w:tabs>
        <w:tab w:val="clear" w:pos="4262"/>
        <w:tab w:val="clear" w:pos="5220"/>
        <w:tab w:val="clear" w:pos="6691"/>
        <w:tab w:val="clear" w:pos="7621"/>
        <w:tab w:val="right" w:pos="9360"/>
      </w:tabs>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20</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Pr>
        <w:noProof/>
        <w:sz w:val="20"/>
      </w:rPr>
      <w:t>98</w:t>
    </w:r>
    <w:r w:rsidRPr="003571FF">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E3759" w14:textId="77777777" w:rsidR="00FE5B5B" w:rsidRPr="00176957" w:rsidRDefault="00FE5B5B" w:rsidP="001A548E">
    <w:pPr>
      <w:pStyle w:val="Footer"/>
      <w:jc w:val="right"/>
      <w:rPr>
        <w:rFonts w:ascii="Calibri" w:hAnsi="Calibri"/>
        <w:sz w:val="2"/>
      </w:rPr>
    </w:pPr>
  </w:p>
  <w:p w14:paraId="36BE0E2D" w14:textId="604D8513" w:rsidR="00FE5B5B" w:rsidRPr="00616389" w:rsidRDefault="00FE5B5B" w:rsidP="0068304C">
    <w:pPr>
      <w:pStyle w:val="Heading7"/>
      <w:pBdr>
        <w:top w:val="single" w:sz="18" w:space="1" w:color="00688D"/>
      </w:pBdr>
      <w:tabs>
        <w:tab w:val="clear" w:pos="4262"/>
        <w:tab w:val="clear" w:pos="5220"/>
        <w:tab w:val="clear" w:pos="6691"/>
        <w:tab w:val="clear" w:pos="7621"/>
        <w:tab w:val="right" w:pos="9360"/>
      </w:tabs>
      <w:ind w:left="0" w:right="-90" w:firstLine="0"/>
      <w:jc w:val="both"/>
    </w:pPr>
    <w:r w:rsidRPr="00616389">
      <w:t xml:space="preserve">UNIVERSITY OF MAINE SYSTEM ANNUAL </w:t>
    </w:r>
    <w:r>
      <w:t xml:space="preserve">FINANCIAL </w:t>
    </w:r>
    <w:r w:rsidRPr="00616389">
      <w:t>REPORT 20</w:t>
    </w:r>
    <w:r>
      <w:t>21</w:t>
    </w:r>
    <w:r>
      <w:rPr>
        <w:sz w:val="20"/>
      </w:rPr>
      <w:tab/>
    </w:r>
    <w:r w:rsidRPr="00616389">
      <w:t xml:space="preserve">| </w:t>
    </w:r>
    <w:r w:rsidRPr="00616389">
      <w:fldChar w:fldCharType="begin"/>
    </w:r>
    <w:r w:rsidRPr="00616389">
      <w:instrText xml:space="preserve"> PAGE   \* MERGEFORMAT </w:instrText>
    </w:r>
    <w:r w:rsidRPr="00616389">
      <w:fldChar w:fldCharType="separate"/>
    </w:r>
    <w:r>
      <w:rPr>
        <w:noProof/>
      </w:rPr>
      <w:t>2</w:t>
    </w:r>
    <w:r w:rsidRPr="0061638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944D2" w14:textId="77777777" w:rsidR="00FE5B5B" w:rsidRPr="00176957" w:rsidRDefault="00FE5B5B" w:rsidP="001A548E">
    <w:pPr>
      <w:pStyle w:val="Footer"/>
      <w:jc w:val="right"/>
      <w:rPr>
        <w:rFonts w:ascii="Calibri" w:hAnsi="Calibri"/>
        <w:sz w:val="2"/>
      </w:rPr>
    </w:pPr>
  </w:p>
  <w:p w14:paraId="19955CFC" w14:textId="76917CB1" w:rsidR="00FE5B5B" w:rsidRDefault="00FE5B5B" w:rsidP="00B252E3">
    <w:pPr>
      <w:pStyle w:val="Heading7"/>
      <w:pBdr>
        <w:top w:val="single" w:sz="18" w:space="1" w:color="00688D"/>
      </w:pBdr>
      <w:tabs>
        <w:tab w:val="clear" w:pos="4262"/>
        <w:tab w:val="clear" w:pos="5220"/>
        <w:tab w:val="clear" w:pos="6691"/>
        <w:tab w:val="clear" w:pos="7621"/>
        <w:tab w:val="right" w:pos="9360"/>
      </w:tabs>
      <w:jc w:val="both"/>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21</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Pr>
        <w:noProof/>
        <w:sz w:val="20"/>
      </w:rPr>
      <w:t>8</w:t>
    </w:r>
    <w:r w:rsidRPr="000950E3">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F0FB1" w14:textId="5AE133B6" w:rsidR="00FE5B5B" w:rsidRDefault="00FE5B5B" w:rsidP="00B252E3">
    <w:pPr>
      <w:pStyle w:val="Heading7"/>
      <w:pBdr>
        <w:top w:val="single" w:sz="18" w:space="1" w:color="00688D"/>
      </w:pBdr>
      <w:tabs>
        <w:tab w:val="clear" w:pos="4262"/>
        <w:tab w:val="clear" w:pos="5220"/>
        <w:tab w:val="clear" w:pos="6691"/>
        <w:tab w:val="clear" w:pos="7621"/>
        <w:tab w:val="right" w:pos="9360"/>
      </w:tabs>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21</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Pr>
        <w:noProof/>
        <w:sz w:val="20"/>
      </w:rPr>
      <w:t>9</w:t>
    </w:r>
    <w:r w:rsidRPr="003571FF">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1C04A" w14:textId="77777777" w:rsidR="00FE5B5B" w:rsidRPr="00176957" w:rsidRDefault="00FE5B5B" w:rsidP="00B1748D">
    <w:pPr>
      <w:pStyle w:val="Footer"/>
      <w:jc w:val="right"/>
      <w:rPr>
        <w:rFonts w:ascii="Calibri" w:hAnsi="Calibri"/>
        <w:sz w:val="2"/>
      </w:rPr>
    </w:pPr>
  </w:p>
  <w:p w14:paraId="39CADA89" w14:textId="17046F36" w:rsidR="00FE5B5B" w:rsidRPr="000950E3" w:rsidRDefault="00FE5B5B" w:rsidP="00B1748D">
    <w:pPr>
      <w:pStyle w:val="Heading7"/>
      <w:pBdr>
        <w:top w:val="single" w:sz="18" w:space="1" w:color="00688D"/>
      </w:pBdr>
      <w:tabs>
        <w:tab w:val="clear" w:pos="4262"/>
        <w:tab w:val="clear" w:pos="5220"/>
        <w:tab w:val="clear" w:pos="6691"/>
        <w:tab w:val="clear" w:pos="7621"/>
        <w:tab w:val="right" w:pos="9360"/>
      </w:tabs>
      <w:jc w:val="both"/>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21</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Pr>
        <w:noProof/>
        <w:sz w:val="20"/>
      </w:rPr>
      <w:t>39</w:t>
    </w:r>
    <w:r w:rsidRPr="000950E3">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2A2E3" w14:textId="1C23C525" w:rsidR="00FE5B5B" w:rsidRPr="003571FF" w:rsidRDefault="00FE5B5B" w:rsidP="00B1748D">
    <w:pPr>
      <w:pStyle w:val="Heading7"/>
      <w:pBdr>
        <w:top w:val="single" w:sz="18" w:space="1" w:color="00688D"/>
      </w:pBdr>
      <w:tabs>
        <w:tab w:val="clear" w:pos="4262"/>
        <w:tab w:val="clear" w:pos="5220"/>
        <w:tab w:val="clear" w:pos="6691"/>
        <w:tab w:val="clear" w:pos="7621"/>
        <w:tab w:val="right" w:pos="9360"/>
      </w:tabs>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21</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Pr>
        <w:noProof/>
        <w:sz w:val="20"/>
      </w:rPr>
      <w:t>10</w:t>
    </w:r>
    <w:r w:rsidRPr="003571FF">
      <w:rPr>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A114C" w14:textId="77777777" w:rsidR="00FE5B5B" w:rsidRPr="00176957" w:rsidRDefault="00FE5B5B" w:rsidP="007531FB">
    <w:pPr>
      <w:pStyle w:val="Footer"/>
      <w:jc w:val="right"/>
      <w:rPr>
        <w:rFonts w:ascii="Calibri" w:hAnsi="Calibri"/>
        <w:sz w:val="2"/>
      </w:rPr>
    </w:pPr>
  </w:p>
  <w:p w14:paraId="6BA669C6" w14:textId="77777777" w:rsidR="00FE5B5B" w:rsidRDefault="00FE5B5B" w:rsidP="007531FB">
    <w:pPr>
      <w:jc w:val="center"/>
    </w:pPr>
    <w:r w:rsidRPr="00370891">
      <w:rPr>
        <w:sz w:val="20"/>
      </w:rPr>
      <w:t>See accompanying notes to the basic financial statements.</w:t>
    </w:r>
  </w:p>
  <w:p w14:paraId="6A34B09C" w14:textId="4927468A" w:rsidR="00FE5B5B" w:rsidRPr="000950E3" w:rsidRDefault="00FE5B5B" w:rsidP="007531FB">
    <w:pPr>
      <w:pStyle w:val="Heading7"/>
      <w:pBdr>
        <w:top w:val="single" w:sz="18" w:space="1" w:color="00688D"/>
      </w:pBdr>
      <w:tabs>
        <w:tab w:val="clear" w:pos="4262"/>
        <w:tab w:val="clear" w:pos="5220"/>
        <w:tab w:val="clear" w:pos="6691"/>
        <w:tab w:val="clear" w:pos="7621"/>
        <w:tab w:val="right" w:pos="9360"/>
      </w:tabs>
      <w:jc w:val="both"/>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21</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Pr>
        <w:noProof/>
        <w:sz w:val="20"/>
      </w:rPr>
      <w:t>44</w:t>
    </w:r>
    <w:r w:rsidRPr="000950E3">
      <w:rPr>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435E4" w14:textId="77777777" w:rsidR="00FE5B5B" w:rsidRDefault="00FE5B5B" w:rsidP="007531FB">
    <w:pPr>
      <w:jc w:val="center"/>
    </w:pPr>
    <w:r w:rsidRPr="00840745">
      <w:rPr>
        <w:sz w:val="20"/>
      </w:rPr>
      <w:t>See accompanying notes to the basic financial statements.</w:t>
    </w:r>
  </w:p>
  <w:p w14:paraId="7A845327" w14:textId="3D6D064C" w:rsidR="00FE5B5B" w:rsidRPr="003571FF" w:rsidRDefault="00FE5B5B" w:rsidP="007531FB">
    <w:pPr>
      <w:pStyle w:val="Heading7"/>
      <w:pBdr>
        <w:top w:val="single" w:sz="18" w:space="1" w:color="00688D"/>
      </w:pBdr>
      <w:tabs>
        <w:tab w:val="clear" w:pos="4262"/>
        <w:tab w:val="clear" w:pos="5220"/>
        <w:tab w:val="clear" w:pos="6691"/>
        <w:tab w:val="clear" w:pos="7621"/>
        <w:tab w:val="right" w:pos="9360"/>
      </w:tabs>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21</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Pr>
        <w:noProof/>
        <w:sz w:val="20"/>
      </w:rPr>
      <w:t>45</w:t>
    </w:r>
    <w:r w:rsidRPr="003571FF">
      <w:rPr>
        <w:noProof/>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86BD5" w14:textId="00859E66" w:rsidR="00FE5B5B" w:rsidRPr="00F54559" w:rsidRDefault="00FE5B5B" w:rsidP="007531FB">
    <w:pPr>
      <w:pStyle w:val="Heading7"/>
      <w:pBdr>
        <w:top w:val="single" w:sz="18" w:space="1" w:color="00688D"/>
      </w:pBdr>
      <w:tabs>
        <w:tab w:val="clear" w:pos="4262"/>
        <w:tab w:val="clear" w:pos="5220"/>
        <w:tab w:val="clear" w:pos="6691"/>
        <w:tab w:val="clear" w:pos="7621"/>
      </w:tabs>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21</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Pr>
        <w:noProof/>
        <w:sz w:val="20"/>
      </w:rPr>
      <w:t>57</w:t>
    </w:r>
    <w:r w:rsidRPr="003571FF">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E1086" w14:textId="77777777" w:rsidR="00FE5B5B" w:rsidRDefault="00FE5B5B" w:rsidP="00CC0C1A">
      <w:r>
        <w:separator/>
      </w:r>
    </w:p>
  </w:footnote>
  <w:footnote w:type="continuationSeparator" w:id="0">
    <w:p w14:paraId="1074CD3C" w14:textId="77777777" w:rsidR="00FE5B5B" w:rsidRDefault="00FE5B5B" w:rsidP="00CC0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0FB1A" w14:textId="77777777" w:rsidR="00FE5B5B" w:rsidRPr="00823425" w:rsidRDefault="00FE5B5B" w:rsidP="00335B8F">
    <w:pPr>
      <w:pStyle w:val="Heading4"/>
      <w:tabs>
        <w:tab w:val="clear" w:pos="1440"/>
        <w:tab w:val="clear" w:pos="5400"/>
        <w:tab w:val="clear" w:pos="10620"/>
        <w:tab w:val="left" w:pos="936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51F0B" w14:textId="0D424156" w:rsidR="00FE5B5B" w:rsidRPr="00E94D7A" w:rsidRDefault="00A23D24" w:rsidP="00E94D7A">
    <w:pPr>
      <w:pStyle w:val="Heading4"/>
      <w:rPr>
        <w:i w:val="0"/>
        <w:szCs w:val="16"/>
        <w:u w:color="5B9BD5"/>
      </w:rPr>
    </w:pPr>
    <w:sdt>
      <w:sdtPr>
        <w:rPr>
          <w:i w:val="0"/>
          <w:szCs w:val="16"/>
          <w:u w:color="5B9BD5"/>
        </w:rPr>
        <w:id w:val="-1634171943"/>
        <w:docPartObj>
          <w:docPartGallery w:val="Page Numbers (Top of Page)"/>
          <w:docPartUnique/>
        </w:docPartObj>
      </w:sdtPr>
      <w:sdtEndPr/>
      <w:sdtContent>
        <w:r w:rsidR="00FE5B5B" w:rsidRPr="00A46BC1">
          <w:rPr>
            <w:i w:val="0"/>
            <w:szCs w:val="16"/>
            <w:u w:color="5B9BD5"/>
          </w:rPr>
          <w:t>NOTES TO FINANCIAL STATEMENTS</w:t>
        </w:r>
      </w:sdtContent>
    </w:sdt>
    <w:r w:rsidR="00FE5B5B">
      <w:rPr>
        <w:i w:val="0"/>
        <w:szCs w:val="16"/>
        <w:u w:color="5B9BD5"/>
      </w:rPr>
      <w:t xml:space="preserve"> </w:t>
    </w:r>
    <w:r w:rsidR="00FE5B5B" w:rsidRPr="00AC0D21">
      <w:rPr>
        <w:i w:val="0"/>
        <w:sz w:val="18"/>
        <w:szCs w:val="18"/>
        <w:u w:color="5B9BD5"/>
      </w:rPr>
      <w:t>(IN THOUSANDS)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D4600" w14:textId="29764050" w:rsidR="00FE5B5B" w:rsidRPr="00B252E3" w:rsidRDefault="00A23D24" w:rsidP="00B252E3">
    <w:pPr>
      <w:pStyle w:val="Heading4"/>
      <w:rPr>
        <w:i w:val="0"/>
        <w:szCs w:val="16"/>
        <w:u w:color="5B9BD5"/>
      </w:rPr>
    </w:pPr>
    <w:sdt>
      <w:sdtPr>
        <w:rPr>
          <w:i w:val="0"/>
          <w:szCs w:val="16"/>
          <w:u w:color="5B9BD5"/>
        </w:rPr>
        <w:id w:val="1571073165"/>
        <w:docPartObj>
          <w:docPartGallery w:val="Page Numbers (Top of Page)"/>
          <w:docPartUnique/>
        </w:docPartObj>
      </w:sdtPr>
      <w:sdtEndPr/>
      <w:sdtContent>
        <w:r w:rsidR="00FE5B5B" w:rsidRPr="00A46BC1">
          <w:rPr>
            <w:i w:val="0"/>
            <w:szCs w:val="16"/>
            <w:u w:color="5B9BD5"/>
          </w:rPr>
          <w:t>NOTES TO FINANCIAL STATEMENTS</w:t>
        </w:r>
      </w:sdtContent>
    </w:sdt>
    <w:r w:rsidR="00FE5B5B">
      <w:rPr>
        <w:i w:val="0"/>
        <w:szCs w:val="16"/>
        <w:u w:color="5B9BD5"/>
      </w:rPr>
      <w:t xml:space="preserve"> </w:t>
    </w:r>
    <w:r w:rsidR="00FE5B5B" w:rsidRPr="00AC0D21">
      <w:rPr>
        <w:i w:val="0"/>
        <w:sz w:val="18"/>
        <w:szCs w:val="18"/>
        <w:u w:color="5B9BD5"/>
      </w:rPr>
      <w:t>(IN THOUSANDS)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79B5F" w14:textId="77777777" w:rsidR="00FE5B5B" w:rsidRPr="00B252E3" w:rsidRDefault="00FE5B5B" w:rsidP="00B252E3">
    <w:pPr>
      <w:pStyle w:val="Heading4"/>
      <w:rPr>
        <w:i w:val="0"/>
        <w:szCs w:val="16"/>
        <w:u w:color="5B9BD5"/>
      </w:rPr>
    </w:pPr>
    <w:r>
      <w:rPr>
        <w:i w:val="0"/>
        <w:szCs w:val="16"/>
        <w:u w:color="5B9BD5"/>
      </w:rPr>
      <w:t>REQUIRED SUPPLEMENTAL INFORMATION – RETIREMENT PLANS (UNAUDITED) (IN THOUSANDS)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EAEFA" w14:textId="25D9670E" w:rsidR="00FE5B5B" w:rsidRPr="00B252E3" w:rsidRDefault="00FE5B5B" w:rsidP="00B252E3">
    <w:pPr>
      <w:pStyle w:val="Heading4"/>
      <w:rPr>
        <w:i w:val="0"/>
        <w:szCs w:val="16"/>
        <w:u w:color="5B9BD5"/>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3D747" w14:textId="52E7D98D" w:rsidR="00FE5B5B" w:rsidRPr="00B252E3" w:rsidRDefault="00FE5B5B" w:rsidP="00B252E3">
    <w:pPr>
      <w:pStyle w:val="Heading4"/>
      <w:rPr>
        <w:i w:val="0"/>
        <w:szCs w:val="16"/>
        <w:u w:color="5B9BD5"/>
      </w:rPr>
    </w:pPr>
    <w:r>
      <w:rPr>
        <w:i w:val="0"/>
        <w:szCs w:val="16"/>
        <w:u w:color="5B9BD5"/>
      </w:rPr>
      <w:t>REQUIRED SUPPLEMENTAL INFORMATION – RETIREMENT PLANS (UNAUDITED) (IN THOUSANDS)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A6E2E" w14:textId="77777777" w:rsidR="00FE5B5B" w:rsidRPr="003571FF" w:rsidRDefault="00FE5B5B" w:rsidP="007531FB">
    <w:pPr>
      <w:pStyle w:val="Heading4"/>
      <w:rPr>
        <w:szCs w:val="16"/>
        <w:u w:color="5B9BD5"/>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69524" w14:textId="77777777" w:rsidR="00FE5B5B" w:rsidRPr="003571FF" w:rsidRDefault="00FE5B5B" w:rsidP="007531FB">
    <w:pPr>
      <w:pStyle w:val="Heading4"/>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92268" w14:textId="77777777" w:rsidR="00FE5B5B" w:rsidRPr="003571FF" w:rsidRDefault="00FE5B5B" w:rsidP="007531FB">
    <w:pPr>
      <w:pStyle w:val="Heading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A1958" w14:textId="0636483C" w:rsidR="00FE5B5B" w:rsidRPr="003571FF" w:rsidRDefault="00FE5B5B" w:rsidP="001A548E">
    <w:pPr>
      <w:pStyle w:val="Heading4"/>
    </w:pPr>
  </w:p>
  <w:p w14:paraId="16296B62" w14:textId="77777777" w:rsidR="00FE5B5B" w:rsidRDefault="00FE5B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72D0B" w14:textId="77777777" w:rsidR="00FE5B5B" w:rsidRPr="003571FF" w:rsidRDefault="00FE5B5B" w:rsidP="001A548E">
    <w:pPr>
      <w:pStyle w:val="Heading4"/>
    </w:pPr>
  </w:p>
  <w:p w14:paraId="69F781B4" w14:textId="77777777" w:rsidR="00FE5B5B" w:rsidRDefault="00FE5B5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C0368" w14:textId="0994DB29" w:rsidR="00FE5B5B" w:rsidRPr="00B252E3" w:rsidRDefault="00FE5B5B" w:rsidP="00B1748D">
    <w:pPr>
      <w:pStyle w:val="Heading4"/>
      <w:rPr>
        <w:i w:val="0"/>
      </w:rPr>
    </w:pPr>
    <w:r w:rsidRPr="00B252E3">
      <w:rPr>
        <w:i w:val="0"/>
      </w:rPr>
      <w:t>MANAGEMENT’S DISCUSSION AND ANALYSIS (UNAUDITED)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62A6A" w14:textId="77777777" w:rsidR="00FE5B5B" w:rsidRPr="003571FF" w:rsidRDefault="00FE5B5B" w:rsidP="00B1748D">
    <w:pPr>
      <w:pStyle w:val="Heading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16C64" w14:textId="2A6B948E" w:rsidR="00FE5B5B" w:rsidRPr="00B252E3" w:rsidRDefault="00FE5B5B" w:rsidP="00B1748D">
    <w:pPr>
      <w:pStyle w:val="Heading4"/>
      <w:rPr>
        <w:i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val="0"/>
        <w:szCs w:val="16"/>
        <w:u w:color="5B9BD5"/>
      </w:rPr>
      <w:id w:val="1024129526"/>
      <w:docPartObj>
        <w:docPartGallery w:val="Page Numbers (Top of Page)"/>
        <w:docPartUnique/>
      </w:docPartObj>
    </w:sdtPr>
    <w:sdtEndPr/>
    <w:sdtContent>
      <w:p w14:paraId="7509F58A" w14:textId="77777777" w:rsidR="00FE5B5B" w:rsidRPr="00A46BC1" w:rsidRDefault="00FE5B5B" w:rsidP="007531FB">
        <w:pPr>
          <w:pStyle w:val="Heading4"/>
          <w:rPr>
            <w:i w:val="0"/>
            <w:szCs w:val="16"/>
            <w:u w:color="5B9BD5"/>
          </w:rPr>
        </w:pPr>
        <w:r w:rsidRPr="00A46BC1">
          <w:rPr>
            <w:i w:val="0"/>
            <w:szCs w:val="16"/>
            <w:u w:color="5B9BD5"/>
          </w:rPr>
          <w:t>NOTES TO FINANCIAL STATEMENTS</w:t>
        </w:r>
        <w:r>
          <w:rPr>
            <w:i w:val="0"/>
            <w:szCs w:val="16"/>
            <w:u w:color="5B9BD5"/>
          </w:rPr>
          <w:t xml:space="preserve"> </w:t>
        </w:r>
        <w:r w:rsidRPr="00EF108B">
          <w:rPr>
            <w:i w:val="0"/>
            <w:sz w:val="18"/>
            <w:szCs w:val="18"/>
            <w:u w:color="5B9BD5"/>
          </w:rPr>
          <w:t>(IN THOUSANDS)</w: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val="0"/>
        <w:szCs w:val="16"/>
        <w:u w:color="5B9BD5"/>
      </w:rPr>
      <w:id w:val="-1172254889"/>
      <w:docPartObj>
        <w:docPartGallery w:val="Page Numbers (Top of Page)"/>
        <w:docPartUnique/>
      </w:docPartObj>
    </w:sdtPr>
    <w:sdtEndPr/>
    <w:sdtContent>
      <w:p w14:paraId="0035640F" w14:textId="77777777" w:rsidR="00FE5B5B" w:rsidRPr="002B1325" w:rsidRDefault="00FE5B5B" w:rsidP="007531FB">
        <w:pPr>
          <w:pStyle w:val="Heading4"/>
          <w:rPr>
            <w:i w:val="0"/>
            <w:szCs w:val="16"/>
            <w:u w:color="5B9BD5"/>
          </w:rPr>
        </w:pPr>
        <w:r w:rsidRPr="00A46BC1">
          <w:rPr>
            <w:i w:val="0"/>
            <w:szCs w:val="16"/>
            <w:u w:color="5B9BD5"/>
          </w:rPr>
          <w:t>NOTES TO FINANCIAL STATEMENTS</w:t>
        </w:r>
        <w:r>
          <w:rPr>
            <w:i w:val="0"/>
            <w:szCs w:val="16"/>
            <w:u w:color="5B9BD5"/>
          </w:rPr>
          <w:t xml:space="preserve"> </w:t>
        </w:r>
        <w:r w:rsidRPr="00EF108B">
          <w:rPr>
            <w:i w:val="0"/>
            <w:sz w:val="18"/>
            <w:szCs w:val="18"/>
            <w:u w:color="5B9BD5"/>
          </w:rPr>
          <w:t>(IN THOUSANDS)</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A1FA1" w14:textId="77777777" w:rsidR="00FE5B5B" w:rsidRPr="00A46BC1" w:rsidRDefault="00A23D24" w:rsidP="007531FB">
    <w:pPr>
      <w:pStyle w:val="Heading4"/>
      <w:rPr>
        <w:i w:val="0"/>
        <w:szCs w:val="16"/>
        <w:u w:color="5B9BD5"/>
      </w:rPr>
    </w:pPr>
    <w:sdt>
      <w:sdtPr>
        <w:rPr>
          <w:i w:val="0"/>
          <w:szCs w:val="16"/>
          <w:u w:color="5B9BD5"/>
        </w:rPr>
        <w:id w:val="-693763270"/>
        <w:docPartObj>
          <w:docPartGallery w:val="Page Numbers (Top of Page)"/>
          <w:docPartUnique/>
        </w:docPartObj>
      </w:sdtPr>
      <w:sdtEndPr/>
      <w:sdtContent>
        <w:r w:rsidR="00FE5B5B" w:rsidRPr="00A46BC1">
          <w:rPr>
            <w:i w:val="0"/>
            <w:szCs w:val="16"/>
            <w:u w:color="5B9BD5"/>
          </w:rPr>
          <w:t>NOTES TO FINANCIAL STATEMENTS</w:t>
        </w:r>
      </w:sdtContent>
    </w:sdt>
    <w:r w:rsidR="00FE5B5B">
      <w:rPr>
        <w:i w:val="0"/>
        <w:szCs w:val="16"/>
        <w:u w:color="5B9BD5"/>
      </w:rPr>
      <w:t xml:space="preserve"> </w:t>
    </w:r>
    <w:r w:rsidR="00FE5B5B" w:rsidRPr="00AC0D21">
      <w:rPr>
        <w:i w:val="0"/>
        <w:sz w:val="18"/>
        <w:szCs w:val="18"/>
        <w:u w:color="5B9BD5"/>
      </w:rPr>
      <w:t>(IN THOUSANDS)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2344"/>
    <w:multiLevelType w:val="hybridMultilevel"/>
    <w:tmpl w:val="27241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8114F"/>
    <w:multiLevelType w:val="hybridMultilevel"/>
    <w:tmpl w:val="4F46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A5816"/>
    <w:multiLevelType w:val="hybridMultilevel"/>
    <w:tmpl w:val="28DC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31C64"/>
    <w:multiLevelType w:val="hybridMultilevel"/>
    <w:tmpl w:val="8354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503B1"/>
    <w:multiLevelType w:val="hybridMultilevel"/>
    <w:tmpl w:val="4FE20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26027"/>
    <w:multiLevelType w:val="multilevel"/>
    <w:tmpl w:val="19DA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DC6C3B"/>
    <w:multiLevelType w:val="multilevel"/>
    <w:tmpl w:val="CEE22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6E3095"/>
    <w:multiLevelType w:val="hybridMultilevel"/>
    <w:tmpl w:val="1EC241E8"/>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4565552"/>
    <w:multiLevelType w:val="hybridMultilevel"/>
    <w:tmpl w:val="DE3A0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10748"/>
    <w:multiLevelType w:val="hybridMultilevel"/>
    <w:tmpl w:val="25048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1B28E0"/>
    <w:multiLevelType w:val="hybridMultilevel"/>
    <w:tmpl w:val="A104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57724"/>
    <w:multiLevelType w:val="hybridMultilevel"/>
    <w:tmpl w:val="D450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90055E"/>
    <w:multiLevelType w:val="hybridMultilevel"/>
    <w:tmpl w:val="3798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34B67"/>
    <w:multiLevelType w:val="hybridMultilevel"/>
    <w:tmpl w:val="DA6C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6043A7"/>
    <w:multiLevelType w:val="hybridMultilevel"/>
    <w:tmpl w:val="56848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A248A9"/>
    <w:multiLevelType w:val="multilevel"/>
    <w:tmpl w:val="66BA7D4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3A59B6"/>
    <w:multiLevelType w:val="hybridMultilevel"/>
    <w:tmpl w:val="A7FE27EE"/>
    <w:lvl w:ilvl="0" w:tplc="23605F76">
      <w:start w:val="1"/>
      <w:numFmt w:val="bullet"/>
      <w:lvlText w:val="–"/>
      <w:lvlJc w:val="left"/>
      <w:pPr>
        <w:ind w:left="160" w:hanging="180"/>
      </w:pPr>
      <w:rPr>
        <w:rFonts w:ascii="Calibri" w:eastAsia="Calibri" w:hAnsi="Calibri" w:cs="Times New Roman" w:hint="default"/>
        <w:sz w:val="24"/>
        <w:szCs w:val="24"/>
      </w:rPr>
    </w:lvl>
    <w:lvl w:ilvl="1" w:tplc="A5C85D18">
      <w:start w:val="1"/>
      <w:numFmt w:val="bullet"/>
      <w:lvlText w:val=""/>
      <w:lvlJc w:val="left"/>
      <w:pPr>
        <w:ind w:left="880" w:hanging="360"/>
      </w:pPr>
      <w:rPr>
        <w:rFonts w:ascii="Symbol" w:eastAsia="Symbol" w:hAnsi="Symbol" w:hint="default"/>
        <w:sz w:val="24"/>
        <w:szCs w:val="24"/>
      </w:rPr>
    </w:lvl>
    <w:lvl w:ilvl="2" w:tplc="FA3EE146">
      <w:start w:val="1"/>
      <w:numFmt w:val="bullet"/>
      <w:lvlText w:val="•"/>
      <w:lvlJc w:val="left"/>
      <w:pPr>
        <w:ind w:left="1857" w:hanging="360"/>
      </w:pPr>
    </w:lvl>
    <w:lvl w:ilvl="3" w:tplc="CBCE4F8E">
      <w:start w:val="1"/>
      <w:numFmt w:val="bullet"/>
      <w:lvlText w:val="•"/>
      <w:lvlJc w:val="left"/>
      <w:pPr>
        <w:ind w:left="2835" w:hanging="360"/>
      </w:pPr>
    </w:lvl>
    <w:lvl w:ilvl="4" w:tplc="59441DB4">
      <w:start w:val="1"/>
      <w:numFmt w:val="bullet"/>
      <w:lvlText w:val="•"/>
      <w:lvlJc w:val="left"/>
      <w:pPr>
        <w:ind w:left="3813" w:hanging="360"/>
      </w:pPr>
    </w:lvl>
    <w:lvl w:ilvl="5" w:tplc="C90C7DD6">
      <w:start w:val="1"/>
      <w:numFmt w:val="bullet"/>
      <w:lvlText w:val="•"/>
      <w:lvlJc w:val="left"/>
      <w:pPr>
        <w:ind w:left="4791" w:hanging="360"/>
      </w:pPr>
    </w:lvl>
    <w:lvl w:ilvl="6" w:tplc="F904A13E">
      <w:start w:val="1"/>
      <w:numFmt w:val="bullet"/>
      <w:lvlText w:val="•"/>
      <w:lvlJc w:val="left"/>
      <w:pPr>
        <w:ind w:left="5768" w:hanging="360"/>
      </w:pPr>
    </w:lvl>
    <w:lvl w:ilvl="7" w:tplc="4348AAB2">
      <w:start w:val="1"/>
      <w:numFmt w:val="bullet"/>
      <w:lvlText w:val="•"/>
      <w:lvlJc w:val="left"/>
      <w:pPr>
        <w:ind w:left="6746" w:hanging="360"/>
      </w:pPr>
    </w:lvl>
    <w:lvl w:ilvl="8" w:tplc="18BA0726">
      <w:start w:val="1"/>
      <w:numFmt w:val="bullet"/>
      <w:lvlText w:val="•"/>
      <w:lvlJc w:val="left"/>
      <w:pPr>
        <w:ind w:left="7724" w:hanging="360"/>
      </w:pPr>
    </w:lvl>
  </w:abstractNum>
  <w:abstractNum w:abstractNumId="17" w15:restartNumberingAfterBreak="0">
    <w:nsid w:val="2E6A4275"/>
    <w:multiLevelType w:val="hybridMultilevel"/>
    <w:tmpl w:val="7D8C0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03E89"/>
    <w:multiLevelType w:val="multilevel"/>
    <w:tmpl w:val="A4083F8E"/>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B25CB8"/>
    <w:multiLevelType w:val="hybridMultilevel"/>
    <w:tmpl w:val="7B608696"/>
    <w:lvl w:ilvl="0" w:tplc="B524DBDC">
      <w:start w:val="1"/>
      <w:numFmt w:val="decimal"/>
      <w:lvlText w:val="%1."/>
      <w:lvlJc w:val="left"/>
      <w:pPr>
        <w:ind w:left="720" w:hanging="360"/>
      </w:pPr>
      <w:rPr>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AB7CEE"/>
    <w:multiLevelType w:val="multilevel"/>
    <w:tmpl w:val="356E4D4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5B4DB9"/>
    <w:multiLevelType w:val="hybridMultilevel"/>
    <w:tmpl w:val="09405C6C"/>
    <w:lvl w:ilvl="0" w:tplc="D31435F2">
      <w:start w:val="1"/>
      <w:numFmt w:val="decimal"/>
      <w:lvlText w:val="Leve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7625E5"/>
    <w:multiLevelType w:val="hybridMultilevel"/>
    <w:tmpl w:val="DE5C3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96B4F"/>
    <w:multiLevelType w:val="hybridMultilevel"/>
    <w:tmpl w:val="2E30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9468F3"/>
    <w:multiLevelType w:val="hybridMultilevel"/>
    <w:tmpl w:val="4D30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9D1BA3"/>
    <w:multiLevelType w:val="hybridMultilevel"/>
    <w:tmpl w:val="C7F2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F74F35"/>
    <w:multiLevelType w:val="hybridMultilevel"/>
    <w:tmpl w:val="DF3E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A1683"/>
    <w:multiLevelType w:val="hybridMultilevel"/>
    <w:tmpl w:val="AEB277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521B2410"/>
    <w:multiLevelType w:val="hybridMultilevel"/>
    <w:tmpl w:val="5E0E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294BA9"/>
    <w:multiLevelType w:val="multilevel"/>
    <w:tmpl w:val="CA0E220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E280020"/>
    <w:multiLevelType w:val="hybridMultilevel"/>
    <w:tmpl w:val="096CDB8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5F2B3497"/>
    <w:multiLevelType w:val="hybridMultilevel"/>
    <w:tmpl w:val="8844367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2" w15:restartNumberingAfterBreak="0">
    <w:nsid w:val="5FDB1E3E"/>
    <w:multiLevelType w:val="hybridMultilevel"/>
    <w:tmpl w:val="E7F42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605CBB"/>
    <w:multiLevelType w:val="hybridMultilevel"/>
    <w:tmpl w:val="51EE9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2047498"/>
    <w:multiLevelType w:val="hybridMultilevel"/>
    <w:tmpl w:val="5E22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033984"/>
    <w:multiLevelType w:val="hybridMultilevel"/>
    <w:tmpl w:val="DBAA818C"/>
    <w:lvl w:ilvl="0" w:tplc="85C453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D02EFE"/>
    <w:multiLevelType w:val="multilevel"/>
    <w:tmpl w:val="D24C2368"/>
    <w:lvl w:ilvl="0">
      <w:start w:val="1"/>
      <w:numFmt w:val="decimal"/>
      <w:pStyle w:val="LTNumber1"/>
      <w:lvlText w:val="%1."/>
      <w:lvlJc w:val="left"/>
      <w:pPr>
        <w:tabs>
          <w:tab w:val="num" w:pos="547"/>
        </w:tabs>
        <w:ind w:left="547" w:hanging="547"/>
      </w:pPr>
      <w:rPr>
        <w:rFonts w:ascii="Times New Roman" w:hAnsi="Times New Roman" w:hint="default"/>
        <w:b w:val="0"/>
        <w:i w:val="0"/>
        <w:caps w:val="0"/>
        <w:strike w:val="0"/>
        <w:dstrike w:val="0"/>
        <w:vanish w:val="0"/>
        <w:color w:val="auto"/>
        <w:sz w:val="22"/>
        <w:szCs w:val="22"/>
        <w:u w:val="none"/>
        <w:vertAlign w:val="baseline"/>
      </w:rPr>
    </w:lvl>
    <w:lvl w:ilvl="1">
      <w:start w:val="1"/>
      <w:numFmt w:val="lowerLetter"/>
      <w:pStyle w:val="LTNumber2"/>
      <w:lvlText w:val="(%2)"/>
      <w:lvlJc w:val="left"/>
      <w:pPr>
        <w:tabs>
          <w:tab w:val="num" w:pos="1094"/>
        </w:tabs>
        <w:ind w:left="1094" w:hanging="547"/>
      </w:pPr>
      <w:rPr>
        <w:rFonts w:ascii="Times New Roman" w:hAnsi="Times New Roman" w:hint="default"/>
        <w:b w:val="0"/>
        <w:i w:val="0"/>
        <w:caps w:val="0"/>
        <w:strike w:val="0"/>
        <w:dstrike w:val="0"/>
        <w:vanish w:val="0"/>
        <w:color w:val="auto"/>
        <w:sz w:val="22"/>
        <w:szCs w:val="22"/>
        <w:u w:val="none"/>
        <w:vertAlign w:val="baseline"/>
      </w:rPr>
    </w:lvl>
    <w:lvl w:ilvl="2">
      <w:start w:val="1"/>
      <w:numFmt w:val="lowerRoman"/>
      <w:lvlText w:val="%3)"/>
      <w:lvlJc w:val="left"/>
      <w:pPr>
        <w:tabs>
          <w:tab w:val="num" w:pos="1267"/>
        </w:tabs>
        <w:ind w:left="1267" w:hanging="360"/>
      </w:pPr>
      <w:rPr>
        <w:rFonts w:hint="default"/>
      </w:rPr>
    </w:lvl>
    <w:lvl w:ilvl="3">
      <w:start w:val="1"/>
      <w:numFmt w:val="decimal"/>
      <w:lvlText w:val="(%4)"/>
      <w:lvlJc w:val="left"/>
      <w:pPr>
        <w:tabs>
          <w:tab w:val="num" w:pos="1627"/>
        </w:tabs>
        <w:ind w:left="1627" w:hanging="360"/>
      </w:pPr>
      <w:rPr>
        <w:rFonts w:hint="default"/>
      </w:rPr>
    </w:lvl>
    <w:lvl w:ilvl="4">
      <w:start w:val="1"/>
      <w:numFmt w:val="lowerLetter"/>
      <w:lvlText w:val="(%5)"/>
      <w:lvlJc w:val="left"/>
      <w:pPr>
        <w:tabs>
          <w:tab w:val="num" w:pos="1987"/>
        </w:tabs>
        <w:ind w:left="1987" w:hanging="360"/>
      </w:pPr>
      <w:rPr>
        <w:rFonts w:hint="default"/>
      </w:rPr>
    </w:lvl>
    <w:lvl w:ilvl="5">
      <w:start w:val="1"/>
      <w:numFmt w:val="lowerRoman"/>
      <w:lvlText w:val="(%6)"/>
      <w:lvlJc w:val="left"/>
      <w:pPr>
        <w:tabs>
          <w:tab w:val="num" w:pos="2347"/>
        </w:tabs>
        <w:ind w:left="2347" w:hanging="360"/>
      </w:pPr>
      <w:rPr>
        <w:rFonts w:hint="default"/>
      </w:rPr>
    </w:lvl>
    <w:lvl w:ilvl="6">
      <w:start w:val="1"/>
      <w:numFmt w:val="decimal"/>
      <w:lvlText w:val="%7."/>
      <w:lvlJc w:val="left"/>
      <w:pPr>
        <w:tabs>
          <w:tab w:val="num" w:pos="2707"/>
        </w:tabs>
        <w:ind w:left="2707" w:hanging="360"/>
      </w:pPr>
      <w:rPr>
        <w:rFonts w:hint="default"/>
      </w:rPr>
    </w:lvl>
    <w:lvl w:ilvl="7">
      <w:start w:val="1"/>
      <w:numFmt w:val="lowerLetter"/>
      <w:lvlText w:val="%8."/>
      <w:lvlJc w:val="left"/>
      <w:pPr>
        <w:tabs>
          <w:tab w:val="num" w:pos="3067"/>
        </w:tabs>
        <w:ind w:left="3067" w:hanging="360"/>
      </w:pPr>
      <w:rPr>
        <w:rFonts w:hint="default"/>
      </w:rPr>
    </w:lvl>
    <w:lvl w:ilvl="8">
      <w:start w:val="1"/>
      <w:numFmt w:val="lowerRoman"/>
      <w:lvlText w:val="%9."/>
      <w:lvlJc w:val="left"/>
      <w:pPr>
        <w:tabs>
          <w:tab w:val="num" w:pos="3427"/>
        </w:tabs>
        <w:ind w:left="3427" w:hanging="360"/>
      </w:pPr>
      <w:rPr>
        <w:rFonts w:hint="default"/>
      </w:rPr>
    </w:lvl>
  </w:abstractNum>
  <w:abstractNum w:abstractNumId="37" w15:restartNumberingAfterBreak="0">
    <w:nsid w:val="6A4352BC"/>
    <w:multiLevelType w:val="hybridMultilevel"/>
    <w:tmpl w:val="99666E2E"/>
    <w:lvl w:ilvl="0" w:tplc="EA5434D6">
      <w:start w:val="1"/>
      <w:numFmt w:val="bullet"/>
      <w:lvlText w:val="*"/>
      <w:lvlJc w:val="left"/>
      <w:pPr>
        <w:tabs>
          <w:tab w:val="num" w:pos="2880"/>
        </w:tabs>
        <w:ind w:left="2880" w:hanging="360"/>
      </w:pPr>
      <w:rPr>
        <w:rFonts w:ascii="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F">
      <w:start w:val="1"/>
      <w:numFmt w:val="decimal"/>
      <w:lvlText w:val="%3."/>
      <w:lvlJc w:val="left"/>
      <w:pPr>
        <w:tabs>
          <w:tab w:val="num" w:pos="3600"/>
        </w:tabs>
        <w:ind w:left="3600" w:hanging="360"/>
      </w:pPr>
      <w:rPr>
        <w:rFont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C9A2DE9"/>
    <w:multiLevelType w:val="hybridMultilevel"/>
    <w:tmpl w:val="EFAE6D62"/>
    <w:lvl w:ilvl="0" w:tplc="D31435F2">
      <w:start w:val="1"/>
      <w:numFmt w:val="decimal"/>
      <w:lvlText w:val="Level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3BF3A1B"/>
    <w:multiLevelType w:val="multilevel"/>
    <w:tmpl w:val="995011B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60E52B2"/>
    <w:multiLevelType w:val="hybridMultilevel"/>
    <w:tmpl w:val="67DE19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88E2FCD"/>
    <w:multiLevelType w:val="hybridMultilevel"/>
    <w:tmpl w:val="6E260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ED79FC"/>
    <w:multiLevelType w:val="hybridMultilevel"/>
    <w:tmpl w:val="2C82008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3" w15:restartNumberingAfterBreak="0">
    <w:nsid w:val="7B4027DA"/>
    <w:multiLevelType w:val="hybridMultilevel"/>
    <w:tmpl w:val="3D925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500898"/>
    <w:multiLevelType w:val="hybridMultilevel"/>
    <w:tmpl w:val="48263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1A38D4"/>
    <w:multiLevelType w:val="hybridMultilevel"/>
    <w:tmpl w:val="B56A11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865D3C"/>
    <w:multiLevelType w:val="hybridMultilevel"/>
    <w:tmpl w:val="14E6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7"/>
  </w:num>
  <w:num w:numId="3">
    <w:abstractNumId w:val="40"/>
  </w:num>
  <w:num w:numId="4">
    <w:abstractNumId w:val="36"/>
  </w:num>
  <w:num w:numId="5">
    <w:abstractNumId w:val="33"/>
  </w:num>
  <w:num w:numId="6">
    <w:abstractNumId w:val="23"/>
  </w:num>
  <w:num w:numId="7">
    <w:abstractNumId w:val="28"/>
  </w:num>
  <w:num w:numId="8">
    <w:abstractNumId w:val="4"/>
  </w:num>
  <w:num w:numId="9">
    <w:abstractNumId w:val="21"/>
  </w:num>
  <w:num w:numId="10">
    <w:abstractNumId w:val="38"/>
  </w:num>
  <w:num w:numId="11">
    <w:abstractNumId w:val="7"/>
  </w:num>
  <w:num w:numId="12">
    <w:abstractNumId w:val="35"/>
  </w:num>
  <w:num w:numId="13">
    <w:abstractNumId w:val="19"/>
  </w:num>
  <w:num w:numId="14">
    <w:abstractNumId w:val="10"/>
  </w:num>
  <w:num w:numId="15">
    <w:abstractNumId w:val="8"/>
  </w:num>
  <w:num w:numId="16">
    <w:abstractNumId w:val="34"/>
  </w:num>
  <w:num w:numId="17">
    <w:abstractNumId w:val="24"/>
  </w:num>
  <w:num w:numId="18">
    <w:abstractNumId w:val="25"/>
  </w:num>
  <w:num w:numId="19">
    <w:abstractNumId w:val="45"/>
  </w:num>
  <w:num w:numId="20">
    <w:abstractNumId w:val="29"/>
  </w:num>
  <w:num w:numId="21">
    <w:abstractNumId w:val="15"/>
  </w:num>
  <w:num w:numId="22">
    <w:abstractNumId w:val="18"/>
  </w:num>
  <w:num w:numId="23">
    <w:abstractNumId w:val="20"/>
  </w:num>
  <w:num w:numId="24">
    <w:abstractNumId w:val="39"/>
  </w:num>
  <w:num w:numId="25">
    <w:abstractNumId w:val="41"/>
  </w:num>
  <w:num w:numId="26">
    <w:abstractNumId w:val="44"/>
  </w:num>
  <w:num w:numId="27">
    <w:abstractNumId w:val="17"/>
  </w:num>
  <w:num w:numId="28">
    <w:abstractNumId w:val="27"/>
  </w:num>
  <w:num w:numId="29">
    <w:abstractNumId w:val="16"/>
  </w:num>
  <w:num w:numId="30">
    <w:abstractNumId w:val="40"/>
  </w:num>
  <w:num w:numId="31">
    <w:abstractNumId w:val="37"/>
    <w:lvlOverride w:ilvl="0"/>
    <w:lvlOverride w:ilvl="1"/>
    <w:lvlOverride w:ilvl="2">
      <w:startOverride w:val="1"/>
    </w:lvlOverride>
    <w:lvlOverride w:ilvl="3"/>
    <w:lvlOverride w:ilvl="4"/>
    <w:lvlOverride w:ilvl="5"/>
    <w:lvlOverride w:ilvl="6"/>
    <w:lvlOverride w:ilvl="7"/>
    <w:lvlOverride w:ilvl="8"/>
  </w:num>
  <w:num w:numId="32">
    <w:abstractNumId w:val="20"/>
  </w:num>
  <w:num w:numId="33">
    <w:abstractNumId w:val="15"/>
  </w:num>
  <w:num w:numId="34">
    <w:abstractNumId w:val="18"/>
  </w:num>
  <w:num w:numId="35">
    <w:abstractNumId w:val="39"/>
  </w:num>
  <w:num w:numId="36">
    <w:abstractNumId w:val="29"/>
  </w:num>
  <w:num w:numId="37">
    <w:abstractNumId w:val="25"/>
  </w:num>
  <w:num w:numId="38">
    <w:abstractNumId w:val="22"/>
  </w:num>
  <w:num w:numId="39">
    <w:abstractNumId w:val="46"/>
  </w:num>
  <w:num w:numId="40">
    <w:abstractNumId w:val="31"/>
  </w:num>
  <w:num w:numId="41">
    <w:abstractNumId w:val="2"/>
  </w:num>
  <w:num w:numId="42">
    <w:abstractNumId w:val="3"/>
  </w:num>
  <w:num w:numId="43">
    <w:abstractNumId w:val="11"/>
  </w:num>
  <w:num w:numId="44">
    <w:abstractNumId w:val="26"/>
  </w:num>
  <w:num w:numId="45">
    <w:abstractNumId w:val="42"/>
  </w:num>
  <w:num w:numId="46">
    <w:abstractNumId w:val="43"/>
  </w:num>
  <w:num w:numId="47">
    <w:abstractNumId w:val="0"/>
  </w:num>
  <w:num w:numId="48">
    <w:abstractNumId w:val="32"/>
  </w:num>
  <w:num w:numId="49">
    <w:abstractNumId w:val="1"/>
  </w:num>
  <w:num w:numId="50">
    <w:abstractNumId w:val="12"/>
  </w:num>
  <w:num w:numId="51">
    <w:abstractNumId w:val="14"/>
  </w:num>
  <w:num w:numId="52">
    <w:abstractNumId w:val="13"/>
  </w:num>
  <w:num w:numId="53">
    <w:abstractNumId w:val="9"/>
  </w:num>
  <w:num w:numId="54">
    <w:abstractNumId w:val="6"/>
  </w:num>
  <w:num w:numId="55">
    <w:abstractNumId w:val="5"/>
  </w:num>
  <w:num w:numId="56">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hdrShapeDefaults>
    <o:shapedefaults v:ext="edit" spidmax="590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2DE"/>
    <w:rsid w:val="00000FCB"/>
    <w:rsid w:val="00001D52"/>
    <w:rsid w:val="00001E57"/>
    <w:rsid w:val="000032A1"/>
    <w:rsid w:val="00003A00"/>
    <w:rsid w:val="00003AD3"/>
    <w:rsid w:val="0000464C"/>
    <w:rsid w:val="0000569A"/>
    <w:rsid w:val="00005F09"/>
    <w:rsid w:val="00006BBD"/>
    <w:rsid w:val="00007B76"/>
    <w:rsid w:val="00007BD5"/>
    <w:rsid w:val="00011AA6"/>
    <w:rsid w:val="00011C4E"/>
    <w:rsid w:val="000120C1"/>
    <w:rsid w:val="000131BE"/>
    <w:rsid w:val="00013387"/>
    <w:rsid w:val="00016CCA"/>
    <w:rsid w:val="00026C1F"/>
    <w:rsid w:val="00027E91"/>
    <w:rsid w:val="000319F3"/>
    <w:rsid w:val="000344CA"/>
    <w:rsid w:val="00034E49"/>
    <w:rsid w:val="00035814"/>
    <w:rsid w:val="00035BCD"/>
    <w:rsid w:val="00036F9D"/>
    <w:rsid w:val="000409FE"/>
    <w:rsid w:val="00041C86"/>
    <w:rsid w:val="00043371"/>
    <w:rsid w:val="000438AF"/>
    <w:rsid w:val="000452A0"/>
    <w:rsid w:val="0004559D"/>
    <w:rsid w:val="000467A5"/>
    <w:rsid w:val="000500AF"/>
    <w:rsid w:val="000512FC"/>
    <w:rsid w:val="00051D7E"/>
    <w:rsid w:val="00053331"/>
    <w:rsid w:val="00053941"/>
    <w:rsid w:val="00054253"/>
    <w:rsid w:val="000544FC"/>
    <w:rsid w:val="00055DAE"/>
    <w:rsid w:val="00057B2E"/>
    <w:rsid w:val="00057E19"/>
    <w:rsid w:val="00061285"/>
    <w:rsid w:val="00062873"/>
    <w:rsid w:val="00065387"/>
    <w:rsid w:val="00066414"/>
    <w:rsid w:val="00066FDB"/>
    <w:rsid w:val="00071F03"/>
    <w:rsid w:val="00071F7E"/>
    <w:rsid w:val="00072C68"/>
    <w:rsid w:val="000743E3"/>
    <w:rsid w:val="00074BAF"/>
    <w:rsid w:val="000752AB"/>
    <w:rsid w:val="000758F6"/>
    <w:rsid w:val="00077F65"/>
    <w:rsid w:val="00080111"/>
    <w:rsid w:val="00081B9D"/>
    <w:rsid w:val="00085093"/>
    <w:rsid w:val="00087734"/>
    <w:rsid w:val="0009426F"/>
    <w:rsid w:val="000944F1"/>
    <w:rsid w:val="00094530"/>
    <w:rsid w:val="000949F3"/>
    <w:rsid w:val="000952C1"/>
    <w:rsid w:val="00095B1A"/>
    <w:rsid w:val="00097305"/>
    <w:rsid w:val="000A02AD"/>
    <w:rsid w:val="000A06CF"/>
    <w:rsid w:val="000A0EA8"/>
    <w:rsid w:val="000A3145"/>
    <w:rsid w:val="000A63B1"/>
    <w:rsid w:val="000A6A96"/>
    <w:rsid w:val="000B0010"/>
    <w:rsid w:val="000B10D4"/>
    <w:rsid w:val="000B24A2"/>
    <w:rsid w:val="000B2DA0"/>
    <w:rsid w:val="000B47B6"/>
    <w:rsid w:val="000B5F6B"/>
    <w:rsid w:val="000C2B3A"/>
    <w:rsid w:val="000C313E"/>
    <w:rsid w:val="000C35A5"/>
    <w:rsid w:val="000C3F8C"/>
    <w:rsid w:val="000C57CB"/>
    <w:rsid w:val="000C7AE8"/>
    <w:rsid w:val="000D1E50"/>
    <w:rsid w:val="000D22C5"/>
    <w:rsid w:val="000D289A"/>
    <w:rsid w:val="000D3ACF"/>
    <w:rsid w:val="000D3CAA"/>
    <w:rsid w:val="000D63E5"/>
    <w:rsid w:val="000D6B08"/>
    <w:rsid w:val="000D7572"/>
    <w:rsid w:val="000E01A6"/>
    <w:rsid w:val="000E0580"/>
    <w:rsid w:val="000E1A59"/>
    <w:rsid w:val="000E1ABF"/>
    <w:rsid w:val="000E42E8"/>
    <w:rsid w:val="000E482E"/>
    <w:rsid w:val="000E6214"/>
    <w:rsid w:val="000F0FFB"/>
    <w:rsid w:val="000F3CBF"/>
    <w:rsid w:val="000F4BEA"/>
    <w:rsid w:val="000F4D5E"/>
    <w:rsid w:val="000F57F5"/>
    <w:rsid w:val="000F672C"/>
    <w:rsid w:val="00100073"/>
    <w:rsid w:val="00100DD0"/>
    <w:rsid w:val="00101091"/>
    <w:rsid w:val="001018F7"/>
    <w:rsid w:val="0010221D"/>
    <w:rsid w:val="00102C05"/>
    <w:rsid w:val="001055FE"/>
    <w:rsid w:val="001058FE"/>
    <w:rsid w:val="00105A1A"/>
    <w:rsid w:val="00107590"/>
    <w:rsid w:val="00110266"/>
    <w:rsid w:val="0011045C"/>
    <w:rsid w:val="00110B71"/>
    <w:rsid w:val="00112A8F"/>
    <w:rsid w:val="00113126"/>
    <w:rsid w:val="00116231"/>
    <w:rsid w:val="00120495"/>
    <w:rsid w:val="0012095E"/>
    <w:rsid w:val="00127D9C"/>
    <w:rsid w:val="001303CD"/>
    <w:rsid w:val="00130987"/>
    <w:rsid w:val="001317C4"/>
    <w:rsid w:val="00134EB8"/>
    <w:rsid w:val="00135987"/>
    <w:rsid w:val="00135A7E"/>
    <w:rsid w:val="00136273"/>
    <w:rsid w:val="00136433"/>
    <w:rsid w:val="00136C79"/>
    <w:rsid w:val="00137A82"/>
    <w:rsid w:val="0014005D"/>
    <w:rsid w:val="00140C0B"/>
    <w:rsid w:val="001459F2"/>
    <w:rsid w:val="0014674F"/>
    <w:rsid w:val="001508D1"/>
    <w:rsid w:val="00150F00"/>
    <w:rsid w:val="00151512"/>
    <w:rsid w:val="00155410"/>
    <w:rsid w:val="00160AC1"/>
    <w:rsid w:val="00161C24"/>
    <w:rsid w:val="00162FC5"/>
    <w:rsid w:val="00163284"/>
    <w:rsid w:val="001640DC"/>
    <w:rsid w:val="001656E9"/>
    <w:rsid w:val="00166DD5"/>
    <w:rsid w:val="0017065F"/>
    <w:rsid w:val="00171F58"/>
    <w:rsid w:val="0017290D"/>
    <w:rsid w:val="00172B24"/>
    <w:rsid w:val="00176B6C"/>
    <w:rsid w:val="00176BF3"/>
    <w:rsid w:val="00180CB8"/>
    <w:rsid w:val="00181F5F"/>
    <w:rsid w:val="001824A5"/>
    <w:rsid w:val="00183016"/>
    <w:rsid w:val="00185910"/>
    <w:rsid w:val="00187D5B"/>
    <w:rsid w:val="00190052"/>
    <w:rsid w:val="001904A9"/>
    <w:rsid w:val="00194EC4"/>
    <w:rsid w:val="001952B2"/>
    <w:rsid w:val="001A18A6"/>
    <w:rsid w:val="001A3D42"/>
    <w:rsid w:val="001A3E3C"/>
    <w:rsid w:val="001A4538"/>
    <w:rsid w:val="001A548E"/>
    <w:rsid w:val="001B16A4"/>
    <w:rsid w:val="001B1BE5"/>
    <w:rsid w:val="001B26F7"/>
    <w:rsid w:val="001B2F9F"/>
    <w:rsid w:val="001B3D9A"/>
    <w:rsid w:val="001B48C2"/>
    <w:rsid w:val="001B7651"/>
    <w:rsid w:val="001C4E90"/>
    <w:rsid w:val="001C62FB"/>
    <w:rsid w:val="001C6534"/>
    <w:rsid w:val="001C7B96"/>
    <w:rsid w:val="001D076F"/>
    <w:rsid w:val="001D0A9F"/>
    <w:rsid w:val="001D3480"/>
    <w:rsid w:val="001D4545"/>
    <w:rsid w:val="001D6B66"/>
    <w:rsid w:val="001D76B5"/>
    <w:rsid w:val="001D7B36"/>
    <w:rsid w:val="001E02B3"/>
    <w:rsid w:val="001E13A0"/>
    <w:rsid w:val="001E17D5"/>
    <w:rsid w:val="001F1B4E"/>
    <w:rsid w:val="001F400D"/>
    <w:rsid w:val="001F4E71"/>
    <w:rsid w:val="001F64C6"/>
    <w:rsid w:val="002008D4"/>
    <w:rsid w:val="00200C26"/>
    <w:rsid w:val="00204B35"/>
    <w:rsid w:val="002051B3"/>
    <w:rsid w:val="002060D1"/>
    <w:rsid w:val="00210C7A"/>
    <w:rsid w:val="00211916"/>
    <w:rsid w:val="0021243B"/>
    <w:rsid w:val="0021541F"/>
    <w:rsid w:val="002203C5"/>
    <w:rsid w:val="002203D0"/>
    <w:rsid w:val="00220FF6"/>
    <w:rsid w:val="00221548"/>
    <w:rsid w:val="00221B1D"/>
    <w:rsid w:val="00222565"/>
    <w:rsid w:val="00222AB7"/>
    <w:rsid w:val="002238C5"/>
    <w:rsid w:val="002246A3"/>
    <w:rsid w:val="00225FEB"/>
    <w:rsid w:val="002262DE"/>
    <w:rsid w:val="00231F3B"/>
    <w:rsid w:val="00233111"/>
    <w:rsid w:val="0023313F"/>
    <w:rsid w:val="0023665A"/>
    <w:rsid w:val="00237CCB"/>
    <w:rsid w:val="00242FAC"/>
    <w:rsid w:val="00243002"/>
    <w:rsid w:val="0024364A"/>
    <w:rsid w:val="00243894"/>
    <w:rsid w:val="00243FDE"/>
    <w:rsid w:val="002446D0"/>
    <w:rsid w:val="002451A3"/>
    <w:rsid w:val="00245534"/>
    <w:rsid w:val="00252B2A"/>
    <w:rsid w:val="002536D8"/>
    <w:rsid w:val="00254279"/>
    <w:rsid w:val="00254F27"/>
    <w:rsid w:val="00255907"/>
    <w:rsid w:val="00260BBD"/>
    <w:rsid w:val="00260CEB"/>
    <w:rsid w:val="0026118D"/>
    <w:rsid w:val="002611BD"/>
    <w:rsid w:val="00262F77"/>
    <w:rsid w:val="00267634"/>
    <w:rsid w:val="002676E9"/>
    <w:rsid w:val="00270C95"/>
    <w:rsid w:val="002742A5"/>
    <w:rsid w:val="0027451F"/>
    <w:rsid w:val="00275495"/>
    <w:rsid w:val="00275630"/>
    <w:rsid w:val="002835B7"/>
    <w:rsid w:val="00283751"/>
    <w:rsid w:val="00287205"/>
    <w:rsid w:val="00290456"/>
    <w:rsid w:val="002905B8"/>
    <w:rsid w:val="00291D05"/>
    <w:rsid w:val="00291E45"/>
    <w:rsid w:val="002922B7"/>
    <w:rsid w:val="002928CE"/>
    <w:rsid w:val="002942E7"/>
    <w:rsid w:val="002942FC"/>
    <w:rsid w:val="0029485B"/>
    <w:rsid w:val="00296145"/>
    <w:rsid w:val="002969A4"/>
    <w:rsid w:val="002A00AD"/>
    <w:rsid w:val="002A1333"/>
    <w:rsid w:val="002A182F"/>
    <w:rsid w:val="002A192C"/>
    <w:rsid w:val="002A1B7F"/>
    <w:rsid w:val="002A1DFA"/>
    <w:rsid w:val="002A2588"/>
    <w:rsid w:val="002A3604"/>
    <w:rsid w:val="002A52F7"/>
    <w:rsid w:val="002A6DFA"/>
    <w:rsid w:val="002A6F45"/>
    <w:rsid w:val="002B073F"/>
    <w:rsid w:val="002B1325"/>
    <w:rsid w:val="002B4DAC"/>
    <w:rsid w:val="002B62D8"/>
    <w:rsid w:val="002C083D"/>
    <w:rsid w:val="002C21B5"/>
    <w:rsid w:val="002C2918"/>
    <w:rsid w:val="002C2BE5"/>
    <w:rsid w:val="002C3079"/>
    <w:rsid w:val="002C45F1"/>
    <w:rsid w:val="002C4617"/>
    <w:rsid w:val="002C57BA"/>
    <w:rsid w:val="002C7680"/>
    <w:rsid w:val="002D0128"/>
    <w:rsid w:val="002D081F"/>
    <w:rsid w:val="002D0BA4"/>
    <w:rsid w:val="002D3C75"/>
    <w:rsid w:val="002E0F29"/>
    <w:rsid w:val="002E3211"/>
    <w:rsid w:val="002E3A5D"/>
    <w:rsid w:val="002E46E5"/>
    <w:rsid w:val="002E472C"/>
    <w:rsid w:val="002E6B0F"/>
    <w:rsid w:val="002E6E54"/>
    <w:rsid w:val="002E72C7"/>
    <w:rsid w:val="002E7686"/>
    <w:rsid w:val="002E776D"/>
    <w:rsid w:val="002F0208"/>
    <w:rsid w:val="002F56F4"/>
    <w:rsid w:val="002F616B"/>
    <w:rsid w:val="003004FC"/>
    <w:rsid w:val="00300546"/>
    <w:rsid w:val="003006FC"/>
    <w:rsid w:val="003014CB"/>
    <w:rsid w:val="003027A4"/>
    <w:rsid w:val="00303E42"/>
    <w:rsid w:val="00305432"/>
    <w:rsid w:val="00305F15"/>
    <w:rsid w:val="003062B9"/>
    <w:rsid w:val="0030647B"/>
    <w:rsid w:val="00306DAA"/>
    <w:rsid w:val="003075A8"/>
    <w:rsid w:val="003108A2"/>
    <w:rsid w:val="003128BA"/>
    <w:rsid w:val="0031699D"/>
    <w:rsid w:val="00316DDD"/>
    <w:rsid w:val="00317AEC"/>
    <w:rsid w:val="00322716"/>
    <w:rsid w:val="00323603"/>
    <w:rsid w:val="003251CA"/>
    <w:rsid w:val="003273B3"/>
    <w:rsid w:val="00327D61"/>
    <w:rsid w:val="00330243"/>
    <w:rsid w:val="0033170E"/>
    <w:rsid w:val="0033172A"/>
    <w:rsid w:val="003323E0"/>
    <w:rsid w:val="0033247F"/>
    <w:rsid w:val="00333911"/>
    <w:rsid w:val="003339A9"/>
    <w:rsid w:val="00334195"/>
    <w:rsid w:val="00334E3C"/>
    <w:rsid w:val="00335A52"/>
    <w:rsid w:val="00335B8F"/>
    <w:rsid w:val="00336389"/>
    <w:rsid w:val="00340C85"/>
    <w:rsid w:val="00341639"/>
    <w:rsid w:val="0034559E"/>
    <w:rsid w:val="003459FA"/>
    <w:rsid w:val="003460D0"/>
    <w:rsid w:val="003460D7"/>
    <w:rsid w:val="00346309"/>
    <w:rsid w:val="0034771D"/>
    <w:rsid w:val="00352D1F"/>
    <w:rsid w:val="00353B08"/>
    <w:rsid w:val="00354A36"/>
    <w:rsid w:val="0035542A"/>
    <w:rsid w:val="003606A1"/>
    <w:rsid w:val="00360BC5"/>
    <w:rsid w:val="00364009"/>
    <w:rsid w:val="003641D3"/>
    <w:rsid w:val="00370891"/>
    <w:rsid w:val="00371D48"/>
    <w:rsid w:val="00373A29"/>
    <w:rsid w:val="00374B06"/>
    <w:rsid w:val="003767CF"/>
    <w:rsid w:val="00376D9E"/>
    <w:rsid w:val="00376F40"/>
    <w:rsid w:val="003770C9"/>
    <w:rsid w:val="00381970"/>
    <w:rsid w:val="00383A5E"/>
    <w:rsid w:val="003841A0"/>
    <w:rsid w:val="00385B55"/>
    <w:rsid w:val="0038610C"/>
    <w:rsid w:val="00386A68"/>
    <w:rsid w:val="003924D9"/>
    <w:rsid w:val="0039297B"/>
    <w:rsid w:val="00392EB3"/>
    <w:rsid w:val="0039568A"/>
    <w:rsid w:val="0039612A"/>
    <w:rsid w:val="003A0440"/>
    <w:rsid w:val="003A1A29"/>
    <w:rsid w:val="003A2EBC"/>
    <w:rsid w:val="003A2ED8"/>
    <w:rsid w:val="003A32A1"/>
    <w:rsid w:val="003A4808"/>
    <w:rsid w:val="003A68E2"/>
    <w:rsid w:val="003B0D41"/>
    <w:rsid w:val="003B2823"/>
    <w:rsid w:val="003B2E73"/>
    <w:rsid w:val="003B38FA"/>
    <w:rsid w:val="003B78AD"/>
    <w:rsid w:val="003C1302"/>
    <w:rsid w:val="003C34C6"/>
    <w:rsid w:val="003C52DE"/>
    <w:rsid w:val="003C75F4"/>
    <w:rsid w:val="003D0E6C"/>
    <w:rsid w:val="003D0FD8"/>
    <w:rsid w:val="003D1D05"/>
    <w:rsid w:val="003D3359"/>
    <w:rsid w:val="003D44FC"/>
    <w:rsid w:val="003D565F"/>
    <w:rsid w:val="003D6661"/>
    <w:rsid w:val="003D66E9"/>
    <w:rsid w:val="003E00A0"/>
    <w:rsid w:val="003E1E4E"/>
    <w:rsid w:val="003E3135"/>
    <w:rsid w:val="003E4328"/>
    <w:rsid w:val="003E5DCB"/>
    <w:rsid w:val="003F1AD1"/>
    <w:rsid w:val="003F2737"/>
    <w:rsid w:val="003F3448"/>
    <w:rsid w:val="003F6F7C"/>
    <w:rsid w:val="004006D7"/>
    <w:rsid w:val="004014B8"/>
    <w:rsid w:val="00404A96"/>
    <w:rsid w:val="00407798"/>
    <w:rsid w:val="00407B18"/>
    <w:rsid w:val="00407BB9"/>
    <w:rsid w:val="00411B13"/>
    <w:rsid w:val="00413458"/>
    <w:rsid w:val="004138E1"/>
    <w:rsid w:val="004139D7"/>
    <w:rsid w:val="00413B6F"/>
    <w:rsid w:val="00413F29"/>
    <w:rsid w:val="004148DE"/>
    <w:rsid w:val="00414A19"/>
    <w:rsid w:val="0041723F"/>
    <w:rsid w:val="0042241F"/>
    <w:rsid w:val="00422792"/>
    <w:rsid w:val="00422A09"/>
    <w:rsid w:val="00424822"/>
    <w:rsid w:val="00430A17"/>
    <w:rsid w:val="00430CEB"/>
    <w:rsid w:val="0043381C"/>
    <w:rsid w:val="0043650F"/>
    <w:rsid w:val="004369DE"/>
    <w:rsid w:val="00436E37"/>
    <w:rsid w:val="004419CE"/>
    <w:rsid w:val="00441FE1"/>
    <w:rsid w:val="00445E7E"/>
    <w:rsid w:val="00447068"/>
    <w:rsid w:val="0045079E"/>
    <w:rsid w:val="00451314"/>
    <w:rsid w:val="004522F5"/>
    <w:rsid w:val="00452591"/>
    <w:rsid w:val="0045305C"/>
    <w:rsid w:val="00455CFB"/>
    <w:rsid w:val="00465556"/>
    <w:rsid w:val="00467934"/>
    <w:rsid w:val="00470431"/>
    <w:rsid w:val="00470E29"/>
    <w:rsid w:val="004770D8"/>
    <w:rsid w:val="00483A6B"/>
    <w:rsid w:val="00483B52"/>
    <w:rsid w:val="004848A4"/>
    <w:rsid w:val="004876C9"/>
    <w:rsid w:val="004948AA"/>
    <w:rsid w:val="00494AD0"/>
    <w:rsid w:val="004A0F02"/>
    <w:rsid w:val="004A36FB"/>
    <w:rsid w:val="004A36FE"/>
    <w:rsid w:val="004A3FBC"/>
    <w:rsid w:val="004A4109"/>
    <w:rsid w:val="004A565E"/>
    <w:rsid w:val="004A5B82"/>
    <w:rsid w:val="004A5D9C"/>
    <w:rsid w:val="004A6595"/>
    <w:rsid w:val="004A70C6"/>
    <w:rsid w:val="004A7B35"/>
    <w:rsid w:val="004B0562"/>
    <w:rsid w:val="004B1F7C"/>
    <w:rsid w:val="004B2924"/>
    <w:rsid w:val="004B2B8E"/>
    <w:rsid w:val="004B36FC"/>
    <w:rsid w:val="004B3A55"/>
    <w:rsid w:val="004B55E7"/>
    <w:rsid w:val="004C2A6D"/>
    <w:rsid w:val="004C34BB"/>
    <w:rsid w:val="004C40AE"/>
    <w:rsid w:val="004C79BA"/>
    <w:rsid w:val="004C7A96"/>
    <w:rsid w:val="004D2BF0"/>
    <w:rsid w:val="004D6678"/>
    <w:rsid w:val="004D71BF"/>
    <w:rsid w:val="004E0F2A"/>
    <w:rsid w:val="004E15CA"/>
    <w:rsid w:val="004E330C"/>
    <w:rsid w:val="004E447A"/>
    <w:rsid w:val="004E613D"/>
    <w:rsid w:val="004E7EC6"/>
    <w:rsid w:val="004F2F1C"/>
    <w:rsid w:val="004F3770"/>
    <w:rsid w:val="004F4192"/>
    <w:rsid w:val="004F4FCF"/>
    <w:rsid w:val="00500B42"/>
    <w:rsid w:val="005014A4"/>
    <w:rsid w:val="0050172E"/>
    <w:rsid w:val="0050194B"/>
    <w:rsid w:val="0050304C"/>
    <w:rsid w:val="00505216"/>
    <w:rsid w:val="005062B9"/>
    <w:rsid w:val="00512350"/>
    <w:rsid w:val="00512AA8"/>
    <w:rsid w:val="00513E4F"/>
    <w:rsid w:val="00515CBF"/>
    <w:rsid w:val="00515EE6"/>
    <w:rsid w:val="005204DA"/>
    <w:rsid w:val="005205E4"/>
    <w:rsid w:val="00520694"/>
    <w:rsid w:val="005218D2"/>
    <w:rsid w:val="00522C01"/>
    <w:rsid w:val="00523D59"/>
    <w:rsid w:val="00524245"/>
    <w:rsid w:val="00527125"/>
    <w:rsid w:val="00531F57"/>
    <w:rsid w:val="00532319"/>
    <w:rsid w:val="005333F3"/>
    <w:rsid w:val="00533BC1"/>
    <w:rsid w:val="00535573"/>
    <w:rsid w:val="00536B5A"/>
    <w:rsid w:val="00540652"/>
    <w:rsid w:val="00542321"/>
    <w:rsid w:val="005424BE"/>
    <w:rsid w:val="00542EE7"/>
    <w:rsid w:val="00544FA5"/>
    <w:rsid w:val="00546533"/>
    <w:rsid w:val="005471BA"/>
    <w:rsid w:val="0055135D"/>
    <w:rsid w:val="005518B4"/>
    <w:rsid w:val="00552662"/>
    <w:rsid w:val="005541A0"/>
    <w:rsid w:val="00556700"/>
    <w:rsid w:val="00560663"/>
    <w:rsid w:val="00560E55"/>
    <w:rsid w:val="00563B63"/>
    <w:rsid w:val="00563CED"/>
    <w:rsid w:val="00565793"/>
    <w:rsid w:val="0056669E"/>
    <w:rsid w:val="00566CD4"/>
    <w:rsid w:val="005703B0"/>
    <w:rsid w:val="00570905"/>
    <w:rsid w:val="00571CC2"/>
    <w:rsid w:val="00571D6E"/>
    <w:rsid w:val="005737A4"/>
    <w:rsid w:val="005752CD"/>
    <w:rsid w:val="005756E3"/>
    <w:rsid w:val="0057609A"/>
    <w:rsid w:val="00576EEF"/>
    <w:rsid w:val="005819A3"/>
    <w:rsid w:val="0058260A"/>
    <w:rsid w:val="00584BDA"/>
    <w:rsid w:val="0058516F"/>
    <w:rsid w:val="005860E0"/>
    <w:rsid w:val="005866A7"/>
    <w:rsid w:val="00586E45"/>
    <w:rsid w:val="005910E2"/>
    <w:rsid w:val="00591780"/>
    <w:rsid w:val="00592E2D"/>
    <w:rsid w:val="00594B0B"/>
    <w:rsid w:val="00595DD6"/>
    <w:rsid w:val="00597DDD"/>
    <w:rsid w:val="005A27D8"/>
    <w:rsid w:val="005A31CF"/>
    <w:rsid w:val="005A3287"/>
    <w:rsid w:val="005A341B"/>
    <w:rsid w:val="005A3E5C"/>
    <w:rsid w:val="005A4A15"/>
    <w:rsid w:val="005A4D2B"/>
    <w:rsid w:val="005A4FC1"/>
    <w:rsid w:val="005A5603"/>
    <w:rsid w:val="005A5922"/>
    <w:rsid w:val="005A616D"/>
    <w:rsid w:val="005B243A"/>
    <w:rsid w:val="005B5AF6"/>
    <w:rsid w:val="005B5DFE"/>
    <w:rsid w:val="005C0FAD"/>
    <w:rsid w:val="005C12CC"/>
    <w:rsid w:val="005C194C"/>
    <w:rsid w:val="005C373E"/>
    <w:rsid w:val="005C3E36"/>
    <w:rsid w:val="005C4FA2"/>
    <w:rsid w:val="005C6B19"/>
    <w:rsid w:val="005C737F"/>
    <w:rsid w:val="005C74FA"/>
    <w:rsid w:val="005C7FEC"/>
    <w:rsid w:val="005D29F1"/>
    <w:rsid w:val="005D5387"/>
    <w:rsid w:val="005D6553"/>
    <w:rsid w:val="005D735A"/>
    <w:rsid w:val="005E156B"/>
    <w:rsid w:val="005E2DC1"/>
    <w:rsid w:val="005E347C"/>
    <w:rsid w:val="005E474E"/>
    <w:rsid w:val="005E51F2"/>
    <w:rsid w:val="005E61DF"/>
    <w:rsid w:val="005F35F1"/>
    <w:rsid w:val="005F7BC7"/>
    <w:rsid w:val="006001B5"/>
    <w:rsid w:val="00600BC3"/>
    <w:rsid w:val="00602956"/>
    <w:rsid w:val="00603481"/>
    <w:rsid w:val="00603E2C"/>
    <w:rsid w:val="00605210"/>
    <w:rsid w:val="0060577D"/>
    <w:rsid w:val="00606889"/>
    <w:rsid w:val="00606BBC"/>
    <w:rsid w:val="00610707"/>
    <w:rsid w:val="00611CDD"/>
    <w:rsid w:val="006140D5"/>
    <w:rsid w:val="00614370"/>
    <w:rsid w:val="00614713"/>
    <w:rsid w:val="00615568"/>
    <w:rsid w:val="00617B49"/>
    <w:rsid w:val="0062006A"/>
    <w:rsid w:val="006232A1"/>
    <w:rsid w:val="006247F4"/>
    <w:rsid w:val="00624BB3"/>
    <w:rsid w:val="00626C66"/>
    <w:rsid w:val="00627BEC"/>
    <w:rsid w:val="00627C1A"/>
    <w:rsid w:val="00630D4E"/>
    <w:rsid w:val="00633266"/>
    <w:rsid w:val="00633DA1"/>
    <w:rsid w:val="00634FB6"/>
    <w:rsid w:val="00640ED5"/>
    <w:rsid w:val="0064124A"/>
    <w:rsid w:val="00641EAD"/>
    <w:rsid w:val="006423B4"/>
    <w:rsid w:val="00650DD2"/>
    <w:rsid w:val="00653071"/>
    <w:rsid w:val="0065387E"/>
    <w:rsid w:val="006539B7"/>
    <w:rsid w:val="00653C92"/>
    <w:rsid w:val="00653DB7"/>
    <w:rsid w:val="0065414B"/>
    <w:rsid w:val="00654467"/>
    <w:rsid w:val="00654E37"/>
    <w:rsid w:val="0065693C"/>
    <w:rsid w:val="00660374"/>
    <w:rsid w:val="00661599"/>
    <w:rsid w:val="00663FDB"/>
    <w:rsid w:val="006645B2"/>
    <w:rsid w:val="00664FD4"/>
    <w:rsid w:val="006651AC"/>
    <w:rsid w:val="006657F3"/>
    <w:rsid w:val="00665AE3"/>
    <w:rsid w:val="00665D86"/>
    <w:rsid w:val="00665E85"/>
    <w:rsid w:val="00667F8D"/>
    <w:rsid w:val="00671809"/>
    <w:rsid w:val="00673951"/>
    <w:rsid w:val="00675E73"/>
    <w:rsid w:val="0067623C"/>
    <w:rsid w:val="00676D79"/>
    <w:rsid w:val="00680872"/>
    <w:rsid w:val="00681F4A"/>
    <w:rsid w:val="0068304C"/>
    <w:rsid w:val="00683545"/>
    <w:rsid w:val="006837EF"/>
    <w:rsid w:val="00685231"/>
    <w:rsid w:val="00686A74"/>
    <w:rsid w:val="0069131B"/>
    <w:rsid w:val="00694120"/>
    <w:rsid w:val="006945C5"/>
    <w:rsid w:val="00695AB4"/>
    <w:rsid w:val="00695D22"/>
    <w:rsid w:val="00696041"/>
    <w:rsid w:val="0069623F"/>
    <w:rsid w:val="006A1820"/>
    <w:rsid w:val="006A1B1F"/>
    <w:rsid w:val="006A24DD"/>
    <w:rsid w:val="006A32E8"/>
    <w:rsid w:val="006A4C9B"/>
    <w:rsid w:val="006A5CFF"/>
    <w:rsid w:val="006A5F2B"/>
    <w:rsid w:val="006A60C3"/>
    <w:rsid w:val="006A6DEF"/>
    <w:rsid w:val="006B066F"/>
    <w:rsid w:val="006B1965"/>
    <w:rsid w:val="006B1EA9"/>
    <w:rsid w:val="006B271C"/>
    <w:rsid w:val="006B376D"/>
    <w:rsid w:val="006B4BB1"/>
    <w:rsid w:val="006B4FE5"/>
    <w:rsid w:val="006B6055"/>
    <w:rsid w:val="006B6D61"/>
    <w:rsid w:val="006B79D1"/>
    <w:rsid w:val="006B7EC1"/>
    <w:rsid w:val="006C3536"/>
    <w:rsid w:val="006C68D0"/>
    <w:rsid w:val="006C751E"/>
    <w:rsid w:val="006C7872"/>
    <w:rsid w:val="006D04F3"/>
    <w:rsid w:val="006D05C5"/>
    <w:rsid w:val="006D0FD9"/>
    <w:rsid w:val="006D182E"/>
    <w:rsid w:val="006D1CA3"/>
    <w:rsid w:val="006D1DF9"/>
    <w:rsid w:val="006D24BC"/>
    <w:rsid w:val="006D2737"/>
    <w:rsid w:val="006D3281"/>
    <w:rsid w:val="006D36C7"/>
    <w:rsid w:val="006D38A2"/>
    <w:rsid w:val="006D38D7"/>
    <w:rsid w:val="006D3D52"/>
    <w:rsid w:val="006D493F"/>
    <w:rsid w:val="006D5AD8"/>
    <w:rsid w:val="006D64F4"/>
    <w:rsid w:val="006E06BF"/>
    <w:rsid w:val="006E3280"/>
    <w:rsid w:val="006E44D1"/>
    <w:rsid w:val="006E51EB"/>
    <w:rsid w:val="006E6CB1"/>
    <w:rsid w:val="006E6DCF"/>
    <w:rsid w:val="006F1EBF"/>
    <w:rsid w:val="006F307B"/>
    <w:rsid w:val="006F4ADF"/>
    <w:rsid w:val="006F4D6B"/>
    <w:rsid w:val="006F4EE3"/>
    <w:rsid w:val="006F516D"/>
    <w:rsid w:val="006F60AB"/>
    <w:rsid w:val="006F690C"/>
    <w:rsid w:val="006F791C"/>
    <w:rsid w:val="006F79FB"/>
    <w:rsid w:val="00700041"/>
    <w:rsid w:val="00701541"/>
    <w:rsid w:val="00701649"/>
    <w:rsid w:val="00706FBE"/>
    <w:rsid w:val="0071003B"/>
    <w:rsid w:val="00711FE6"/>
    <w:rsid w:val="00712080"/>
    <w:rsid w:val="00714DB8"/>
    <w:rsid w:val="00717EB2"/>
    <w:rsid w:val="00721E34"/>
    <w:rsid w:val="00722B3A"/>
    <w:rsid w:val="00723830"/>
    <w:rsid w:val="00724A20"/>
    <w:rsid w:val="007258E6"/>
    <w:rsid w:val="007271AA"/>
    <w:rsid w:val="00727970"/>
    <w:rsid w:val="00727A4F"/>
    <w:rsid w:val="00727E3D"/>
    <w:rsid w:val="007317C6"/>
    <w:rsid w:val="007322A8"/>
    <w:rsid w:val="0073314D"/>
    <w:rsid w:val="007349A0"/>
    <w:rsid w:val="00735A4C"/>
    <w:rsid w:val="00737CDE"/>
    <w:rsid w:val="0074057E"/>
    <w:rsid w:val="00740C7D"/>
    <w:rsid w:val="007421C5"/>
    <w:rsid w:val="00743E0E"/>
    <w:rsid w:val="00746F86"/>
    <w:rsid w:val="0075021A"/>
    <w:rsid w:val="00751454"/>
    <w:rsid w:val="00751601"/>
    <w:rsid w:val="00751C09"/>
    <w:rsid w:val="00752087"/>
    <w:rsid w:val="0075283F"/>
    <w:rsid w:val="007531FB"/>
    <w:rsid w:val="0075432E"/>
    <w:rsid w:val="00754801"/>
    <w:rsid w:val="007557AB"/>
    <w:rsid w:val="00757B76"/>
    <w:rsid w:val="0076044E"/>
    <w:rsid w:val="007652F5"/>
    <w:rsid w:val="00765520"/>
    <w:rsid w:val="00767791"/>
    <w:rsid w:val="00767B0C"/>
    <w:rsid w:val="00767BCC"/>
    <w:rsid w:val="007706DF"/>
    <w:rsid w:val="007708FF"/>
    <w:rsid w:val="00771006"/>
    <w:rsid w:val="007725A3"/>
    <w:rsid w:val="00772940"/>
    <w:rsid w:val="00775AD5"/>
    <w:rsid w:val="00780D3A"/>
    <w:rsid w:val="0078431A"/>
    <w:rsid w:val="00784FCD"/>
    <w:rsid w:val="0078506B"/>
    <w:rsid w:val="007857B3"/>
    <w:rsid w:val="00785953"/>
    <w:rsid w:val="007867F1"/>
    <w:rsid w:val="00787E63"/>
    <w:rsid w:val="00790AF8"/>
    <w:rsid w:val="00792094"/>
    <w:rsid w:val="00793066"/>
    <w:rsid w:val="007938DB"/>
    <w:rsid w:val="00794171"/>
    <w:rsid w:val="007953AE"/>
    <w:rsid w:val="00796C55"/>
    <w:rsid w:val="00796CA3"/>
    <w:rsid w:val="00796CE3"/>
    <w:rsid w:val="00797128"/>
    <w:rsid w:val="007A20B3"/>
    <w:rsid w:val="007B08B5"/>
    <w:rsid w:val="007B33F5"/>
    <w:rsid w:val="007B4B46"/>
    <w:rsid w:val="007B4ED7"/>
    <w:rsid w:val="007B55F5"/>
    <w:rsid w:val="007B57F1"/>
    <w:rsid w:val="007B6179"/>
    <w:rsid w:val="007B6603"/>
    <w:rsid w:val="007B7EA1"/>
    <w:rsid w:val="007C1390"/>
    <w:rsid w:val="007C48FA"/>
    <w:rsid w:val="007C6637"/>
    <w:rsid w:val="007D2A81"/>
    <w:rsid w:val="007D4804"/>
    <w:rsid w:val="007D695E"/>
    <w:rsid w:val="007E307E"/>
    <w:rsid w:val="007E3550"/>
    <w:rsid w:val="007E4D9F"/>
    <w:rsid w:val="007E4ECC"/>
    <w:rsid w:val="007E608D"/>
    <w:rsid w:val="007E7AFE"/>
    <w:rsid w:val="007F10D7"/>
    <w:rsid w:val="007F32C5"/>
    <w:rsid w:val="007F367A"/>
    <w:rsid w:val="007F4386"/>
    <w:rsid w:val="007F6438"/>
    <w:rsid w:val="008005D8"/>
    <w:rsid w:val="0080169A"/>
    <w:rsid w:val="00802BCD"/>
    <w:rsid w:val="00804EC9"/>
    <w:rsid w:val="00805B70"/>
    <w:rsid w:val="0080799E"/>
    <w:rsid w:val="00807F62"/>
    <w:rsid w:val="00810233"/>
    <w:rsid w:val="00811322"/>
    <w:rsid w:val="00812A27"/>
    <w:rsid w:val="00812CDD"/>
    <w:rsid w:val="00813B6A"/>
    <w:rsid w:val="00813D98"/>
    <w:rsid w:val="00814E27"/>
    <w:rsid w:val="00815CF7"/>
    <w:rsid w:val="0081760A"/>
    <w:rsid w:val="00820F9A"/>
    <w:rsid w:val="00825A8C"/>
    <w:rsid w:val="008262BF"/>
    <w:rsid w:val="00826561"/>
    <w:rsid w:val="00826B88"/>
    <w:rsid w:val="00831AE2"/>
    <w:rsid w:val="00833CDD"/>
    <w:rsid w:val="00833E41"/>
    <w:rsid w:val="0083414B"/>
    <w:rsid w:val="00834C4C"/>
    <w:rsid w:val="00835E17"/>
    <w:rsid w:val="008369A9"/>
    <w:rsid w:val="0084003E"/>
    <w:rsid w:val="00842404"/>
    <w:rsid w:val="00842B5D"/>
    <w:rsid w:val="00843490"/>
    <w:rsid w:val="00843E6A"/>
    <w:rsid w:val="00845692"/>
    <w:rsid w:val="00845842"/>
    <w:rsid w:val="00845A3B"/>
    <w:rsid w:val="00852087"/>
    <w:rsid w:val="00852FA2"/>
    <w:rsid w:val="008571B6"/>
    <w:rsid w:val="008574E5"/>
    <w:rsid w:val="0086081F"/>
    <w:rsid w:val="00861233"/>
    <w:rsid w:val="0086151C"/>
    <w:rsid w:val="00861ED9"/>
    <w:rsid w:val="008640D5"/>
    <w:rsid w:val="00865AC2"/>
    <w:rsid w:val="00870BA2"/>
    <w:rsid w:val="00870CEB"/>
    <w:rsid w:val="00871B8B"/>
    <w:rsid w:val="00875AA0"/>
    <w:rsid w:val="00877A9B"/>
    <w:rsid w:val="00882E81"/>
    <w:rsid w:val="00882FD7"/>
    <w:rsid w:val="00886B52"/>
    <w:rsid w:val="00886C1B"/>
    <w:rsid w:val="00890AEA"/>
    <w:rsid w:val="0089113A"/>
    <w:rsid w:val="00891295"/>
    <w:rsid w:val="00893A30"/>
    <w:rsid w:val="00895376"/>
    <w:rsid w:val="008A010F"/>
    <w:rsid w:val="008A6F83"/>
    <w:rsid w:val="008A7379"/>
    <w:rsid w:val="008A7F65"/>
    <w:rsid w:val="008B5CA1"/>
    <w:rsid w:val="008C043E"/>
    <w:rsid w:val="008C0CCB"/>
    <w:rsid w:val="008C3EA4"/>
    <w:rsid w:val="008C4731"/>
    <w:rsid w:val="008C58D5"/>
    <w:rsid w:val="008C5E96"/>
    <w:rsid w:val="008D0420"/>
    <w:rsid w:val="008D3283"/>
    <w:rsid w:val="008D3FCF"/>
    <w:rsid w:val="008D4582"/>
    <w:rsid w:val="008D483F"/>
    <w:rsid w:val="008D716D"/>
    <w:rsid w:val="008D7CA2"/>
    <w:rsid w:val="008D7D32"/>
    <w:rsid w:val="008E0AF9"/>
    <w:rsid w:val="008E0F06"/>
    <w:rsid w:val="008E177D"/>
    <w:rsid w:val="008E73C2"/>
    <w:rsid w:val="008F1BC2"/>
    <w:rsid w:val="008F319A"/>
    <w:rsid w:val="008F5DF4"/>
    <w:rsid w:val="008F7505"/>
    <w:rsid w:val="009003C6"/>
    <w:rsid w:val="009006DF"/>
    <w:rsid w:val="00900AD9"/>
    <w:rsid w:val="009010E1"/>
    <w:rsid w:val="009013B6"/>
    <w:rsid w:val="009014A7"/>
    <w:rsid w:val="00902E7F"/>
    <w:rsid w:val="00903ECB"/>
    <w:rsid w:val="009045DC"/>
    <w:rsid w:val="00906B5E"/>
    <w:rsid w:val="00910FCB"/>
    <w:rsid w:val="009119D6"/>
    <w:rsid w:val="009122B4"/>
    <w:rsid w:val="00914FE8"/>
    <w:rsid w:val="00916D5B"/>
    <w:rsid w:val="009208D5"/>
    <w:rsid w:val="00923104"/>
    <w:rsid w:val="00924D5E"/>
    <w:rsid w:val="00924D79"/>
    <w:rsid w:val="0092595D"/>
    <w:rsid w:val="0093588D"/>
    <w:rsid w:val="00937200"/>
    <w:rsid w:val="00937971"/>
    <w:rsid w:val="009435B9"/>
    <w:rsid w:val="0094618A"/>
    <w:rsid w:val="009511A0"/>
    <w:rsid w:val="009527D5"/>
    <w:rsid w:val="00954A39"/>
    <w:rsid w:val="00954B01"/>
    <w:rsid w:val="00954D00"/>
    <w:rsid w:val="00956603"/>
    <w:rsid w:val="00961AC2"/>
    <w:rsid w:val="009629E8"/>
    <w:rsid w:val="00962FED"/>
    <w:rsid w:val="009633D0"/>
    <w:rsid w:val="009640DD"/>
    <w:rsid w:val="009641E0"/>
    <w:rsid w:val="00964684"/>
    <w:rsid w:val="00964A39"/>
    <w:rsid w:val="00965321"/>
    <w:rsid w:val="00965713"/>
    <w:rsid w:val="0097026A"/>
    <w:rsid w:val="00975B97"/>
    <w:rsid w:val="00975D6E"/>
    <w:rsid w:val="0097659C"/>
    <w:rsid w:val="0097675E"/>
    <w:rsid w:val="009772AC"/>
    <w:rsid w:val="00980B6E"/>
    <w:rsid w:val="0098593C"/>
    <w:rsid w:val="00985AC6"/>
    <w:rsid w:val="0099219F"/>
    <w:rsid w:val="00992496"/>
    <w:rsid w:val="00993ED4"/>
    <w:rsid w:val="00997919"/>
    <w:rsid w:val="009A0C9A"/>
    <w:rsid w:val="009A16DD"/>
    <w:rsid w:val="009A1EAA"/>
    <w:rsid w:val="009A3065"/>
    <w:rsid w:val="009A3A6B"/>
    <w:rsid w:val="009A6BEA"/>
    <w:rsid w:val="009B0B1F"/>
    <w:rsid w:val="009B2015"/>
    <w:rsid w:val="009B31FF"/>
    <w:rsid w:val="009B55BB"/>
    <w:rsid w:val="009C2DBA"/>
    <w:rsid w:val="009C307C"/>
    <w:rsid w:val="009C41FC"/>
    <w:rsid w:val="009C52EF"/>
    <w:rsid w:val="009C5FAD"/>
    <w:rsid w:val="009C6C77"/>
    <w:rsid w:val="009D01E4"/>
    <w:rsid w:val="009D0828"/>
    <w:rsid w:val="009D116F"/>
    <w:rsid w:val="009D2C1B"/>
    <w:rsid w:val="009D3897"/>
    <w:rsid w:val="009D7CA6"/>
    <w:rsid w:val="009E0C3D"/>
    <w:rsid w:val="009E51BE"/>
    <w:rsid w:val="009E7B11"/>
    <w:rsid w:val="009F3DA2"/>
    <w:rsid w:val="009F3E8E"/>
    <w:rsid w:val="009F4D63"/>
    <w:rsid w:val="009F665C"/>
    <w:rsid w:val="00A00145"/>
    <w:rsid w:val="00A0036A"/>
    <w:rsid w:val="00A006C8"/>
    <w:rsid w:val="00A00FC3"/>
    <w:rsid w:val="00A029C3"/>
    <w:rsid w:val="00A04A4A"/>
    <w:rsid w:val="00A0561D"/>
    <w:rsid w:val="00A057B2"/>
    <w:rsid w:val="00A0618A"/>
    <w:rsid w:val="00A064CC"/>
    <w:rsid w:val="00A07512"/>
    <w:rsid w:val="00A10184"/>
    <w:rsid w:val="00A1211C"/>
    <w:rsid w:val="00A1236B"/>
    <w:rsid w:val="00A13917"/>
    <w:rsid w:val="00A149A8"/>
    <w:rsid w:val="00A16486"/>
    <w:rsid w:val="00A17796"/>
    <w:rsid w:val="00A205BF"/>
    <w:rsid w:val="00A20CDE"/>
    <w:rsid w:val="00A22B34"/>
    <w:rsid w:val="00A23D24"/>
    <w:rsid w:val="00A24393"/>
    <w:rsid w:val="00A24504"/>
    <w:rsid w:val="00A248FD"/>
    <w:rsid w:val="00A27641"/>
    <w:rsid w:val="00A279E0"/>
    <w:rsid w:val="00A304E0"/>
    <w:rsid w:val="00A316AD"/>
    <w:rsid w:val="00A33FEE"/>
    <w:rsid w:val="00A340E0"/>
    <w:rsid w:val="00A4238E"/>
    <w:rsid w:val="00A44333"/>
    <w:rsid w:val="00A454DF"/>
    <w:rsid w:val="00A45E69"/>
    <w:rsid w:val="00A506E7"/>
    <w:rsid w:val="00A514E6"/>
    <w:rsid w:val="00A544E1"/>
    <w:rsid w:val="00A54765"/>
    <w:rsid w:val="00A559C6"/>
    <w:rsid w:val="00A631A0"/>
    <w:rsid w:val="00A66453"/>
    <w:rsid w:val="00A665F2"/>
    <w:rsid w:val="00A67908"/>
    <w:rsid w:val="00A7021E"/>
    <w:rsid w:val="00A720A6"/>
    <w:rsid w:val="00A733A9"/>
    <w:rsid w:val="00A74468"/>
    <w:rsid w:val="00A74912"/>
    <w:rsid w:val="00A76A93"/>
    <w:rsid w:val="00A778E4"/>
    <w:rsid w:val="00A8046E"/>
    <w:rsid w:val="00A80731"/>
    <w:rsid w:val="00A83E68"/>
    <w:rsid w:val="00A84EF3"/>
    <w:rsid w:val="00A90C56"/>
    <w:rsid w:val="00A91102"/>
    <w:rsid w:val="00AA038F"/>
    <w:rsid w:val="00AA0948"/>
    <w:rsid w:val="00AA1A8F"/>
    <w:rsid w:val="00AA3C62"/>
    <w:rsid w:val="00AA6A33"/>
    <w:rsid w:val="00AA74FC"/>
    <w:rsid w:val="00AB1C1E"/>
    <w:rsid w:val="00AB4452"/>
    <w:rsid w:val="00AB44E1"/>
    <w:rsid w:val="00AB71D9"/>
    <w:rsid w:val="00AB74A1"/>
    <w:rsid w:val="00AC01B9"/>
    <w:rsid w:val="00AC13CB"/>
    <w:rsid w:val="00AC15F8"/>
    <w:rsid w:val="00AC2641"/>
    <w:rsid w:val="00AC3500"/>
    <w:rsid w:val="00AC5A85"/>
    <w:rsid w:val="00AC5E92"/>
    <w:rsid w:val="00AD01C6"/>
    <w:rsid w:val="00AD1C46"/>
    <w:rsid w:val="00AD2846"/>
    <w:rsid w:val="00AE20F8"/>
    <w:rsid w:val="00AE3776"/>
    <w:rsid w:val="00AE402F"/>
    <w:rsid w:val="00AE50B4"/>
    <w:rsid w:val="00AE71D8"/>
    <w:rsid w:val="00AE77BF"/>
    <w:rsid w:val="00AF17E3"/>
    <w:rsid w:val="00AF1F2A"/>
    <w:rsid w:val="00AF250C"/>
    <w:rsid w:val="00AF3607"/>
    <w:rsid w:val="00AF376A"/>
    <w:rsid w:val="00AF566D"/>
    <w:rsid w:val="00B018BC"/>
    <w:rsid w:val="00B03EF8"/>
    <w:rsid w:val="00B04D3E"/>
    <w:rsid w:val="00B059A2"/>
    <w:rsid w:val="00B05C84"/>
    <w:rsid w:val="00B06730"/>
    <w:rsid w:val="00B07E85"/>
    <w:rsid w:val="00B07F99"/>
    <w:rsid w:val="00B11CE6"/>
    <w:rsid w:val="00B1249C"/>
    <w:rsid w:val="00B12973"/>
    <w:rsid w:val="00B12C74"/>
    <w:rsid w:val="00B14597"/>
    <w:rsid w:val="00B1489D"/>
    <w:rsid w:val="00B14BF5"/>
    <w:rsid w:val="00B15F49"/>
    <w:rsid w:val="00B1748D"/>
    <w:rsid w:val="00B17DF7"/>
    <w:rsid w:val="00B22D35"/>
    <w:rsid w:val="00B241C7"/>
    <w:rsid w:val="00B241E7"/>
    <w:rsid w:val="00B24FCD"/>
    <w:rsid w:val="00B2522E"/>
    <w:rsid w:val="00B252E3"/>
    <w:rsid w:val="00B27C82"/>
    <w:rsid w:val="00B27EDC"/>
    <w:rsid w:val="00B30076"/>
    <w:rsid w:val="00B30DB4"/>
    <w:rsid w:val="00B30F29"/>
    <w:rsid w:val="00B314F8"/>
    <w:rsid w:val="00B323E7"/>
    <w:rsid w:val="00B32557"/>
    <w:rsid w:val="00B3368D"/>
    <w:rsid w:val="00B33B9F"/>
    <w:rsid w:val="00B3420B"/>
    <w:rsid w:val="00B356B2"/>
    <w:rsid w:val="00B35AB8"/>
    <w:rsid w:val="00B40691"/>
    <w:rsid w:val="00B427F0"/>
    <w:rsid w:val="00B45E2D"/>
    <w:rsid w:val="00B46F7B"/>
    <w:rsid w:val="00B476BC"/>
    <w:rsid w:val="00B51F78"/>
    <w:rsid w:val="00B520FD"/>
    <w:rsid w:val="00B53CF3"/>
    <w:rsid w:val="00B53D99"/>
    <w:rsid w:val="00B54334"/>
    <w:rsid w:val="00B56D92"/>
    <w:rsid w:val="00B575A4"/>
    <w:rsid w:val="00B5796E"/>
    <w:rsid w:val="00B57D7A"/>
    <w:rsid w:val="00B6159F"/>
    <w:rsid w:val="00B61F7B"/>
    <w:rsid w:val="00B67972"/>
    <w:rsid w:val="00B701AA"/>
    <w:rsid w:val="00B717A9"/>
    <w:rsid w:val="00B71BB3"/>
    <w:rsid w:val="00B722E5"/>
    <w:rsid w:val="00B72C60"/>
    <w:rsid w:val="00B73AEE"/>
    <w:rsid w:val="00B744C8"/>
    <w:rsid w:val="00B77239"/>
    <w:rsid w:val="00B77659"/>
    <w:rsid w:val="00B8034D"/>
    <w:rsid w:val="00B81B90"/>
    <w:rsid w:val="00B8380A"/>
    <w:rsid w:val="00B846F1"/>
    <w:rsid w:val="00B8564B"/>
    <w:rsid w:val="00B906EE"/>
    <w:rsid w:val="00B90922"/>
    <w:rsid w:val="00B92325"/>
    <w:rsid w:val="00B946D7"/>
    <w:rsid w:val="00B951C6"/>
    <w:rsid w:val="00BA2011"/>
    <w:rsid w:val="00BA2AF4"/>
    <w:rsid w:val="00BA40E5"/>
    <w:rsid w:val="00BA4558"/>
    <w:rsid w:val="00BA6A26"/>
    <w:rsid w:val="00BA72D1"/>
    <w:rsid w:val="00BB23C4"/>
    <w:rsid w:val="00BB5208"/>
    <w:rsid w:val="00BB5C6B"/>
    <w:rsid w:val="00BC13C1"/>
    <w:rsid w:val="00BC21E7"/>
    <w:rsid w:val="00BC61E9"/>
    <w:rsid w:val="00BD0A35"/>
    <w:rsid w:val="00BD1145"/>
    <w:rsid w:val="00BD141D"/>
    <w:rsid w:val="00BD154E"/>
    <w:rsid w:val="00BD3501"/>
    <w:rsid w:val="00BD55FC"/>
    <w:rsid w:val="00BD58D4"/>
    <w:rsid w:val="00BD5EBC"/>
    <w:rsid w:val="00BD7B73"/>
    <w:rsid w:val="00BE102F"/>
    <w:rsid w:val="00BE2B5B"/>
    <w:rsid w:val="00BE7824"/>
    <w:rsid w:val="00BE7E6E"/>
    <w:rsid w:val="00BF0B77"/>
    <w:rsid w:val="00BF2EF4"/>
    <w:rsid w:val="00BF2FA2"/>
    <w:rsid w:val="00BF374E"/>
    <w:rsid w:val="00BF44FC"/>
    <w:rsid w:val="00BF496F"/>
    <w:rsid w:val="00BF7959"/>
    <w:rsid w:val="00C00498"/>
    <w:rsid w:val="00C00A16"/>
    <w:rsid w:val="00C02E32"/>
    <w:rsid w:val="00C05347"/>
    <w:rsid w:val="00C07E75"/>
    <w:rsid w:val="00C10A8D"/>
    <w:rsid w:val="00C114BE"/>
    <w:rsid w:val="00C1157B"/>
    <w:rsid w:val="00C133DA"/>
    <w:rsid w:val="00C1381D"/>
    <w:rsid w:val="00C13A3B"/>
    <w:rsid w:val="00C14277"/>
    <w:rsid w:val="00C17C20"/>
    <w:rsid w:val="00C21B01"/>
    <w:rsid w:val="00C22C97"/>
    <w:rsid w:val="00C24D78"/>
    <w:rsid w:val="00C259ED"/>
    <w:rsid w:val="00C27AB9"/>
    <w:rsid w:val="00C30540"/>
    <w:rsid w:val="00C3174D"/>
    <w:rsid w:val="00C317EF"/>
    <w:rsid w:val="00C3746B"/>
    <w:rsid w:val="00C37BAF"/>
    <w:rsid w:val="00C415EF"/>
    <w:rsid w:val="00C41DD1"/>
    <w:rsid w:val="00C43126"/>
    <w:rsid w:val="00C44D32"/>
    <w:rsid w:val="00C4556B"/>
    <w:rsid w:val="00C478CA"/>
    <w:rsid w:val="00C47FF7"/>
    <w:rsid w:val="00C50E53"/>
    <w:rsid w:val="00C53543"/>
    <w:rsid w:val="00C57C66"/>
    <w:rsid w:val="00C57CCD"/>
    <w:rsid w:val="00C60F5F"/>
    <w:rsid w:val="00C61F6D"/>
    <w:rsid w:val="00C61FAE"/>
    <w:rsid w:val="00C627BC"/>
    <w:rsid w:val="00C6585D"/>
    <w:rsid w:val="00C65AD2"/>
    <w:rsid w:val="00C66742"/>
    <w:rsid w:val="00C6783E"/>
    <w:rsid w:val="00C67BBC"/>
    <w:rsid w:val="00C70695"/>
    <w:rsid w:val="00C71255"/>
    <w:rsid w:val="00C72E20"/>
    <w:rsid w:val="00C73D50"/>
    <w:rsid w:val="00C73F31"/>
    <w:rsid w:val="00C76348"/>
    <w:rsid w:val="00C765AF"/>
    <w:rsid w:val="00C76FF5"/>
    <w:rsid w:val="00C77099"/>
    <w:rsid w:val="00C77182"/>
    <w:rsid w:val="00C82007"/>
    <w:rsid w:val="00C82DA1"/>
    <w:rsid w:val="00C83249"/>
    <w:rsid w:val="00C84A5F"/>
    <w:rsid w:val="00C85131"/>
    <w:rsid w:val="00C86CAD"/>
    <w:rsid w:val="00C91862"/>
    <w:rsid w:val="00C9421A"/>
    <w:rsid w:val="00C94287"/>
    <w:rsid w:val="00C95AE9"/>
    <w:rsid w:val="00C96AAB"/>
    <w:rsid w:val="00C96CEF"/>
    <w:rsid w:val="00C9703F"/>
    <w:rsid w:val="00CA0054"/>
    <w:rsid w:val="00CA04B1"/>
    <w:rsid w:val="00CA0BA3"/>
    <w:rsid w:val="00CA0F9D"/>
    <w:rsid w:val="00CA1110"/>
    <w:rsid w:val="00CA185F"/>
    <w:rsid w:val="00CA1936"/>
    <w:rsid w:val="00CA2417"/>
    <w:rsid w:val="00CA2A54"/>
    <w:rsid w:val="00CA4D02"/>
    <w:rsid w:val="00CA5DFA"/>
    <w:rsid w:val="00CA6B3C"/>
    <w:rsid w:val="00CA7595"/>
    <w:rsid w:val="00CB501D"/>
    <w:rsid w:val="00CB5849"/>
    <w:rsid w:val="00CB59C3"/>
    <w:rsid w:val="00CB5DAC"/>
    <w:rsid w:val="00CB7299"/>
    <w:rsid w:val="00CB79BF"/>
    <w:rsid w:val="00CC0C1A"/>
    <w:rsid w:val="00CC1467"/>
    <w:rsid w:val="00CC6365"/>
    <w:rsid w:val="00CC6B91"/>
    <w:rsid w:val="00CD0EB5"/>
    <w:rsid w:val="00CD3B98"/>
    <w:rsid w:val="00CD5285"/>
    <w:rsid w:val="00CD678F"/>
    <w:rsid w:val="00CE3381"/>
    <w:rsid w:val="00CE619C"/>
    <w:rsid w:val="00CE6C11"/>
    <w:rsid w:val="00CE7B7D"/>
    <w:rsid w:val="00CF166B"/>
    <w:rsid w:val="00CF35F6"/>
    <w:rsid w:val="00CF557A"/>
    <w:rsid w:val="00CF683F"/>
    <w:rsid w:val="00D0057E"/>
    <w:rsid w:val="00D00D30"/>
    <w:rsid w:val="00D0569B"/>
    <w:rsid w:val="00D110C0"/>
    <w:rsid w:val="00D11FE7"/>
    <w:rsid w:val="00D14929"/>
    <w:rsid w:val="00D15D96"/>
    <w:rsid w:val="00D15DCF"/>
    <w:rsid w:val="00D16693"/>
    <w:rsid w:val="00D22F0C"/>
    <w:rsid w:val="00D25B1C"/>
    <w:rsid w:val="00D2699A"/>
    <w:rsid w:val="00D26F0D"/>
    <w:rsid w:val="00D27C59"/>
    <w:rsid w:val="00D3256D"/>
    <w:rsid w:val="00D35042"/>
    <w:rsid w:val="00D35BDD"/>
    <w:rsid w:val="00D37859"/>
    <w:rsid w:val="00D37B7A"/>
    <w:rsid w:val="00D37D10"/>
    <w:rsid w:val="00D37FCF"/>
    <w:rsid w:val="00D40E31"/>
    <w:rsid w:val="00D41941"/>
    <w:rsid w:val="00D426B9"/>
    <w:rsid w:val="00D44711"/>
    <w:rsid w:val="00D4548E"/>
    <w:rsid w:val="00D476BE"/>
    <w:rsid w:val="00D479C4"/>
    <w:rsid w:val="00D47E1C"/>
    <w:rsid w:val="00D5048A"/>
    <w:rsid w:val="00D52B70"/>
    <w:rsid w:val="00D5449E"/>
    <w:rsid w:val="00D54C95"/>
    <w:rsid w:val="00D5569E"/>
    <w:rsid w:val="00D56C81"/>
    <w:rsid w:val="00D60D4A"/>
    <w:rsid w:val="00D62241"/>
    <w:rsid w:val="00D675EA"/>
    <w:rsid w:val="00D71835"/>
    <w:rsid w:val="00D733F6"/>
    <w:rsid w:val="00D73825"/>
    <w:rsid w:val="00D73E12"/>
    <w:rsid w:val="00D75E93"/>
    <w:rsid w:val="00D77D6A"/>
    <w:rsid w:val="00D811C8"/>
    <w:rsid w:val="00D81932"/>
    <w:rsid w:val="00D83E8C"/>
    <w:rsid w:val="00D84543"/>
    <w:rsid w:val="00D86964"/>
    <w:rsid w:val="00D90B0D"/>
    <w:rsid w:val="00D91405"/>
    <w:rsid w:val="00D9355F"/>
    <w:rsid w:val="00D93FCD"/>
    <w:rsid w:val="00D968ED"/>
    <w:rsid w:val="00D96B50"/>
    <w:rsid w:val="00D97A4D"/>
    <w:rsid w:val="00D97C5A"/>
    <w:rsid w:val="00D97DF8"/>
    <w:rsid w:val="00DA15F8"/>
    <w:rsid w:val="00DA20A6"/>
    <w:rsid w:val="00DA38D9"/>
    <w:rsid w:val="00DA600E"/>
    <w:rsid w:val="00DA6C06"/>
    <w:rsid w:val="00DB0AE2"/>
    <w:rsid w:val="00DB282D"/>
    <w:rsid w:val="00DB2B71"/>
    <w:rsid w:val="00DB5480"/>
    <w:rsid w:val="00DC0936"/>
    <w:rsid w:val="00DC124B"/>
    <w:rsid w:val="00DC21E9"/>
    <w:rsid w:val="00DC37E9"/>
    <w:rsid w:val="00DC44F3"/>
    <w:rsid w:val="00DC479F"/>
    <w:rsid w:val="00DD0FE1"/>
    <w:rsid w:val="00DD1D2B"/>
    <w:rsid w:val="00DD2D02"/>
    <w:rsid w:val="00DD3522"/>
    <w:rsid w:val="00DD3935"/>
    <w:rsid w:val="00DD3BF5"/>
    <w:rsid w:val="00DD5896"/>
    <w:rsid w:val="00DD634C"/>
    <w:rsid w:val="00DE01B3"/>
    <w:rsid w:val="00DE2396"/>
    <w:rsid w:val="00DE43D5"/>
    <w:rsid w:val="00DE50BF"/>
    <w:rsid w:val="00DE58A3"/>
    <w:rsid w:val="00DE6182"/>
    <w:rsid w:val="00DE7C76"/>
    <w:rsid w:val="00DF23E5"/>
    <w:rsid w:val="00DF2485"/>
    <w:rsid w:val="00DF3676"/>
    <w:rsid w:val="00DF7FDD"/>
    <w:rsid w:val="00E017DF"/>
    <w:rsid w:val="00E04E32"/>
    <w:rsid w:val="00E117A0"/>
    <w:rsid w:val="00E11F1D"/>
    <w:rsid w:val="00E16652"/>
    <w:rsid w:val="00E16678"/>
    <w:rsid w:val="00E20B4B"/>
    <w:rsid w:val="00E21819"/>
    <w:rsid w:val="00E239E3"/>
    <w:rsid w:val="00E254DB"/>
    <w:rsid w:val="00E2631F"/>
    <w:rsid w:val="00E263F5"/>
    <w:rsid w:val="00E301FE"/>
    <w:rsid w:val="00E30D4A"/>
    <w:rsid w:val="00E326E3"/>
    <w:rsid w:val="00E33062"/>
    <w:rsid w:val="00E33B6D"/>
    <w:rsid w:val="00E33CDA"/>
    <w:rsid w:val="00E376B5"/>
    <w:rsid w:val="00E41019"/>
    <w:rsid w:val="00E420FB"/>
    <w:rsid w:val="00E431F9"/>
    <w:rsid w:val="00E43D66"/>
    <w:rsid w:val="00E44DFA"/>
    <w:rsid w:val="00E4560E"/>
    <w:rsid w:val="00E4746D"/>
    <w:rsid w:val="00E476DC"/>
    <w:rsid w:val="00E511DD"/>
    <w:rsid w:val="00E51B8F"/>
    <w:rsid w:val="00E52403"/>
    <w:rsid w:val="00E53571"/>
    <w:rsid w:val="00E53CCD"/>
    <w:rsid w:val="00E53D93"/>
    <w:rsid w:val="00E579F1"/>
    <w:rsid w:val="00E61F85"/>
    <w:rsid w:val="00E62B57"/>
    <w:rsid w:val="00E62E71"/>
    <w:rsid w:val="00E630E9"/>
    <w:rsid w:val="00E644BD"/>
    <w:rsid w:val="00E64925"/>
    <w:rsid w:val="00E65564"/>
    <w:rsid w:val="00E66EE3"/>
    <w:rsid w:val="00E702D8"/>
    <w:rsid w:val="00E70EA5"/>
    <w:rsid w:val="00E7167A"/>
    <w:rsid w:val="00E72C00"/>
    <w:rsid w:val="00E73C01"/>
    <w:rsid w:val="00E7511E"/>
    <w:rsid w:val="00E751D0"/>
    <w:rsid w:val="00E75FB3"/>
    <w:rsid w:val="00E76600"/>
    <w:rsid w:val="00E76B96"/>
    <w:rsid w:val="00E80B47"/>
    <w:rsid w:val="00E80C18"/>
    <w:rsid w:val="00E80D0A"/>
    <w:rsid w:val="00E81816"/>
    <w:rsid w:val="00E8242D"/>
    <w:rsid w:val="00E83D67"/>
    <w:rsid w:val="00E83F07"/>
    <w:rsid w:val="00E86CF7"/>
    <w:rsid w:val="00E913CF"/>
    <w:rsid w:val="00E91E60"/>
    <w:rsid w:val="00E92165"/>
    <w:rsid w:val="00E94D7A"/>
    <w:rsid w:val="00E95214"/>
    <w:rsid w:val="00E952DE"/>
    <w:rsid w:val="00E96223"/>
    <w:rsid w:val="00E96671"/>
    <w:rsid w:val="00E97B80"/>
    <w:rsid w:val="00EA0E20"/>
    <w:rsid w:val="00EA16AF"/>
    <w:rsid w:val="00EA1727"/>
    <w:rsid w:val="00EA1AB1"/>
    <w:rsid w:val="00EA1E31"/>
    <w:rsid w:val="00EA219D"/>
    <w:rsid w:val="00EA4338"/>
    <w:rsid w:val="00EA4471"/>
    <w:rsid w:val="00EB11D3"/>
    <w:rsid w:val="00EB2105"/>
    <w:rsid w:val="00EB2919"/>
    <w:rsid w:val="00EB375A"/>
    <w:rsid w:val="00EB4F53"/>
    <w:rsid w:val="00EB6335"/>
    <w:rsid w:val="00EB74E7"/>
    <w:rsid w:val="00EC01E9"/>
    <w:rsid w:val="00EC08D5"/>
    <w:rsid w:val="00EC1C2D"/>
    <w:rsid w:val="00EC339C"/>
    <w:rsid w:val="00EC4201"/>
    <w:rsid w:val="00EC75C7"/>
    <w:rsid w:val="00ED3C0B"/>
    <w:rsid w:val="00ED47B2"/>
    <w:rsid w:val="00ED4E2C"/>
    <w:rsid w:val="00EE05DD"/>
    <w:rsid w:val="00EE24FF"/>
    <w:rsid w:val="00EE25B3"/>
    <w:rsid w:val="00EE4B4E"/>
    <w:rsid w:val="00EE57C0"/>
    <w:rsid w:val="00EE631C"/>
    <w:rsid w:val="00EE6373"/>
    <w:rsid w:val="00EF0381"/>
    <w:rsid w:val="00EF1272"/>
    <w:rsid w:val="00EF2168"/>
    <w:rsid w:val="00EF2471"/>
    <w:rsid w:val="00EF664E"/>
    <w:rsid w:val="00F00831"/>
    <w:rsid w:val="00F03EB2"/>
    <w:rsid w:val="00F078A7"/>
    <w:rsid w:val="00F07FDB"/>
    <w:rsid w:val="00F113B3"/>
    <w:rsid w:val="00F126B1"/>
    <w:rsid w:val="00F13745"/>
    <w:rsid w:val="00F13B5F"/>
    <w:rsid w:val="00F14060"/>
    <w:rsid w:val="00F14702"/>
    <w:rsid w:val="00F14826"/>
    <w:rsid w:val="00F1727A"/>
    <w:rsid w:val="00F172B5"/>
    <w:rsid w:val="00F20C3B"/>
    <w:rsid w:val="00F312EE"/>
    <w:rsid w:val="00F31E7F"/>
    <w:rsid w:val="00F338E8"/>
    <w:rsid w:val="00F34736"/>
    <w:rsid w:val="00F3595C"/>
    <w:rsid w:val="00F37945"/>
    <w:rsid w:val="00F4198B"/>
    <w:rsid w:val="00F42850"/>
    <w:rsid w:val="00F42B78"/>
    <w:rsid w:val="00F451CF"/>
    <w:rsid w:val="00F4599B"/>
    <w:rsid w:val="00F4686B"/>
    <w:rsid w:val="00F46921"/>
    <w:rsid w:val="00F530AD"/>
    <w:rsid w:val="00F5466A"/>
    <w:rsid w:val="00F54F8E"/>
    <w:rsid w:val="00F55971"/>
    <w:rsid w:val="00F57162"/>
    <w:rsid w:val="00F60950"/>
    <w:rsid w:val="00F60EB0"/>
    <w:rsid w:val="00F6177A"/>
    <w:rsid w:val="00F61D5D"/>
    <w:rsid w:val="00F65664"/>
    <w:rsid w:val="00F65869"/>
    <w:rsid w:val="00F66743"/>
    <w:rsid w:val="00F711A8"/>
    <w:rsid w:val="00F72DFA"/>
    <w:rsid w:val="00F7378F"/>
    <w:rsid w:val="00F74DDB"/>
    <w:rsid w:val="00F757C2"/>
    <w:rsid w:val="00F75B15"/>
    <w:rsid w:val="00F775EF"/>
    <w:rsid w:val="00F82898"/>
    <w:rsid w:val="00F84C1C"/>
    <w:rsid w:val="00F87AA8"/>
    <w:rsid w:val="00F90075"/>
    <w:rsid w:val="00F91CA7"/>
    <w:rsid w:val="00F93CAA"/>
    <w:rsid w:val="00F96AFD"/>
    <w:rsid w:val="00F96EDC"/>
    <w:rsid w:val="00FA0B89"/>
    <w:rsid w:val="00FA0CAD"/>
    <w:rsid w:val="00FA191E"/>
    <w:rsid w:val="00FA491B"/>
    <w:rsid w:val="00FA5ED7"/>
    <w:rsid w:val="00FA5F12"/>
    <w:rsid w:val="00FB00A8"/>
    <w:rsid w:val="00FB3C99"/>
    <w:rsid w:val="00FB435C"/>
    <w:rsid w:val="00FC007E"/>
    <w:rsid w:val="00FC02F5"/>
    <w:rsid w:val="00FC2F5C"/>
    <w:rsid w:val="00FC48DB"/>
    <w:rsid w:val="00FC4A79"/>
    <w:rsid w:val="00FC5B9D"/>
    <w:rsid w:val="00FC7492"/>
    <w:rsid w:val="00FD269B"/>
    <w:rsid w:val="00FD2A84"/>
    <w:rsid w:val="00FD6300"/>
    <w:rsid w:val="00FD7364"/>
    <w:rsid w:val="00FD7C74"/>
    <w:rsid w:val="00FD7CAE"/>
    <w:rsid w:val="00FE01A8"/>
    <w:rsid w:val="00FE04DD"/>
    <w:rsid w:val="00FE1197"/>
    <w:rsid w:val="00FE12B6"/>
    <w:rsid w:val="00FE5B5B"/>
    <w:rsid w:val="00FE6467"/>
    <w:rsid w:val="00FF1612"/>
    <w:rsid w:val="00FF3FCB"/>
    <w:rsid w:val="00FF61E4"/>
    <w:rsid w:val="00FF627A"/>
    <w:rsid w:val="00FF6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0849"/>
    <o:shapelayout v:ext="edit">
      <o:idmap v:ext="edit" data="1"/>
    </o:shapelayout>
  </w:shapeDefaults>
  <w:decimalSymbol w:val="."/>
  <w:listSeparator w:val=","/>
  <w14:docId w14:val="4E2885EB"/>
  <w15:chartTrackingRefBased/>
  <w15:docId w15:val="{1A2A51C1-D865-4638-912E-1513B3871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52DE"/>
    <w:pPr>
      <w:spacing w:after="0" w:line="240" w:lineRule="auto"/>
    </w:pPr>
  </w:style>
  <w:style w:type="paragraph" w:styleId="Heading1">
    <w:name w:val="heading 1"/>
    <w:basedOn w:val="Normal"/>
    <w:next w:val="Normal"/>
    <w:link w:val="Heading1Char"/>
    <w:autoRedefine/>
    <w:uiPriority w:val="1"/>
    <w:qFormat/>
    <w:rsid w:val="00D97C5A"/>
    <w:pPr>
      <w:keepNext/>
      <w:pBdr>
        <w:bottom w:val="single" w:sz="8" w:space="1" w:color="00688D"/>
      </w:pBdr>
      <w:tabs>
        <w:tab w:val="center" w:pos="5112"/>
      </w:tabs>
      <w:suppressAutoHyphens/>
      <w:spacing w:before="240" w:after="60"/>
      <w:outlineLvl w:val="0"/>
    </w:pPr>
    <w:rPr>
      <w:rFonts w:ascii="Calibri" w:hAnsi="Calibri" w:cs="Tahoma"/>
      <w:b/>
      <w:i/>
      <w:smallCaps/>
      <w:noProof/>
      <w:color w:val="000000" w:themeColor="text1"/>
      <w:spacing w:val="-3"/>
      <w:sz w:val="24"/>
      <w:szCs w:val="24"/>
      <w:u w:color="5B9BD5"/>
      <w14:textOutline w14:w="25400" w14:cap="rnd" w14:cmpd="sng" w14:algn="ctr">
        <w14:noFill/>
        <w14:prstDash w14:val="solid"/>
        <w14:bevel/>
      </w14:textOutline>
    </w:rPr>
  </w:style>
  <w:style w:type="paragraph" w:styleId="Heading2">
    <w:name w:val="heading 2"/>
    <w:basedOn w:val="Normal"/>
    <w:next w:val="Normal"/>
    <w:link w:val="Heading2Char"/>
    <w:autoRedefine/>
    <w:uiPriority w:val="1"/>
    <w:qFormat/>
    <w:rsid w:val="003C52DE"/>
    <w:pPr>
      <w:keepNext/>
      <w:tabs>
        <w:tab w:val="left" w:pos="720"/>
        <w:tab w:val="left" w:pos="1022"/>
        <w:tab w:val="left" w:pos="1440"/>
        <w:tab w:val="right" w:pos="4262"/>
        <w:tab w:val="right" w:pos="5220"/>
        <w:tab w:val="right" w:pos="6691"/>
        <w:tab w:val="right" w:pos="7621"/>
        <w:tab w:val="right" w:pos="9187"/>
      </w:tabs>
      <w:suppressAutoHyphens/>
      <w:spacing w:after="120"/>
      <w:ind w:left="1080" w:hanging="1080"/>
      <w:jc w:val="both"/>
      <w:outlineLvl w:val="1"/>
    </w:pPr>
    <w:rPr>
      <w:rFonts w:ascii="Calibri" w:eastAsia="Times New Roman" w:hAnsi="Calibri" w:cs="Times New Roman"/>
      <w:b/>
      <w:color w:val="000000"/>
      <w:spacing w:val="-3"/>
      <w:sz w:val="28"/>
      <w:szCs w:val="28"/>
      <w:u w:val="single"/>
    </w:rPr>
  </w:style>
  <w:style w:type="paragraph" w:styleId="Heading3">
    <w:name w:val="heading 3"/>
    <w:basedOn w:val="Normal"/>
    <w:next w:val="Normal"/>
    <w:link w:val="Heading3Char"/>
    <w:autoRedefine/>
    <w:qFormat/>
    <w:rsid w:val="003C52DE"/>
    <w:pPr>
      <w:keepNext/>
      <w:tabs>
        <w:tab w:val="center" w:pos="5112"/>
      </w:tabs>
      <w:suppressAutoHyphens/>
      <w:spacing w:after="120"/>
      <w:jc w:val="both"/>
      <w:outlineLvl w:val="2"/>
    </w:pPr>
    <w:rPr>
      <w:rFonts w:ascii="Calibri" w:eastAsia="Times New Roman" w:hAnsi="Calibri" w:cs="Times New Roman"/>
      <w:b/>
      <w:color w:val="000000"/>
      <w:spacing w:val="-3"/>
      <w:sz w:val="24"/>
      <w:szCs w:val="20"/>
      <w:u w:val="single"/>
    </w:rPr>
  </w:style>
  <w:style w:type="paragraph" w:styleId="Heading4">
    <w:name w:val="heading 4"/>
    <w:basedOn w:val="Normal"/>
    <w:next w:val="Normal"/>
    <w:link w:val="Heading4Char"/>
    <w:qFormat/>
    <w:rsid w:val="003C52DE"/>
    <w:pPr>
      <w:keepNext/>
      <w:pBdr>
        <w:bottom w:val="single" w:sz="18" w:space="1" w:color="00688D"/>
      </w:pBdr>
      <w:tabs>
        <w:tab w:val="left" w:pos="720"/>
        <w:tab w:val="left" w:pos="1440"/>
        <w:tab w:val="center" w:pos="5400"/>
        <w:tab w:val="left" w:pos="10620"/>
      </w:tabs>
      <w:spacing w:after="40" w:line="240" w:lineRule="atLeast"/>
      <w:outlineLvl w:val="3"/>
    </w:pPr>
    <w:rPr>
      <w:rFonts w:eastAsia="Times New Roman" w:cs="Times New Roman"/>
      <w:i/>
      <w:color w:val="000000"/>
      <w:sz w:val="20"/>
      <w:szCs w:val="20"/>
    </w:rPr>
  </w:style>
  <w:style w:type="paragraph" w:styleId="Heading5">
    <w:name w:val="heading 5"/>
    <w:basedOn w:val="Normal"/>
    <w:next w:val="Normal"/>
    <w:link w:val="Heading5Char"/>
    <w:qFormat/>
    <w:rsid w:val="003C52DE"/>
    <w:pPr>
      <w:keepNext/>
      <w:pBdr>
        <w:bottom w:val="single" w:sz="18" w:space="1" w:color="5B9BD5"/>
      </w:pBdr>
      <w:tabs>
        <w:tab w:val="center" w:pos="5112"/>
      </w:tabs>
      <w:suppressAutoHyphens/>
      <w:jc w:val="center"/>
      <w:outlineLvl w:val="4"/>
    </w:pPr>
    <w:rPr>
      <w:rFonts w:ascii="Calibri" w:eastAsia="Times New Roman" w:hAnsi="Calibri" w:cs="Times New Roman"/>
      <w:b/>
      <w:i/>
      <w:color w:val="000000"/>
      <w:spacing w:val="-3"/>
      <w:sz w:val="40"/>
      <w:szCs w:val="20"/>
    </w:rPr>
  </w:style>
  <w:style w:type="paragraph" w:styleId="Heading6">
    <w:name w:val="heading 6"/>
    <w:basedOn w:val="Normal"/>
    <w:next w:val="Normal"/>
    <w:link w:val="Heading6Char"/>
    <w:qFormat/>
    <w:rsid w:val="003C52DE"/>
    <w:pPr>
      <w:keepNext/>
      <w:tabs>
        <w:tab w:val="left" w:pos="720"/>
        <w:tab w:val="left" w:pos="1022"/>
        <w:tab w:val="left" w:pos="1440"/>
        <w:tab w:val="right" w:pos="4262"/>
        <w:tab w:val="right" w:pos="5220"/>
        <w:tab w:val="right" w:pos="6691"/>
        <w:tab w:val="right" w:pos="7621"/>
        <w:tab w:val="right" w:pos="9187"/>
      </w:tabs>
      <w:suppressAutoHyphens/>
      <w:ind w:left="1022"/>
      <w:jc w:val="both"/>
      <w:outlineLvl w:val="5"/>
    </w:pPr>
    <w:rPr>
      <w:rFonts w:ascii="Arial" w:eastAsia="Times New Roman" w:hAnsi="Arial" w:cs="Times New Roman"/>
      <w:b/>
      <w:szCs w:val="20"/>
    </w:rPr>
  </w:style>
  <w:style w:type="paragraph" w:styleId="Heading7">
    <w:name w:val="heading 7"/>
    <w:basedOn w:val="Normal"/>
    <w:next w:val="Normal"/>
    <w:link w:val="Heading7Char"/>
    <w:qFormat/>
    <w:rsid w:val="003C52DE"/>
    <w:pPr>
      <w:keepNext/>
      <w:pBdr>
        <w:top w:val="single" w:sz="24" w:space="1" w:color="00688D"/>
      </w:pBdr>
      <w:tabs>
        <w:tab w:val="left" w:pos="720"/>
        <w:tab w:val="left" w:pos="1440"/>
        <w:tab w:val="right" w:pos="4262"/>
        <w:tab w:val="right" w:pos="5220"/>
        <w:tab w:val="right" w:pos="6691"/>
        <w:tab w:val="right" w:pos="7621"/>
        <w:tab w:val="right" w:pos="9630"/>
      </w:tabs>
      <w:suppressAutoHyphens/>
      <w:ind w:left="720" w:hanging="720"/>
      <w:jc w:val="right"/>
      <w:outlineLvl w:val="6"/>
    </w:pPr>
    <w:rPr>
      <w:rFonts w:ascii="Calibri" w:eastAsia="Times New Roman" w:hAnsi="Calibri" w:cs="Times New Roman"/>
      <w:color w:val="000000"/>
      <w:spacing w:val="-3"/>
      <w:szCs w:val="20"/>
    </w:rPr>
  </w:style>
  <w:style w:type="paragraph" w:styleId="Heading8">
    <w:name w:val="heading 8"/>
    <w:basedOn w:val="Normal"/>
    <w:next w:val="Normal"/>
    <w:link w:val="Heading8Char"/>
    <w:qFormat/>
    <w:rsid w:val="003C52DE"/>
    <w:pPr>
      <w:keepNext/>
      <w:tabs>
        <w:tab w:val="left" w:pos="720"/>
        <w:tab w:val="left" w:pos="1440"/>
        <w:tab w:val="left" w:pos="1848"/>
        <w:tab w:val="left" w:pos="5040"/>
        <w:tab w:val="right" w:pos="7260"/>
      </w:tabs>
      <w:suppressAutoHyphens/>
      <w:jc w:val="both"/>
      <w:outlineLvl w:val="7"/>
    </w:pPr>
    <w:rPr>
      <w:rFonts w:ascii="Arial" w:eastAsia="Times New Roman" w:hAnsi="Arial" w:cs="Times New Roman"/>
      <w:b/>
      <w:bCs/>
      <w:spacing w:val="-3"/>
      <w:szCs w:val="20"/>
    </w:rPr>
  </w:style>
  <w:style w:type="paragraph" w:styleId="Heading9">
    <w:name w:val="heading 9"/>
    <w:basedOn w:val="Normal"/>
    <w:next w:val="Normal"/>
    <w:link w:val="Heading9Char"/>
    <w:qFormat/>
    <w:rsid w:val="003C52DE"/>
    <w:pPr>
      <w:keepNext/>
      <w:tabs>
        <w:tab w:val="left" w:pos="1440"/>
        <w:tab w:val="right" w:pos="4262"/>
        <w:tab w:val="right" w:pos="5220"/>
        <w:tab w:val="right" w:pos="6691"/>
        <w:tab w:val="right" w:pos="7621"/>
        <w:tab w:val="right" w:pos="9187"/>
      </w:tabs>
      <w:suppressAutoHyphens/>
      <w:ind w:left="1440"/>
      <w:jc w:val="both"/>
      <w:outlineLvl w:val="8"/>
    </w:pPr>
    <w:rPr>
      <w:rFonts w:ascii="Arial" w:eastAsia="Times New Roman" w:hAnsi="Arial"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7C5A"/>
    <w:rPr>
      <w:rFonts w:ascii="Calibri" w:hAnsi="Calibri" w:cs="Tahoma"/>
      <w:b/>
      <w:i/>
      <w:smallCaps/>
      <w:noProof/>
      <w:color w:val="000000" w:themeColor="text1"/>
      <w:spacing w:val="-3"/>
      <w:sz w:val="24"/>
      <w:szCs w:val="24"/>
      <w:u w:color="5B9BD5"/>
      <w14:textOutline w14:w="25400" w14:cap="rnd" w14:cmpd="sng" w14:algn="ctr">
        <w14:noFill/>
        <w14:prstDash w14:val="solid"/>
        <w14:bevel/>
      </w14:textOutline>
    </w:rPr>
  </w:style>
  <w:style w:type="character" w:customStyle="1" w:styleId="Heading2Char">
    <w:name w:val="Heading 2 Char"/>
    <w:basedOn w:val="DefaultParagraphFont"/>
    <w:link w:val="Heading2"/>
    <w:uiPriority w:val="1"/>
    <w:rsid w:val="003C52DE"/>
    <w:rPr>
      <w:rFonts w:ascii="Calibri" w:eastAsia="Times New Roman" w:hAnsi="Calibri" w:cs="Times New Roman"/>
      <w:b/>
      <w:color w:val="000000"/>
      <w:spacing w:val="-3"/>
      <w:sz w:val="28"/>
      <w:szCs w:val="28"/>
      <w:u w:val="single"/>
    </w:rPr>
  </w:style>
  <w:style w:type="character" w:customStyle="1" w:styleId="Heading3Char">
    <w:name w:val="Heading 3 Char"/>
    <w:basedOn w:val="DefaultParagraphFont"/>
    <w:link w:val="Heading3"/>
    <w:rsid w:val="003C52DE"/>
    <w:rPr>
      <w:rFonts w:ascii="Calibri" w:eastAsia="Times New Roman" w:hAnsi="Calibri" w:cs="Times New Roman"/>
      <w:b/>
      <w:color w:val="000000"/>
      <w:spacing w:val="-3"/>
      <w:sz w:val="24"/>
      <w:szCs w:val="20"/>
      <w:u w:val="single"/>
    </w:rPr>
  </w:style>
  <w:style w:type="character" w:customStyle="1" w:styleId="Heading4Char">
    <w:name w:val="Heading 4 Char"/>
    <w:basedOn w:val="DefaultParagraphFont"/>
    <w:link w:val="Heading4"/>
    <w:rsid w:val="003C52DE"/>
    <w:rPr>
      <w:rFonts w:eastAsia="Times New Roman" w:cs="Times New Roman"/>
      <w:i/>
      <w:color w:val="000000"/>
      <w:sz w:val="20"/>
      <w:szCs w:val="20"/>
    </w:rPr>
  </w:style>
  <w:style w:type="character" w:customStyle="1" w:styleId="Heading5Char">
    <w:name w:val="Heading 5 Char"/>
    <w:basedOn w:val="DefaultParagraphFont"/>
    <w:link w:val="Heading5"/>
    <w:rsid w:val="003C52DE"/>
    <w:rPr>
      <w:rFonts w:ascii="Calibri" w:eastAsia="Times New Roman" w:hAnsi="Calibri" w:cs="Times New Roman"/>
      <w:b/>
      <w:i/>
      <w:color w:val="000000"/>
      <w:spacing w:val="-3"/>
      <w:sz w:val="40"/>
      <w:szCs w:val="20"/>
    </w:rPr>
  </w:style>
  <w:style w:type="character" w:customStyle="1" w:styleId="Heading6Char">
    <w:name w:val="Heading 6 Char"/>
    <w:basedOn w:val="DefaultParagraphFont"/>
    <w:link w:val="Heading6"/>
    <w:rsid w:val="003C52DE"/>
    <w:rPr>
      <w:rFonts w:ascii="Arial" w:eastAsia="Times New Roman" w:hAnsi="Arial" w:cs="Times New Roman"/>
      <w:b/>
      <w:szCs w:val="20"/>
    </w:rPr>
  </w:style>
  <w:style w:type="character" w:customStyle="1" w:styleId="Heading7Char">
    <w:name w:val="Heading 7 Char"/>
    <w:basedOn w:val="DefaultParagraphFont"/>
    <w:link w:val="Heading7"/>
    <w:rsid w:val="003C52DE"/>
    <w:rPr>
      <w:rFonts w:ascii="Calibri" w:eastAsia="Times New Roman" w:hAnsi="Calibri" w:cs="Times New Roman"/>
      <w:color w:val="000000"/>
      <w:spacing w:val="-3"/>
      <w:szCs w:val="20"/>
    </w:rPr>
  </w:style>
  <w:style w:type="character" w:customStyle="1" w:styleId="Heading8Char">
    <w:name w:val="Heading 8 Char"/>
    <w:basedOn w:val="DefaultParagraphFont"/>
    <w:link w:val="Heading8"/>
    <w:rsid w:val="003C52DE"/>
    <w:rPr>
      <w:rFonts w:ascii="Arial" w:eastAsia="Times New Roman" w:hAnsi="Arial" w:cs="Times New Roman"/>
      <w:b/>
      <w:bCs/>
      <w:spacing w:val="-3"/>
      <w:szCs w:val="20"/>
    </w:rPr>
  </w:style>
  <w:style w:type="character" w:customStyle="1" w:styleId="Heading9Char">
    <w:name w:val="Heading 9 Char"/>
    <w:basedOn w:val="DefaultParagraphFont"/>
    <w:link w:val="Heading9"/>
    <w:rsid w:val="003C52DE"/>
    <w:rPr>
      <w:rFonts w:ascii="Arial" w:eastAsia="Times New Roman" w:hAnsi="Arial" w:cs="Arial"/>
      <w:b/>
      <w:szCs w:val="20"/>
    </w:rPr>
  </w:style>
  <w:style w:type="paragraph" w:styleId="Header">
    <w:name w:val="header"/>
    <w:basedOn w:val="Normal"/>
    <w:link w:val="HeaderChar"/>
    <w:uiPriority w:val="99"/>
    <w:unhideWhenUsed/>
    <w:rsid w:val="003C52DE"/>
    <w:pPr>
      <w:tabs>
        <w:tab w:val="center" w:pos="4680"/>
        <w:tab w:val="right" w:pos="9360"/>
      </w:tabs>
    </w:pPr>
  </w:style>
  <w:style w:type="character" w:customStyle="1" w:styleId="HeaderChar">
    <w:name w:val="Header Char"/>
    <w:basedOn w:val="DefaultParagraphFont"/>
    <w:link w:val="Header"/>
    <w:uiPriority w:val="99"/>
    <w:rsid w:val="003C52DE"/>
  </w:style>
  <w:style w:type="paragraph" w:styleId="Footer">
    <w:name w:val="footer"/>
    <w:basedOn w:val="Normal"/>
    <w:link w:val="FooterChar"/>
    <w:uiPriority w:val="99"/>
    <w:unhideWhenUsed/>
    <w:qFormat/>
    <w:rsid w:val="003C52DE"/>
    <w:pPr>
      <w:tabs>
        <w:tab w:val="center" w:pos="4680"/>
        <w:tab w:val="right" w:pos="9360"/>
      </w:tabs>
    </w:pPr>
  </w:style>
  <w:style w:type="character" w:customStyle="1" w:styleId="FooterChar">
    <w:name w:val="Footer Char"/>
    <w:basedOn w:val="DefaultParagraphFont"/>
    <w:link w:val="Footer"/>
    <w:uiPriority w:val="99"/>
    <w:rsid w:val="003C52DE"/>
  </w:style>
  <w:style w:type="paragraph" w:styleId="NoSpacing">
    <w:name w:val="No Spacing"/>
    <w:uiPriority w:val="1"/>
    <w:qFormat/>
    <w:rsid w:val="003C52DE"/>
    <w:pPr>
      <w:spacing w:after="0" w:line="240" w:lineRule="auto"/>
    </w:pPr>
    <w:rPr>
      <w:color w:val="44546A" w:themeColor="text2"/>
      <w:sz w:val="20"/>
      <w:szCs w:val="20"/>
    </w:rPr>
  </w:style>
  <w:style w:type="table" w:styleId="TableGrid">
    <w:name w:val="Table Grid"/>
    <w:basedOn w:val="TableNormal"/>
    <w:rsid w:val="003C5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52DE"/>
    <w:rPr>
      <w:color w:val="0563C1" w:themeColor="hyperlink"/>
      <w:u w:val="single"/>
    </w:rPr>
  </w:style>
  <w:style w:type="paragraph" w:styleId="BalloonText">
    <w:name w:val="Balloon Text"/>
    <w:basedOn w:val="Normal"/>
    <w:link w:val="BalloonTextChar"/>
    <w:semiHidden/>
    <w:unhideWhenUsed/>
    <w:rsid w:val="003C52DE"/>
    <w:rPr>
      <w:rFonts w:ascii="Segoe UI" w:hAnsi="Segoe UI" w:cs="Segoe UI"/>
      <w:sz w:val="18"/>
      <w:szCs w:val="18"/>
    </w:rPr>
  </w:style>
  <w:style w:type="character" w:customStyle="1" w:styleId="BalloonTextChar">
    <w:name w:val="Balloon Text Char"/>
    <w:basedOn w:val="DefaultParagraphFont"/>
    <w:link w:val="BalloonText"/>
    <w:semiHidden/>
    <w:rsid w:val="003C52DE"/>
    <w:rPr>
      <w:rFonts w:ascii="Segoe UI" w:hAnsi="Segoe UI" w:cs="Segoe UI"/>
      <w:sz w:val="18"/>
      <w:szCs w:val="18"/>
    </w:rPr>
  </w:style>
  <w:style w:type="character" w:styleId="FollowedHyperlink">
    <w:name w:val="FollowedHyperlink"/>
    <w:basedOn w:val="DefaultParagraphFont"/>
    <w:unhideWhenUsed/>
    <w:rsid w:val="003C52DE"/>
    <w:rPr>
      <w:color w:val="954F72" w:themeColor="followedHyperlink"/>
      <w:u w:val="single"/>
    </w:rPr>
  </w:style>
  <w:style w:type="paragraph" w:styleId="Title">
    <w:name w:val="Title"/>
    <w:basedOn w:val="Normal"/>
    <w:link w:val="TitleChar"/>
    <w:qFormat/>
    <w:rsid w:val="003C52DE"/>
    <w:pPr>
      <w:jc w:val="center"/>
    </w:pPr>
    <w:rPr>
      <w:rFonts w:ascii="Arial" w:eastAsia="Times New Roman" w:hAnsi="Arial" w:cs="Arial"/>
      <w:b/>
      <w:bCs/>
      <w:sz w:val="28"/>
      <w:szCs w:val="24"/>
    </w:rPr>
  </w:style>
  <w:style w:type="character" w:customStyle="1" w:styleId="TitleChar">
    <w:name w:val="Title Char"/>
    <w:basedOn w:val="DefaultParagraphFont"/>
    <w:link w:val="Title"/>
    <w:rsid w:val="003C52DE"/>
    <w:rPr>
      <w:rFonts w:ascii="Arial" w:eastAsia="Times New Roman" w:hAnsi="Arial" w:cs="Arial"/>
      <w:b/>
      <w:bCs/>
      <w:sz w:val="28"/>
      <w:szCs w:val="24"/>
    </w:rPr>
  </w:style>
  <w:style w:type="character" w:styleId="PageNumber">
    <w:name w:val="page number"/>
    <w:basedOn w:val="DefaultParagraphFont"/>
    <w:rsid w:val="003C52DE"/>
  </w:style>
  <w:style w:type="paragraph" w:styleId="TOC1">
    <w:name w:val="toc 1"/>
    <w:basedOn w:val="Normal"/>
    <w:next w:val="Normal"/>
    <w:autoRedefine/>
    <w:uiPriority w:val="39"/>
    <w:rsid w:val="003C52DE"/>
    <w:pPr>
      <w:tabs>
        <w:tab w:val="left" w:leader="dot" w:pos="9000"/>
        <w:tab w:val="right" w:pos="9360"/>
      </w:tabs>
      <w:suppressAutoHyphens/>
      <w:spacing w:before="480"/>
      <w:ind w:left="720" w:right="720" w:hanging="720"/>
    </w:pPr>
    <w:rPr>
      <w:rFonts w:ascii="CG Times Bold" w:eastAsia="Times New Roman" w:hAnsi="CG Times Bold" w:cs="Times New Roman"/>
      <w:b/>
      <w:sz w:val="24"/>
      <w:szCs w:val="20"/>
    </w:rPr>
  </w:style>
  <w:style w:type="paragraph" w:styleId="TOC2">
    <w:name w:val="toc 2"/>
    <w:basedOn w:val="Normal"/>
    <w:next w:val="Normal"/>
    <w:autoRedefine/>
    <w:uiPriority w:val="39"/>
    <w:rsid w:val="003C52DE"/>
    <w:pPr>
      <w:tabs>
        <w:tab w:val="left" w:leader="dot" w:pos="9000"/>
        <w:tab w:val="right" w:pos="9360"/>
      </w:tabs>
      <w:suppressAutoHyphens/>
      <w:ind w:left="1440" w:right="720" w:hanging="720"/>
    </w:pPr>
    <w:rPr>
      <w:rFonts w:ascii="CG Times Bold" w:eastAsia="Times New Roman" w:hAnsi="CG Times Bold" w:cs="Times New Roman"/>
      <w:b/>
      <w:sz w:val="24"/>
      <w:szCs w:val="20"/>
    </w:rPr>
  </w:style>
  <w:style w:type="paragraph" w:styleId="TOC3">
    <w:name w:val="toc 3"/>
    <w:basedOn w:val="Normal"/>
    <w:next w:val="Normal"/>
    <w:autoRedefine/>
    <w:uiPriority w:val="39"/>
    <w:rsid w:val="003C52DE"/>
    <w:pPr>
      <w:tabs>
        <w:tab w:val="left" w:leader="dot" w:pos="9000"/>
        <w:tab w:val="right" w:pos="9360"/>
      </w:tabs>
      <w:suppressAutoHyphens/>
      <w:ind w:left="2160" w:right="720" w:hanging="720"/>
    </w:pPr>
    <w:rPr>
      <w:rFonts w:ascii="CG Times Bold" w:eastAsia="Times New Roman" w:hAnsi="CG Times Bold" w:cs="Times New Roman"/>
      <w:b/>
      <w:sz w:val="24"/>
      <w:szCs w:val="20"/>
    </w:rPr>
  </w:style>
  <w:style w:type="paragraph" w:styleId="TOC4">
    <w:name w:val="toc 4"/>
    <w:basedOn w:val="Normal"/>
    <w:next w:val="Normal"/>
    <w:autoRedefine/>
    <w:semiHidden/>
    <w:rsid w:val="003C52DE"/>
    <w:pPr>
      <w:tabs>
        <w:tab w:val="left" w:leader="dot" w:pos="9000"/>
        <w:tab w:val="right" w:pos="9360"/>
      </w:tabs>
      <w:suppressAutoHyphens/>
      <w:ind w:left="2880" w:right="720" w:hanging="720"/>
    </w:pPr>
    <w:rPr>
      <w:rFonts w:ascii="CG Times Bold" w:eastAsia="Times New Roman" w:hAnsi="CG Times Bold" w:cs="Times New Roman"/>
      <w:b/>
      <w:sz w:val="24"/>
      <w:szCs w:val="20"/>
    </w:rPr>
  </w:style>
  <w:style w:type="paragraph" w:styleId="TOC5">
    <w:name w:val="toc 5"/>
    <w:basedOn w:val="Normal"/>
    <w:next w:val="Normal"/>
    <w:autoRedefine/>
    <w:semiHidden/>
    <w:rsid w:val="003C52DE"/>
    <w:pPr>
      <w:tabs>
        <w:tab w:val="left" w:leader="dot" w:pos="9000"/>
        <w:tab w:val="right" w:pos="9360"/>
      </w:tabs>
      <w:suppressAutoHyphens/>
      <w:ind w:left="3600" w:right="720" w:hanging="720"/>
    </w:pPr>
    <w:rPr>
      <w:rFonts w:ascii="CG Times Bold" w:eastAsia="Times New Roman" w:hAnsi="CG Times Bold" w:cs="Times New Roman"/>
      <w:b/>
      <w:sz w:val="24"/>
      <w:szCs w:val="20"/>
    </w:rPr>
  </w:style>
  <w:style w:type="paragraph" w:styleId="TOC6">
    <w:name w:val="toc 6"/>
    <w:basedOn w:val="Normal"/>
    <w:next w:val="Normal"/>
    <w:autoRedefine/>
    <w:semiHidden/>
    <w:rsid w:val="003C52DE"/>
    <w:pPr>
      <w:tabs>
        <w:tab w:val="left" w:pos="9000"/>
        <w:tab w:val="right" w:pos="9360"/>
      </w:tabs>
      <w:suppressAutoHyphens/>
      <w:ind w:left="720" w:hanging="720"/>
    </w:pPr>
    <w:rPr>
      <w:rFonts w:ascii="CG Times Bold" w:eastAsia="Times New Roman" w:hAnsi="CG Times Bold" w:cs="Times New Roman"/>
      <w:b/>
      <w:sz w:val="24"/>
      <w:szCs w:val="20"/>
    </w:rPr>
  </w:style>
  <w:style w:type="paragraph" w:styleId="TOC7">
    <w:name w:val="toc 7"/>
    <w:basedOn w:val="Normal"/>
    <w:next w:val="Normal"/>
    <w:autoRedefine/>
    <w:semiHidden/>
    <w:rsid w:val="003C52DE"/>
    <w:pPr>
      <w:suppressAutoHyphens/>
      <w:ind w:left="720" w:hanging="720"/>
    </w:pPr>
    <w:rPr>
      <w:rFonts w:ascii="CG Times Bold" w:eastAsia="Times New Roman" w:hAnsi="CG Times Bold" w:cs="Times New Roman"/>
      <w:b/>
      <w:sz w:val="24"/>
      <w:szCs w:val="20"/>
    </w:rPr>
  </w:style>
  <w:style w:type="paragraph" w:styleId="TOC8">
    <w:name w:val="toc 8"/>
    <w:basedOn w:val="Normal"/>
    <w:next w:val="Normal"/>
    <w:autoRedefine/>
    <w:semiHidden/>
    <w:rsid w:val="003C52DE"/>
    <w:pPr>
      <w:tabs>
        <w:tab w:val="left" w:pos="9000"/>
        <w:tab w:val="right" w:pos="9360"/>
      </w:tabs>
      <w:suppressAutoHyphens/>
      <w:ind w:left="720" w:hanging="720"/>
    </w:pPr>
    <w:rPr>
      <w:rFonts w:ascii="CG Times Bold" w:eastAsia="Times New Roman" w:hAnsi="CG Times Bold" w:cs="Times New Roman"/>
      <w:b/>
      <w:sz w:val="24"/>
      <w:szCs w:val="20"/>
    </w:rPr>
  </w:style>
  <w:style w:type="paragraph" w:styleId="TOC9">
    <w:name w:val="toc 9"/>
    <w:basedOn w:val="Normal"/>
    <w:next w:val="Normal"/>
    <w:autoRedefine/>
    <w:semiHidden/>
    <w:rsid w:val="003C52DE"/>
    <w:pPr>
      <w:tabs>
        <w:tab w:val="left" w:leader="dot" w:pos="9000"/>
        <w:tab w:val="right" w:pos="9360"/>
      </w:tabs>
      <w:suppressAutoHyphens/>
      <w:ind w:left="720" w:hanging="720"/>
    </w:pPr>
    <w:rPr>
      <w:rFonts w:ascii="CG Times Bold" w:eastAsia="Times New Roman" w:hAnsi="CG Times Bold" w:cs="Times New Roman"/>
      <w:b/>
      <w:sz w:val="24"/>
      <w:szCs w:val="20"/>
    </w:rPr>
  </w:style>
  <w:style w:type="paragraph" w:styleId="Index1">
    <w:name w:val="index 1"/>
    <w:basedOn w:val="Normal"/>
    <w:next w:val="Normal"/>
    <w:autoRedefine/>
    <w:semiHidden/>
    <w:rsid w:val="003C52DE"/>
    <w:pPr>
      <w:tabs>
        <w:tab w:val="left" w:leader="dot" w:pos="9000"/>
        <w:tab w:val="right" w:pos="9360"/>
      </w:tabs>
      <w:suppressAutoHyphens/>
      <w:ind w:left="1440" w:right="720" w:hanging="1440"/>
    </w:pPr>
    <w:rPr>
      <w:rFonts w:ascii="CG Times Bold" w:eastAsia="Times New Roman" w:hAnsi="CG Times Bold" w:cs="Times New Roman"/>
      <w:b/>
      <w:sz w:val="24"/>
      <w:szCs w:val="20"/>
    </w:rPr>
  </w:style>
  <w:style w:type="paragraph" w:styleId="Index2">
    <w:name w:val="index 2"/>
    <w:basedOn w:val="Normal"/>
    <w:next w:val="Normal"/>
    <w:autoRedefine/>
    <w:semiHidden/>
    <w:rsid w:val="003C52DE"/>
    <w:pPr>
      <w:tabs>
        <w:tab w:val="left" w:leader="dot" w:pos="9000"/>
        <w:tab w:val="right" w:pos="9360"/>
      </w:tabs>
      <w:suppressAutoHyphens/>
      <w:ind w:left="1440" w:right="720" w:hanging="720"/>
    </w:pPr>
    <w:rPr>
      <w:rFonts w:ascii="CG Times Bold" w:eastAsia="Times New Roman" w:hAnsi="CG Times Bold" w:cs="Times New Roman"/>
      <w:b/>
      <w:sz w:val="24"/>
      <w:szCs w:val="20"/>
    </w:rPr>
  </w:style>
  <w:style w:type="paragraph" w:styleId="TOAHeading">
    <w:name w:val="toa heading"/>
    <w:basedOn w:val="Normal"/>
    <w:next w:val="Normal"/>
    <w:semiHidden/>
    <w:rsid w:val="003C52DE"/>
    <w:pPr>
      <w:tabs>
        <w:tab w:val="left" w:pos="9000"/>
        <w:tab w:val="right" w:pos="9360"/>
      </w:tabs>
      <w:suppressAutoHyphens/>
    </w:pPr>
    <w:rPr>
      <w:rFonts w:ascii="CG Times Bold" w:eastAsia="Times New Roman" w:hAnsi="CG Times Bold" w:cs="Times New Roman"/>
      <w:b/>
      <w:sz w:val="24"/>
      <w:szCs w:val="20"/>
    </w:rPr>
  </w:style>
  <w:style w:type="paragraph" w:styleId="Caption">
    <w:name w:val="caption"/>
    <w:basedOn w:val="Normal"/>
    <w:next w:val="Normal"/>
    <w:qFormat/>
    <w:rsid w:val="003C52DE"/>
    <w:rPr>
      <w:rFonts w:ascii="CG Times Bold" w:eastAsia="Times New Roman" w:hAnsi="CG Times Bold" w:cs="Times New Roman"/>
      <w:sz w:val="24"/>
      <w:szCs w:val="20"/>
    </w:rPr>
  </w:style>
  <w:style w:type="paragraph" w:styleId="BodyTextIndent">
    <w:name w:val="Body Text Indent"/>
    <w:basedOn w:val="Normal"/>
    <w:link w:val="BodyTextIndentChar"/>
    <w:rsid w:val="003C52DE"/>
    <w:pPr>
      <w:tabs>
        <w:tab w:val="left" w:pos="720"/>
        <w:tab w:val="left" w:pos="1440"/>
        <w:tab w:val="decimal" w:pos="6786"/>
        <w:tab w:val="decimal" w:pos="9079"/>
      </w:tabs>
      <w:suppressAutoHyphens/>
      <w:ind w:left="720" w:hanging="720"/>
      <w:jc w:val="both"/>
    </w:pPr>
    <w:rPr>
      <w:rFonts w:ascii="Arial" w:eastAsia="Times New Roman" w:hAnsi="Arial" w:cs="Times New Roman"/>
      <w:spacing w:val="-3"/>
      <w:sz w:val="24"/>
      <w:szCs w:val="20"/>
    </w:rPr>
  </w:style>
  <w:style w:type="character" w:customStyle="1" w:styleId="BodyTextIndentChar">
    <w:name w:val="Body Text Indent Char"/>
    <w:basedOn w:val="DefaultParagraphFont"/>
    <w:link w:val="BodyTextIndent"/>
    <w:rsid w:val="003C52DE"/>
    <w:rPr>
      <w:rFonts w:ascii="Arial" w:eastAsia="Times New Roman" w:hAnsi="Arial" w:cs="Times New Roman"/>
      <w:spacing w:val="-3"/>
      <w:sz w:val="24"/>
      <w:szCs w:val="20"/>
    </w:rPr>
  </w:style>
  <w:style w:type="paragraph" w:styleId="DocumentMap">
    <w:name w:val="Document Map"/>
    <w:basedOn w:val="Normal"/>
    <w:link w:val="DocumentMapChar"/>
    <w:semiHidden/>
    <w:rsid w:val="003C52DE"/>
    <w:pPr>
      <w:shd w:val="clear" w:color="auto" w:fill="000080"/>
    </w:pPr>
    <w:rPr>
      <w:rFonts w:ascii="Tahoma" w:eastAsia="Times New Roman" w:hAnsi="Tahoma" w:cs="Times New Roman"/>
      <w:b/>
      <w:sz w:val="24"/>
      <w:szCs w:val="20"/>
    </w:rPr>
  </w:style>
  <w:style w:type="character" w:customStyle="1" w:styleId="DocumentMapChar">
    <w:name w:val="Document Map Char"/>
    <w:basedOn w:val="DefaultParagraphFont"/>
    <w:link w:val="DocumentMap"/>
    <w:semiHidden/>
    <w:rsid w:val="003C52DE"/>
    <w:rPr>
      <w:rFonts w:ascii="Tahoma" w:eastAsia="Times New Roman" w:hAnsi="Tahoma" w:cs="Times New Roman"/>
      <w:b/>
      <w:sz w:val="24"/>
      <w:szCs w:val="20"/>
      <w:shd w:val="clear" w:color="auto" w:fill="000080"/>
    </w:rPr>
  </w:style>
  <w:style w:type="paragraph" w:styleId="BodyTextIndent2">
    <w:name w:val="Body Text Indent 2"/>
    <w:basedOn w:val="Normal"/>
    <w:link w:val="BodyTextIndent2Char"/>
    <w:rsid w:val="003C52DE"/>
    <w:pPr>
      <w:tabs>
        <w:tab w:val="left" w:pos="720"/>
        <w:tab w:val="left" w:pos="1440"/>
        <w:tab w:val="right" w:pos="4262"/>
        <w:tab w:val="right" w:pos="5220"/>
        <w:tab w:val="right" w:pos="6691"/>
        <w:tab w:val="right" w:pos="7621"/>
        <w:tab w:val="right" w:pos="9408"/>
      </w:tabs>
      <w:suppressAutoHyphens/>
      <w:ind w:left="720" w:hanging="720"/>
      <w:jc w:val="both"/>
    </w:pPr>
    <w:rPr>
      <w:rFonts w:ascii="Arial" w:eastAsia="Times New Roman" w:hAnsi="Arial" w:cs="Times New Roman"/>
      <w:color w:val="000000"/>
      <w:spacing w:val="-3"/>
      <w:szCs w:val="20"/>
    </w:rPr>
  </w:style>
  <w:style w:type="character" w:customStyle="1" w:styleId="BodyTextIndent2Char">
    <w:name w:val="Body Text Indent 2 Char"/>
    <w:basedOn w:val="DefaultParagraphFont"/>
    <w:link w:val="BodyTextIndent2"/>
    <w:rsid w:val="003C52DE"/>
    <w:rPr>
      <w:rFonts w:ascii="Arial" w:eastAsia="Times New Roman" w:hAnsi="Arial" w:cs="Times New Roman"/>
      <w:color w:val="000000"/>
      <w:spacing w:val="-3"/>
      <w:szCs w:val="20"/>
    </w:rPr>
  </w:style>
  <w:style w:type="paragraph" w:styleId="BodyText">
    <w:name w:val="Body Text"/>
    <w:basedOn w:val="Normal"/>
    <w:link w:val="BodyTextChar"/>
    <w:uiPriority w:val="1"/>
    <w:qFormat/>
    <w:rsid w:val="003C52DE"/>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3C52DE"/>
    <w:rPr>
      <w:rFonts w:ascii="Times New Roman" w:eastAsia="Times New Roman" w:hAnsi="Times New Roman" w:cs="Times New Roman"/>
      <w:sz w:val="24"/>
      <w:szCs w:val="20"/>
    </w:rPr>
  </w:style>
  <w:style w:type="paragraph" w:styleId="BodyText2">
    <w:name w:val="Body Text 2"/>
    <w:basedOn w:val="Normal"/>
    <w:link w:val="BodyText2Char"/>
    <w:rsid w:val="003C52DE"/>
    <w:rPr>
      <w:rFonts w:ascii="CG Times" w:eastAsia="Times New Roman" w:hAnsi="CG Times" w:cs="Times New Roman"/>
      <w:szCs w:val="20"/>
    </w:rPr>
  </w:style>
  <w:style w:type="character" w:customStyle="1" w:styleId="BodyText2Char">
    <w:name w:val="Body Text 2 Char"/>
    <w:basedOn w:val="DefaultParagraphFont"/>
    <w:link w:val="BodyText2"/>
    <w:rsid w:val="003C52DE"/>
    <w:rPr>
      <w:rFonts w:ascii="CG Times" w:eastAsia="Times New Roman" w:hAnsi="CG Times" w:cs="Times New Roman"/>
      <w:szCs w:val="20"/>
    </w:rPr>
  </w:style>
  <w:style w:type="paragraph" w:styleId="BodyTextIndent3">
    <w:name w:val="Body Text Indent 3"/>
    <w:basedOn w:val="Normal"/>
    <w:link w:val="BodyTextIndent3Char"/>
    <w:rsid w:val="003C52DE"/>
    <w:pPr>
      <w:ind w:left="720"/>
      <w:jc w:val="both"/>
    </w:pPr>
    <w:rPr>
      <w:rFonts w:ascii="CG Times" w:eastAsia="Times New Roman" w:hAnsi="CG Times" w:cs="Times New Roman"/>
      <w:szCs w:val="20"/>
    </w:rPr>
  </w:style>
  <w:style w:type="character" w:customStyle="1" w:styleId="BodyTextIndent3Char">
    <w:name w:val="Body Text Indent 3 Char"/>
    <w:basedOn w:val="DefaultParagraphFont"/>
    <w:link w:val="BodyTextIndent3"/>
    <w:rsid w:val="003C52DE"/>
    <w:rPr>
      <w:rFonts w:ascii="CG Times" w:eastAsia="Times New Roman" w:hAnsi="CG Times" w:cs="Times New Roman"/>
      <w:szCs w:val="20"/>
    </w:rPr>
  </w:style>
  <w:style w:type="paragraph" w:styleId="BodyText3">
    <w:name w:val="Body Text 3"/>
    <w:basedOn w:val="Normal"/>
    <w:link w:val="BodyText3Char"/>
    <w:rsid w:val="003C52DE"/>
    <w:pPr>
      <w:jc w:val="both"/>
    </w:pPr>
    <w:rPr>
      <w:rFonts w:ascii="CG Times" w:eastAsia="Times New Roman" w:hAnsi="CG Times" w:cs="Times New Roman"/>
      <w:szCs w:val="20"/>
    </w:rPr>
  </w:style>
  <w:style w:type="character" w:customStyle="1" w:styleId="BodyText3Char">
    <w:name w:val="Body Text 3 Char"/>
    <w:basedOn w:val="DefaultParagraphFont"/>
    <w:link w:val="BodyText3"/>
    <w:rsid w:val="003C52DE"/>
    <w:rPr>
      <w:rFonts w:ascii="CG Times" w:eastAsia="Times New Roman" w:hAnsi="CG Times" w:cs="Times New Roman"/>
      <w:szCs w:val="20"/>
    </w:rPr>
  </w:style>
  <w:style w:type="paragraph" w:customStyle="1" w:styleId="NoteText2">
    <w:name w:val="Note Text 2"/>
    <w:aliases w:val="nt2"/>
    <w:basedOn w:val="Normal"/>
    <w:rsid w:val="003C52DE"/>
    <w:pPr>
      <w:spacing w:after="200"/>
      <w:ind w:left="1080"/>
      <w:jc w:val="both"/>
    </w:pPr>
    <w:rPr>
      <w:rFonts w:ascii="Times New Roman" w:eastAsia="Times New Roman" w:hAnsi="Times New Roman" w:cs="Times New Roman"/>
      <w:szCs w:val="20"/>
    </w:rPr>
  </w:style>
  <w:style w:type="paragraph" w:customStyle="1" w:styleId="HeadingLevel2">
    <w:name w:val="Heading Level 2"/>
    <w:aliases w:val="hl2"/>
    <w:basedOn w:val="Normal"/>
    <w:next w:val="NoteText2"/>
    <w:rsid w:val="003C52DE"/>
    <w:pPr>
      <w:keepNext/>
      <w:keepLines/>
      <w:spacing w:after="140"/>
      <w:ind w:left="1094" w:hanging="547"/>
    </w:pPr>
    <w:rPr>
      <w:rFonts w:ascii="Times New Roman" w:eastAsia="Times New Roman" w:hAnsi="Times New Roman" w:cs="Times New Roman"/>
      <w:b/>
      <w:i/>
      <w:szCs w:val="20"/>
    </w:rPr>
  </w:style>
  <w:style w:type="paragraph" w:styleId="Subtitle">
    <w:name w:val="Subtitle"/>
    <w:basedOn w:val="Normal"/>
    <w:link w:val="SubtitleChar"/>
    <w:qFormat/>
    <w:rsid w:val="003C52DE"/>
    <w:pPr>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3C52DE"/>
    <w:rPr>
      <w:rFonts w:ascii="Times New Roman" w:eastAsia="Times New Roman" w:hAnsi="Times New Roman" w:cs="Times New Roman"/>
      <w:b/>
      <w:sz w:val="24"/>
      <w:szCs w:val="20"/>
    </w:rPr>
  </w:style>
  <w:style w:type="paragraph" w:styleId="BlockText">
    <w:name w:val="Block Text"/>
    <w:basedOn w:val="Normal"/>
    <w:rsid w:val="003C52DE"/>
    <w:pPr>
      <w:tabs>
        <w:tab w:val="left" w:pos="1858"/>
        <w:tab w:val="left" w:pos="2570"/>
        <w:tab w:val="left" w:pos="3283"/>
        <w:tab w:val="left" w:pos="3996"/>
        <w:tab w:val="left" w:pos="4709"/>
        <w:tab w:val="left" w:pos="5472"/>
      </w:tabs>
      <w:suppressAutoHyphens/>
      <w:ind w:left="1080" w:right="360"/>
      <w:jc w:val="both"/>
    </w:pPr>
    <w:rPr>
      <w:rFonts w:ascii="Arial" w:eastAsia="Times New Roman" w:hAnsi="Arial" w:cs="Arial"/>
      <w:color w:val="000000"/>
      <w:spacing w:val="-3"/>
      <w:szCs w:val="24"/>
    </w:rPr>
  </w:style>
  <w:style w:type="paragraph" w:customStyle="1" w:styleId="Salutation1">
    <w:name w:val="Salutation1"/>
    <w:aliases w:val="sa,Salutation11"/>
    <w:basedOn w:val="Normal"/>
    <w:next w:val="Normal"/>
    <w:rsid w:val="003C52DE"/>
    <w:pPr>
      <w:keepLines/>
      <w:tabs>
        <w:tab w:val="left" w:pos="180"/>
      </w:tabs>
      <w:spacing w:after="360"/>
    </w:pPr>
    <w:rPr>
      <w:rFonts w:ascii="Times New Roman" w:eastAsia="Times New Roman" w:hAnsi="Times New Roman" w:cs="Times New Roman"/>
      <w:szCs w:val="20"/>
    </w:rPr>
  </w:style>
  <w:style w:type="paragraph" w:customStyle="1" w:styleId="OpinionHeading">
    <w:name w:val="Opinion Heading"/>
    <w:aliases w:val="oh"/>
    <w:basedOn w:val="Normal"/>
    <w:next w:val="Salutation1"/>
    <w:rsid w:val="003C52DE"/>
    <w:pPr>
      <w:keepNext/>
      <w:keepLines/>
      <w:spacing w:before="2400" w:after="600"/>
      <w:jc w:val="center"/>
    </w:pPr>
    <w:rPr>
      <w:rFonts w:ascii="Times New Roman" w:eastAsia="Times New Roman" w:hAnsi="Times New Roman" w:cs="Times New Roman"/>
      <w:b/>
      <w:szCs w:val="20"/>
    </w:rPr>
  </w:style>
  <w:style w:type="paragraph" w:styleId="EndnoteText">
    <w:name w:val="endnote text"/>
    <w:basedOn w:val="Normal"/>
    <w:link w:val="EndnoteTextChar"/>
    <w:semiHidden/>
    <w:rsid w:val="003C52DE"/>
    <w:rPr>
      <w:rFonts w:ascii="Arial" w:eastAsia="Times New Roman" w:hAnsi="Arial" w:cs="Times New Roman"/>
      <w:sz w:val="16"/>
      <w:szCs w:val="20"/>
    </w:rPr>
  </w:style>
  <w:style w:type="character" w:customStyle="1" w:styleId="EndnoteTextChar">
    <w:name w:val="Endnote Text Char"/>
    <w:basedOn w:val="DefaultParagraphFont"/>
    <w:link w:val="EndnoteText"/>
    <w:semiHidden/>
    <w:rsid w:val="003C52DE"/>
    <w:rPr>
      <w:rFonts w:ascii="Arial" w:eastAsia="Times New Roman" w:hAnsi="Arial" w:cs="Times New Roman"/>
      <w:sz w:val="16"/>
      <w:szCs w:val="20"/>
    </w:rPr>
  </w:style>
  <w:style w:type="paragraph" w:customStyle="1" w:styleId="OpinionDate">
    <w:name w:val="Opinion Date"/>
    <w:aliases w:val="od"/>
    <w:basedOn w:val="Normal"/>
    <w:rsid w:val="003C52DE"/>
    <w:pPr>
      <w:keepLines/>
      <w:tabs>
        <w:tab w:val="left" w:pos="180"/>
      </w:tabs>
      <w:spacing w:before="1440" w:after="200"/>
    </w:pPr>
    <w:rPr>
      <w:rFonts w:ascii="Times New Roman" w:eastAsia="Times New Roman" w:hAnsi="Times New Roman" w:cs="Times New Roman"/>
      <w:szCs w:val="20"/>
    </w:rPr>
  </w:style>
  <w:style w:type="paragraph" w:customStyle="1" w:styleId="NormalKeepWithNext">
    <w:name w:val="Normal Keep With Next"/>
    <w:aliases w:val="nkwn"/>
    <w:basedOn w:val="Normal"/>
    <w:next w:val="Normal"/>
    <w:rsid w:val="003C52DE"/>
    <w:pPr>
      <w:keepNext/>
      <w:spacing w:after="200"/>
      <w:jc w:val="both"/>
    </w:pPr>
    <w:rPr>
      <w:rFonts w:ascii="Times New Roman" w:eastAsia="Times New Roman" w:hAnsi="Times New Roman" w:cs="Times New Roman"/>
      <w:szCs w:val="20"/>
    </w:rPr>
  </w:style>
  <w:style w:type="paragraph" w:customStyle="1" w:styleId="HeadingLevel1">
    <w:name w:val="Heading Level 1"/>
    <w:aliases w:val="hl1"/>
    <w:basedOn w:val="Normal"/>
    <w:next w:val="Normal"/>
    <w:rsid w:val="003C52DE"/>
    <w:pPr>
      <w:keepNext/>
      <w:keepLines/>
      <w:spacing w:after="140"/>
      <w:ind w:left="547" w:hanging="547"/>
    </w:pPr>
    <w:rPr>
      <w:rFonts w:ascii="Times New Roman" w:eastAsia="Times New Roman" w:hAnsi="Times New Roman" w:cs="Times New Roman"/>
      <w:b/>
      <w:szCs w:val="20"/>
    </w:rPr>
  </w:style>
  <w:style w:type="character" w:styleId="FootnoteReference">
    <w:name w:val="footnote reference"/>
    <w:basedOn w:val="DefaultParagraphFont"/>
    <w:semiHidden/>
    <w:rsid w:val="003C52DE"/>
    <w:rPr>
      <w:sz w:val="20"/>
      <w:vertAlign w:val="superscript"/>
    </w:rPr>
  </w:style>
  <w:style w:type="paragraph" w:customStyle="1" w:styleId="Center">
    <w:name w:val="Center"/>
    <w:rsid w:val="003C52DE"/>
    <w:pPr>
      <w:widowControl w:val="0"/>
      <w:spacing w:before="112" w:after="112" w:line="240" w:lineRule="auto"/>
      <w:jc w:val="center"/>
    </w:pPr>
    <w:rPr>
      <w:rFonts w:ascii="Times New Roman" w:eastAsia="Times New Roman" w:hAnsi="Times New Roman" w:cs="Times New Roman"/>
      <w:snapToGrid w:val="0"/>
      <w:color w:val="000000"/>
      <w:sz w:val="24"/>
      <w:szCs w:val="20"/>
    </w:rPr>
  </w:style>
  <w:style w:type="paragraph" w:customStyle="1" w:styleId="Indent">
    <w:name w:val="Indent"/>
    <w:rsid w:val="003C52DE"/>
    <w:pPr>
      <w:widowControl w:val="0"/>
      <w:spacing w:before="114" w:after="114" w:line="240" w:lineRule="auto"/>
      <w:ind w:left="720"/>
    </w:pPr>
    <w:rPr>
      <w:rFonts w:ascii="Times New Roman" w:eastAsia="Times New Roman" w:hAnsi="Times New Roman" w:cs="Times New Roman"/>
      <w:snapToGrid w:val="0"/>
      <w:color w:val="000000"/>
      <w:sz w:val="24"/>
      <w:szCs w:val="20"/>
    </w:rPr>
  </w:style>
  <w:style w:type="paragraph" w:customStyle="1" w:styleId="MainHeading">
    <w:name w:val="Main Heading"/>
    <w:rsid w:val="003C52DE"/>
    <w:pPr>
      <w:widowControl w:val="0"/>
      <w:spacing w:before="114" w:after="114" w:line="240" w:lineRule="auto"/>
    </w:pPr>
    <w:rPr>
      <w:rFonts w:ascii="Times New Roman" w:eastAsia="Times New Roman" w:hAnsi="Times New Roman" w:cs="Times New Roman"/>
      <w:b/>
      <w:snapToGrid w:val="0"/>
      <w:color w:val="000000"/>
      <w:sz w:val="28"/>
      <w:szCs w:val="20"/>
    </w:rPr>
  </w:style>
  <w:style w:type="paragraph" w:styleId="ListParagraph">
    <w:name w:val="List Paragraph"/>
    <w:basedOn w:val="Normal"/>
    <w:uiPriority w:val="1"/>
    <w:qFormat/>
    <w:rsid w:val="003C52DE"/>
    <w:pPr>
      <w:ind w:left="720"/>
      <w:contextualSpacing/>
    </w:pPr>
    <w:rPr>
      <w:rFonts w:ascii="Times New Roman" w:eastAsia="Times New Roman" w:hAnsi="Times New Roman" w:cs="Times New Roman"/>
      <w:sz w:val="24"/>
      <w:szCs w:val="24"/>
    </w:rPr>
  </w:style>
  <w:style w:type="paragraph" w:styleId="Revision">
    <w:name w:val="Revision"/>
    <w:hidden/>
    <w:uiPriority w:val="99"/>
    <w:semiHidden/>
    <w:rsid w:val="003C52DE"/>
    <w:pPr>
      <w:spacing w:after="0" w:line="240" w:lineRule="auto"/>
    </w:pPr>
    <w:rPr>
      <w:rFonts w:ascii="Times New Roman" w:eastAsia="Times New Roman" w:hAnsi="Times New Roman" w:cs="Times New Roman"/>
      <w:sz w:val="24"/>
      <w:szCs w:val="24"/>
    </w:rPr>
  </w:style>
  <w:style w:type="paragraph" w:customStyle="1" w:styleId="LTNormal">
    <w:name w:val="LT Normal"/>
    <w:rsid w:val="003C52DE"/>
    <w:pPr>
      <w:spacing w:after="200" w:line="240" w:lineRule="auto"/>
      <w:jc w:val="both"/>
    </w:pPr>
    <w:rPr>
      <w:rFonts w:ascii="Times New Roman" w:eastAsia="Times New Roman" w:hAnsi="Times New Roman" w:cs="Times New Roman"/>
      <w:szCs w:val="24"/>
    </w:rPr>
  </w:style>
  <w:style w:type="paragraph" w:customStyle="1" w:styleId="LTDate">
    <w:name w:val="LT Date"/>
    <w:next w:val="LTNormal"/>
    <w:rsid w:val="003C52DE"/>
    <w:pPr>
      <w:spacing w:after="600" w:line="240" w:lineRule="auto"/>
    </w:pPr>
    <w:rPr>
      <w:rFonts w:ascii="Times New Roman" w:eastAsia="Times New Roman" w:hAnsi="Times New Roman" w:cs="Times New Roman"/>
      <w:szCs w:val="24"/>
    </w:rPr>
  </w:style>
  <w:style w:type="paragraph" w:customStyle="1" w:styleId="LTSalutation">
    <w:name w:val="LT Salutation"/>
    <w:next w:val="LTNormal"/>
    <w:rsid w:val="003C52DE"/>
    <w:pPr>
      <w:spacing w:after="360" w:line="240" w:lineRule="auto"/>
    </w:pPr>
    <w:rPr>
      <w:rFonts w:ascii="Times New Roman" w:eastAsia="Times New Roman" w:hAnsi="Times New Roman" w:cs="Times New Roman"/>
      <w:szCs w:val="24"/>
    </w:rPr>
  </w:style>
  <w:style w:type="paragraph" w:customStyle="1" w:styleId="LTNumber1">
    <w:name w:val="LT Number 1"/>
    <w:rsid w:val="003C52DE"/>
    <w:pPr>
      <w:numPr>
        <w:numId w:val="4"/>
      </w:numPr>
      <w:spacing w:after="120" w:line="240" w:lineRule="auto"/>
      <w:jc w:val="both"/>
    </w:pPr>
    <w:rPr>
      <w:rFonts w:ascii="Times New Roman" w:eastAsia="Times New Roman" w:hAnsi="Times New Roman" w:cs="Times New Roman"/>
    </w:rPr>
  </w:style>
  <w:style w:type="paragraph" w:customStyle="1" w:styleId="LTNumber2">
    <w:name w:val="LT Number 2"/>
    <w:rsid w:val="003C52DE"/>
    <w:pPr>
      <w:numPr>
        <w:ilvl w:val="1"/>
        <w:numId w:val="4"/>
      </w:numPr>
      <w:spacing w:after="120" w:line="240" w:lineRule="auto"/>
      <w:jc w:val="both"/>
    </w:pPr>
    <w:rPr>
      <w:rFonts w:ascii="Times New Roman" w:eastAsia="Times New Roman" w:hAnsi="Times New Roman" w:cs="Times New Roman"/>
      <w:szCs w:val="24"/>
    </w:rPr>
  </w:style>
  <w:style w:type="paragraph" w:customStyle="1" w:styleId="LTElectronicSignature">
    <w:name w:val="LT Electronic Signature"/>
    <w:basedOn w:val="LTNormal"/>
    <w:rsid w:val="003C52DE"/>
    <w:pPr>
      <w:keepNext/>
      <w:jc w:val="center"/>
    </w:pPr>
  </w:style>
  <w:style w:type="paragraph" w:customStyle="1" w:styleId="LTReportHeading">
    <w:name w:val="LT Report Heading"/>
    <w:basedOn w:val="Normal"/>
    <w:rsid w:val="003C52DE"/>
    <w:rPr>
      <w:rFonts w:ascii="Times New Roman" w:eastAsia="Times New Roman" w:hAnsi="Times New Roman" w:cs="Times New Roman"/>
      <w:b/>
      <w:szCs w:val="24"/>
    </w:rPr>
  </w:style>
  <w:style w:type="paragraph" w:customStyle="1" w:styleId="LTHeading1">
    <w:name w:val="LT Heading 1"/>
    <w:next w:val="LTNormal"/>
    <w:rsid w:val="003C52DE"/>
    <w:pPr>
      <w:keepNext/>
      <w:spacing w:after="120" w:line="240" w:lineRule="auto"/>
    </w:pPr>
    <w:rPr>
      <w:rFonts w:ascii="Times New Roman" w:eastAsia="Times New Roman" w:hAnsi="Times New Roman" w:cs="Times New Roman"/>
      <w:b/>
      <w:szCs w:val="24"/>
    </w:rPr>
  </w:style>
  <w:style w:type="paragraph" w:customStyle="1" w:styleId="LTNormalInd">
    <w:name w:val="LT Normal Ind"/>
    <w:basedOn w:val="LTNormal"/>
    <w:rsid w:val="003C52DE"/>
    <w:pPr>
      <w:ind w:left="547"/>
    </w:pPr>
  </w:style>
  <w:style w:type="character" w:styleId="PlaceholderText">
    <w:name w:val="Placeholder Text"/>
    <w:basedOn w:val="DefaultParagraphFont"/>
    <w:uiPriority w:val="99"/>
    <w:semiHidden/>
    <w:rsid w:val="003C52DE"/>
    <w:rPr>
      <w:color w:val="808080"/>
    </w:rPr>
  </w:style>
  <w:style w:type="character" w:styleId="CommentReference">
    <w:name w:val="annotation reference"/>
    <w:basedOn w:val="DefaultParagraphFont"/>
    <w:rsid w:val="003C52DE"/>
    <w:rPr>
      <w:sz w:val="16"/>
      <w:szCs w:val="16"/>
    </w:rPr>
  </w:style>
  <w:style w:type="paragraph" w:styleId="CommentText">
    <w:name w:val="annotation text"/>
    <w:basedOn w:val="Normal"/>
    <w:link w:val="CommentTextChar"/>
    <w:rsid w:val="003C52DE"/>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C52D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C52DE"/>
    <w:rPr>
      <w:b/>
      <w:bCs/>
    </w:rPr>
  </w:style>
  <w:style w:type="character" w:customStyle="1" w:styleId="CommentSubjectChar">
    <w:name w:val="Comment Subject Char"/>
    <w:basedOn w:val="CommentTextChar"/>
    <w:link w:val="CommentSubject"/>
    <w:rsid w:val="003C52DE"/>
    <w:rPr>
      <w:rFonts w:ascii="Times New Roman" w:eastAsia="Times New Roman" w:hAnsi="Times New Roman" w:cs="Times New Roman"/>
      <w:b/>
      <w:bCs/>
      <w:sz w:val="20"/>
      <w:szCs w:val="20"/>
    </w:rPr>
  </w:style>
  <w:style w:type="paragraph" w:styleId="NormalWeb">
    <w:name w:val="Normal (Web)"/>
    <w:basedOn w:val="Normal"/>
    <w:uiPriority w:val="99"/>
    <w:unhideWhenUsed/>
    <w:rsid w:val="003C52DE"/>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3C52DE"/>
    <w:pPr>
      <w:autoSpaceDE w:val="0"/>
      <w:autoSpaceDN w:val="0"/>
      <w:adjustRightInd w:val="0"/>
      <w:spacing w:after="0" w:line="240" w:lineRule="auto"/>
    </w:pPr>
    <w:rPr>
      <w:rFonts w:ascii="Calibri" w:eastAsia="Calibri" w:hAnsi="Calibri" w:cs="Calibri"/>
      <w:color w:val="000000"/>
      <w:sz w:val="24"/>
      <w:szCs w:val="24"/>
    </w:rPr>
  </w:style>
  <w:style w:type="character" w:customStyle="1" w:styleId="apple-converted-space">
    <w:name w:val="apple-converted-space"/>
    <w:basedOn w:val="DefaultParagraphFont"/>
    <w:rsid w:val="003C52DE"/>
  </w:style>
  <w:style w:type="paragraph" w:customStyle="1" w:styleId="PAParaText">
    <w:name w:val="PA_ParaText"/>
    <w:basedOn w:val="Normal"/>
    <w:rsid w:val="003C52DE"/>
    <w:pPr>
      <w:spacing w:after="120"/>
      <w:jc w:val="both"/>
    </w:pPr>
    <w:rPr>
      <w:rFonts w:ascii="Arial" w:eastAsia="SimSun" w:hAnsi="Arial" w:cs="Times New Roman"/>
      <w:sz w:val="20"/>
      <w:szCs w:val="20"/>
      <w:lang w:eastAsia="zh-CN"/>
    </w:rPr>
  </w:style>
  <w:style w:type="character" w:customStyle="1" w:styleId="CLPracticalLink">
    <w:name w:val="CL_PracticalLink"/>
    <w:basedOn w:val="DefaultParagraphFont"/>
    <w:rsid w:val="003C52DE"/>
    <w:rPr>
      <w:vanish/>
      <w:webHidden w:val="0"/>
      <w:color w:val="auto"/>
      <w:u w:val="words" w:color="FFFFFF"/>
      <w:vertAlign w:val="superscript"/>
      <w:specVanish w:val="0"/>
    </w:rPr>
  </w:style>
  <w:style w:type="paragraph" w:styleId="PlainText">
    <w:name w:val="Plain Text"/>
    <w:basedOn w:val="Normal"/>
    <w:link w:val="PlainTextChar"/>
    <w:uiPriority w:val="99"/>
    <w:unhideWhenUsed/>
    <w:rsid w:val="003C52DE"/>
    <w:rPr>
      <w:rFonts w:ascii="Consolas" w:eastAsia="Times New Roman" w:hAnsi="Consolas" w:cs="Consolas"/>
      <w:sz w:val="21"/>
      <w:szCs w:val="21"/>
    </w:rPr>
  </w:style>
  <w:style w:type="character" w:customStyle="1" w:styleId="PlainTextChar">
    <w:name w:val="Plain Text Char"/>
    <w:basedOn w:val="DefaultParagraphFont"/>
    <w:link w:val="PlainText"/>
    <w:uiPriority w:val="99"/>
    <w:rsid w:val="003C52DE"/>
    <w:rPr>
      <w:rFonts w:ascii="Consolas" w:eastAsia="Times New Roman" w:hAnsi="Consolas" w:cs="Consolas"/>
      <w:sz w:val="21"/>
      <w:szCs w:val="21"/>
    </w:rPr>
  </w:style>
  <w:style w:type="paragraph" w:customStyle="1" w:styleId="TableParagraph">
    <w:name w:val="Table Paragraph"/>
    <w:basedOn w:val="Normal"/>
    <w:uiPriority w:val="1"/>
    <w:qFormat/>
    <w:rsid w:val="003C52DE"/>
    <w:pPr>
      <w:widowControl w:val="0"/>
    </w:pPr>
  </w:style>
  <w:style w:type="character" w:customStyle="1" w:styleId="Date1">
    <w:name w:val="Date1"/>
    <w:basedOn w:val="DefaultParagraphFont"/>
    <w:rsid w:val="003C52DE"/>
  </w:style>
  <w:style w:type="paragraph" w:customStyle="1" w:styleId="ReportHeading1">
    <w:name w:val="Report Heading 1"/>
    <w:basedOn w:val="Heading2"/>
    <w:link w:val="ReportHeading1Char"/>
    <w:qFormat/>
    <w:rsid w:val="003C52DE"/>
    <w:pPr>
      <w:pBdr>
        <w:bottom w:val="single" w:sz="18" w:space="1" w:color="5B9BD5"/>
      </w:pBdr>
      <w:shd w:val="clear" w:color="auto" w:fill="F2F2F2" w:themeFill="background1" w:themeFillShade="F2"/>
      <w:tabs>
        <w:tab w:val="clear" w:pos="720"/>
        <w:tab w:val="clear" w:pos="1022"/>
        <w:tab w:val="clear" w:pos="1440"/>
        <w:tab w:val="clear" w:pos="4262"/>
        <w:tab w:val="clear" w:pos="5220"/>
        <w:tab w:val="clear" w:pos="6691"/>
        <w:tab w:val="clear" w:pos="7621"/>
        <w:tab w:val="clear" w:pos="9187"/>
      </w:tabs>
      <w:spacing w:after="0"/>
      <w:ind w:left="0" w:firstLine="0"/>
      <w:jc w:val="left"/>
      <w:outlineLvl w:val="0"/>
    </w:pPr>
    <w:rPr>
      <w:i/>
      <w:caps/>
      <w:sz w:val="36"/>
      <w:szCs w:val="36"/>
    </w:rPr>
  </w:style>
  <w:style w:type="character" w:customStyle="1" w:styleId="ReportHeading1Char">
    <w:name w:val="Report Heading 1 Char"/>
    <w:basedOn w:val="Heading2Char"/>
    <w:link w:val="ReportHeading1"/>
    <w:rsid w:val="003C52DE"/>
    <w:rPr>
      <w:rFonts w:ascii="Calibri" w:eastAsia="Times New Roman" w:hAnsi="Calibri" w:cs="Times New Roman"/>
      <w:b/>
      <w:i/>
      <w:caps/>
      <w:color w:val="000000"/>
      <w:spacing w:val="-3"/>
      <w:sz w:val="36"/>
      <w:szCs w:val="36"/>
      <w:u w:val="single"/>
      <w:shd w:val="clear" w:color="auto" w:fill="F2F2F2" w:themeFill="background1" w:themeFillShade="F2"/>
    </w:rPr>
  </w:style>
  <w:style w:type="paragraph" w:customStyle="1" w:styleId="ReportHeading2">
    <w:name w:val="Report Heading 2"/>
    <w:link w:val="ReportHeading2Char"/>
    <w:qFormat/>
    <w:rsid w:val="003C52DE"/>
    <w:pPr>
      <w:pBdr>
        <w:bottom w:val="single" w:sz="8" w:space="1" w:color="00688D"/>
      </w:pBdr>
      <w:spacing w:before="240" w:after="240" w:line="240" w:lineRule="auto"/>
    </w:pPr>
    <w:rPr>
      <w:rFonts w:eastAsiaTheme="majorEastAsia" w:cstheme="majorBidi"/>
      <w:b/>
      <w:i/>
      <w:iCs/>
      <w:smallCaps/>
      <w:color w:val="000000" w:themeColor="text1"/>
      <w:sz w:val="32"/>
    </w:rPr>
  </w:style>
  <w:style w:type="character" w:customStyle="1" w:styleId="ReportHeading2Char">
    <w:name w:val="Report Heading 2 Char"/>
    <w:basedOn w:val="DefaultParagraphFont"/>
    <w:link w:val="ReportHeading2"/>
    <w:rsid w:val="003C52DE"/>
    <w:rPr>
      <w:rFonts w:eastAsiaTheme="majorEastAsia" w:cstheme="majorBidi"/>
      <w:b/>
      <w:i/>
      <w:iCs/>
      <w:smallCaps/>
      <w:color w:val="000000" w:themeColor="text1"/>
      <w:sz w:val="32"/>
    </w:rPr>
  </w:style>
  <w:style w:type="paragraph" w:customStyle="1" w:styleId="ReportHeading3">
    <w:name w:val="Report Heading 3"/>
    <w:basedOn w:val="Normal"/>
    <w:link w:val="ReportHeading3Char"/>
    <w:qFormat/>
    <w:rsid w:val="003C52DE"/>
    <w:pPr>
      <w:spacing w:before="160" w:after="120"/>
    </w:pPr>
    <w:rPr>
      <w:b/>
      <w:i/>
      <w:sz w:val="26"/>
      <w:u w:val="single"/>
    </w:rPr>
  </w:style>
  <w:style w:type="character" w:customStyle="1" w:styleId="ReportHeading3Char">
    <w:name w:val="Report Heading 3 Char"/>
    <w:basedOn w:val="DefaultParagraphFont"/>
    <w:link w:val="ReportHeading3"/>
    <w:rsid w:val="003C52DE"/>
    <w:rPr>
      <w:b/>
      <w:i/>
      <w:sz w:val="26"/>
      <w:u w:val="single"/>
    </w:rPr>
  </w:style>
  <w:style w:type="paragraph" w:customStyle="1" w:styleId="ReportHeading4">
    <w:name w:val="Report Heading 4"/>
    <w:link w:val="ReportHeading4Char"/>
    <w:qFormat/>
    <w:rsid w:val="003C52DE"/>
    <w:pPr>
      <w:spacing w:before="60" w:after="60" w:line="240" w:lineRule="auto"/>
    </w:pPr>
    <w:rPr>
      <w:i/>
      <w:sz w:val="24"/>
      <w:u w:val="single"/>
    </w:rPr>
  </w:style>
  <w:style w:type="character" w:customStyle="1" w:styleId="ReportHeading4Char">
    <w:name w:val="Report Heading 4 Char"/>
    <w:basedOn w:val="DefaultParagraphFont"/>
    <w:link w:val="ReportHeading4"/>
    <w:rsid w:val="003C52DE"/>
    <w:rPr>
      <w:i/>
      <w:sz w:val="24"/>
      <w:u w:val="single"/>
    </w:rPr>
  </w:style>
  <w:style w:type="paragraph" w:customStyle="1" w:styleId="ReportHeading5">
    <w:name w:val="Report Heading 5"/>
    <w:link w:val="ReportHeading5Char"/>
    <w:qFormat/>
    <w:rsid w:val="003C52DE"/>
    <w:pPr>
      <w:spacing w:before="60" w:after="0" w:line="240" w:lineRule="auto"/>
    </w:pPr>
    <w:rPr>
      <w:i/>
      <w:color w:val="000000" w:themeColor="text1"/>
      <w:sz w:val="24"/>
    </w:rPr>
  </w:style>
  <w:style w:type="character" w:customStyle="1" w:styleId="ReportHeading5Char">
    <w:name w:val="Report Heading 5 Char"/>
    <w:basedOn w:val="DefaultParagraphFont"/>
    <w:link w:val="ReportHeading5"/>
    <w:rsid w:val="003C52DE"/>
    <w:rPr>
      <w:i/>
      <w:color w:val="000000" w:themeColor="text1"/>
      <w:sz w:val="24"/>
    </w:rPr>
  </w:style>
  <w:style w:type="table" w:customStyle="1" w:styleId="TableGrid1">
    <w:name w:val="Table Grid1"/>
    <w:basedOn w:val="TableNormal"/>
    <w:next w:val="TableGrid"/>
    <w:rsid w:val="003C5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C52DE"/>
  </w:style>
  <w:style w:type="table" w:customStyle="1" w:styleId="TableGrid2">
    <w:name w:val="Table Grid2"/>
    <w:basedOn w:val="TableNormal"/>
    <w:next w:val="TableGrid"/>
    <w:rsid w:val="003C5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otal">
    <w:name w:val="Report Total"/>
    <w:basedOn w:val="Normal"/>
    <w:link w:val="ReportTotalChar"/>
    <w:qFormat/>
    <w:rsid w:val="003C52DE"/>
    <w:pPr>
      <w:tabs>
        <w:tab w:val="left" w:pos="720"/>
        <w:tab w:val="left" w:pos="1440"/>
        <w:tab w:val="decimal" w:pos="6786"/>
        <w:tab w:val="decimal" w:pos="8100"/>
      </w:tabs>
      <w:suppressAutoHyphens/>
      <w:jc w:val="both"/>
    </w:pPr>
    <w:rPr>
      <w:rFonts w:ascii="Calibri" w:eastAsia="Times New Roman" w:hAnsi="Calibri" w:cs="Tahoma"/>
      <w:bCs/>
      <w:spacing w:val="-3"/>
      <w:sz w:val="24"/>
      <w:szCs w:val="24"/>
    </w:rPr>
  </w:style>
  <w:style w:type="character" w:customStyle="1" w:styleId="ReportTotalChar">
    <w:name w:val="Report Total Char"/>
    <w:basedOn w:val="DefaultParagraphFont"/>
    <w:link w:val="ReportTotal"/>
    <w:rsid w:val="003C52DE"/>
    <w:rPr>
      <w:rFonts w:ascii="Calibri" w:eastAsia="Times New Roman" w:hAnsi="Calibri" w:cs="Tahoma"/>
      <w:bCs/>
      <w:spacing w:val="-3"/>
      <w:sz w:val="24"/>
      <w:szCs w:val="24"/>
    </w:rPr>
  </w:style>
  <w:style w:type="paragraph" w:styleId="TOCHeading">
    <w:name w:val="TOC Heading"/>
    <w:basedOn w:val="Heading1"/>
    <w:next w:val="Normal"/>
    <w:uiPriority w:val="39"/>
    <w:unhideWhenUsed/>
    <w:qFormat/>
    <w:rsid w:val="003C52DE"/>
    <w:pPr>
      <w:keepLines/>
      <w:pBdr>
        <w:bottom w:val="none" w:sz="0" w:space="0" w:color="auto"/>
      </w:pBdr>
      <w:tabs>
        <w:tab w:val="clear" w:pos="5112"/>
      </w:tabs>
      <w:suppressAutoHyphens w:val="0"/>
      <w:spacing w:after="0" w:line="259" w:lineRule="auto"/>
      <w:outlineLvl w:val="9"/>
    </w:pPr>
    <w:rPr>
      <w:rFonts w:asciiTheme="majorHAnsi" w:eastAsiaTheme="majorEastAsia" w:hAnsiTheme="majorHAnsi" w:cstheme="majorBidi"/>
      <w:b w:val="0"/>
      <w:i w:val="0"/>
      <w:smallCaps w:val="0"/>
      <w:noProof w:val="0"/>
      <w:color w:val="2E74B5" w:themeColor="accent1" w:themeShade="BF"/>
      <w:spacing w:val="0"/>
      <w:szCs w:val="32"/>
      <w14:textOutline w14:w="0" w14:cap="rnd" w14:cmpd="sng" w14:algn="ctr">
        <w14:noFill/>
        <w14:prstDash w14:val="solid"/>
        <w14:bevel/>
      </w14:textOutline>
    </w:rPr>
  </w:style>
  <w:style w:type="numbering" w:customStyle="1" w:styleId="NoList2">
    <w:name w:val="No List2"/>
    <w:next w:val="NoList"/>
    <w:uiPriority w:val="99"/>
    <w:semiHidden/>
    <w:unhideWhenUsed/>
    <w:rsid w:val="003C52DE"/>
  </w:style>
  <w:style w:type="paragraph" w:customStyle="1" w:styleId="AFR1">
    <w:name w:val="AFR1"/>
    <w:basedOn w:val="Normal"/>
    <w:link w:val="AFR1Char"/>
    <w:qFormat/>
    <w:rsid w:val="00C114BE"/>
    <w:pPr>
      <w:keepNext/>
      <w:pBdr>
        <w:bottom w:val="single" w:sz="18" w:space="1" w:color="00688D"/>
      </w:pBdr>
      <w:suppressAutoHyphens/>
      <w:spacing w:after="240"/>
      <w:outlineLvl w:val="0"/>
    </w:pPr>
    <w:rPr>
      <w:rFonts w:ascii="Calibri" w:eastAsia="Times New Roman" w:hAnsi="Calibri" w:cs="Times New Roman"/>
      <w:b/>
      <w:i/>
      <w:caps/>
      <w:color w:val="000000"/>
      <w:spacing w:val="-3"/>
      <w:sz w:val="26"/>
      <w:szCs w:val="36"/>
      <w:u w:color="000000" w:themeColor="text1"/>
    </w:rPr>
  </w:style>
  <w:style w:type="paragraph" w:customStyle="1" w:styleId="AFR2">
    <w:name w:val="AFR2"/>
    <w:basedOn w:val="ReportHeading2"/>
    <w:link w:val="AFR2Char"/>
    <w:qFormat/>
    <w:rsid w:val="00EB375A"/>
    <w:pPr>
      <w:spacing w:before="360"/>
    </w:pPr>
    <w:rPr>
      <w:noProof/>
      <w:szCs w:val="28"/>
      <w:u w:color="5B9BD5"/>
    </w:rPr>
  </w:style>
  <w:style w:type="character" w:customStyle="1" w:styleId="AFR1Char">
    <w:name w:val="AFR1 Char"/>
    <w:basedOn w:val="DefaultParagraphFont"/>
    <w:link w:val="AFR1"/>
    <w:rsid w:val="00C114BE"/>
    <w:rPr>
      <w:rFonts w:ascii="Calibri" w:eastAsia="Times New Roman" w:hAnsi="Calibri" w:cs="Times New Roman"/>
      <w:b/>
      <w:i/>
      <w:caps/>
      <w:color w:val="000000"/>
      <w:spacing w:val="-3"/>
      <w:sz w:val="26"/>
      <w:szCs w:val="36"/>
      <w:u w:color="000000" w:themeColor="text1"/>
    </w:rPr>
  </w:style>
  <w:style w:type="paragraph" w:customStyle="1" w:styleId="AFR3">
    <w:name w:val="AFR3"/>
    <w:basedOn w:val="ReportHeading3"/>
    <w:link w:val="AFR3Char"/>
    <w:qFormat/>
    <w:rsid w:val="00334E3C"/>
    <w:pPr>
      <w:spacing w:before="240"/>
    </w:pPr>
    <w:rPr>
      <w:u w:color="000000" w:themeColor="text1"/>
    </w:rPr>
  </w:style>
  <w:style w:type="character" w:customStyle="1" w:styleId="AFR2Char">
    <w:name w:val="AFR2 Char"/>
    <w:basedOn w:val="ReportHeading2Char"/>
    <w:link w:val="AFR2"/>
    <w:rsid w:val="00EB375A"/>
    <w:rPr>
      <w:rFonts w:eastAsiaTheme="majorEastAsia" w:cstheme="majorBidi"/>
      <w:b/>
      <w:i/>
      <w:iCs/>
      <w:smallCaps/>
      <w:noProof/>
      <w:color w:val="000000" w:themeColor="text1"/>
      <w:sz w:val="32"/>
      <w:szCs w:val="28"/>
      <w:u w:color="5B9BD5"/>
    </w:rPr>
  </w:style>
  <w:style w:type="character" w:customStyle="1" w:styleId="AFR3Char">
    <w:name w:val="AFR3 Char"/>
    <w:basedOn w:val="ReportHeading3Char"/>
    <w:link w:val="AFR3"/>
    <w:rsid w:val="00334E3C"/>
    <w:rPr>
      <w:b/>
      <w:i/>
      <w:sz w:val="26"/>
      <w:u w:val="single" w:color="000000" w:themeColor="text1"/>
    </w:rPr>
  </w:style>
  <w:style w:type="paragraph" w:customStyle="1" w:styleId="AFR4">
    <w:name w:val="AFR4"/>
    <w:basedOn w:val="ReportHeading3"/>
    <w:link w:val="AFR4Char"/>
    <w:qFormat/>
    <w:rsid w:val="00334E3C"/>
    <w:rPr>
      <w:i w:val="0"/>
      <w:sz w:val="24"/>
      <w:szCs w:val="24"/>
    </w:rPr>
  </w:style>
  <w:style w:type="character" w:customStyle="1" w:styleId="AFR4Char">
    <w:name w:val="AFR4 Char"/>
    <w:basedOn w:val="ReportHeading3Char"/>
    <w:link w:val="AFR4"/>
    <w:rsid w:val="00334E3C"/>
    <w:rPr>
      <w:b/>
      <w:i w:val="0"/>
      <w:sz w:val="24"/>
      <w:szCs w:val="24"/>
      <w:u w:val="single"/>
    </w:rPr>
  </w:style>
  <w:style w:type="paragraph" w:customStyle="1" w:styleId="AFR5">
    <w:name w:val="AFR5"/>
    <w:basedOn w:val="Normal"/>
    <w:link w:val="AFR5Char"/>
    <w:qFormat/>
    <w:rsid w:val="00334E3C"/>
    <w:pPr>
      <w:spacing w:before="120"/>
      <w:ind w:left="720"/>
      <w:jc w:val="both"/>
    </w:pPr>
    <w:rPr>
      <w:rFonts w:ascii="Calibri" w:hAnsi="Calibri" w:cs="Tahoma"/>
      <w:b/>
      <w:i/>
      <w:sz w:val="24"/>
    </w:rPr>
  </w:style>
  <w:style w:type="character" w:customStyle="1" w:styleId="AFR5Char">
    <w:name w:val="AFR5 Char"/>
    <w:basedOn w:val="DefaultParagraphFont"/>
    <w:link w:val="AFR5"/>
    <w:rsid w:val="00334E3C"/>
    <w:rPr>
      <w:rFonts w:ascii="Calibri" w:hAnsi="Calibri" w:cs="Tahoma"/>
      <w:b/>
      <w:i/>
      <w:sz w:val="24"/>
    </w:rPr>
  </w:style>
  <w:style w:type="paragraph" w:customStyle="1" w:styleId="Style1">
    <w:name w:val="Style1"/>
    <w:basedOn w:val="Normal"/>
    <w:link w:val="Style1Char"/>
    <w:qFormat/>
    <w:rsid w:val="00520694"/>
    <w:pPr>
      <w:keepNext/>
      <w:pBdr>
        <w:bottom w:val="single" w:sz="18" w:space="1" w:color="00688D"/>
      </w:pBdr>
      <w:suppressAutoHyphens/>
      <w:outlineLvl w:val="0"/>
    </w:pPr>
    <w:rPr>
      <w:rFonts w:ascii="Calibri" w:eastAsia="Times New Roman" w:hAnsi="Calibri" w:cs="Times New Roman"/>
      <w:b/>
      <w:i/>
      <w:caps/>
      <w:color w:val="000000"/>
      <w:spacing w:val="-3"/>
      <w:sz w:val="26"/>
      <w:szCs w:val="26"/>
      <w:u w:color="000000" w:themeColor="text1"/>
    </w:rPr>
  </w:style>
  <w:style w:type="character" w:customStyle="1" w:styleId="Style1Char">
    <w:name w:val="Style1 Char"/>
    <w:basedOn w:val="DefaultParagraphFont"/>
    <w:link w:val="Style1"/>
    <w:rsid w:val="00520694"/>
    <w:rPr>
      <w:rFonts w:ascii="Calibri" w:eastAsia="Times New Roman" w:hAnsi="Calibri" w:cs="Times New Roman"/>
      <w:b/>
      <w:i/>
      <w:caps/>
      <w:color w:val="000000"/>
      <w:spacing w:val="-3"/>
      <w:sz w:val="26"/>
      <w:szCs w:val="26"/>
      <w:u w:color="000000" w:themeColor="text1"/>
    </w:rPr>
  </w:style>
  <w:style w:type="numbering" w:customStyle="1" w:styleId="NoList3">
    <w:name w:val="No List3"/>
    <w:next w:val="NoList"/>
    <w:uiPriority w:val="99"/>
    <w:semiHidden/>
    <w:unhideWhenUsed/>
    <w:rsid w:val="00560E55"/>
  </w:style>
  <w:style w:type="character" w:styleId="EndnoteReference">
    <w:name w:val="endnote reference"/>
    <w:basedOn w:val="DefaultParagraphFont"/>
    <w:uiPriority w:val="99"/>
    <w:semiHidden/>
    <w:unhideWhenUsed/>
    <w:rsid w:val="00113126"/>
    <w:rPr>
      <w:vertAlign w:val="superscript"/>
    </w:rPr>
  </w:style>
  <w:style w:type="character" w:customStyle="1" w:styleId="UnresolvedMention1">
    <w:name w:val="Unresolved Mention1"/>
    <w:basedOn w:val="DefaultParagraphFont"/>
    <w:uiPriority w:val="99"/>
    <w:semiHidden/>
    <w:unhideWhenUsed/>
    <w:rsid w:val="00614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5058">
      <w:bodyDiv w:val="1"/>
      <w:marLeft w:val="0"/>
      <w:marRight w:val="0"/>
      <w:marTop w:val="0"/>
      <w:marBottom w:val="0"/>
      <w:divBdr>
        <w:top w:val="none" w:sz="0" w:space="0" w:color="auto"/>
        <w:left w:val="none" w:sz="0" w:space="0" w:color="auto"/>
        <w:bottom w:val="none" w:sz="0" w:space="0" w:color="auto"/>
        <w:right w:val="none" w:sz="0" w:space="0" w:color="auto"/>
      </w:divBdr>
    </w:div>
    <w:div w:id="22946429">
      <w:bodyDiv w:val="1"/>
      <w:marLeft w:val="0"/>
      <w:marRight w:val="0"/>
      <w:marTop w:val="0"/>
      <w:marBottom w:val="0"/>
      <w:divBdr>
        <w:top w:val="none" w:sz="0" w:space="0" w:color="auto"/>
        <w:left w:val="none" w:sz="0" w:space="0" w:color="auto"/>
        <w:bottom w:val="none" w:sz="0" w:space="0" w:color="auto"/>
        <w:right w:val="none" w:sz="0" w:space="0" w:color="auto"/>
      </w:divBdr>
    </w:div>
    <w:div w:id="37165262">
      <w:bodyDiv w:val="1"/>
      <w:marLeft w:val="0"/>
      <w:marRight w:val="0"/>
      <w:marTop w:val="0"/>
      <w:marBottom w:val="0"/>
      <w:divBdr>
        <w:top w:val="none" w:sz="0" w:space="0" w:color="auto"/>
        <w:left w:val="none" w:sz="0" w:space="0" w:color="auto"/>
        <w:bottom w:val="none" w:sz="0" w:space="0" w:color="auto"/>
        <w:right w:val="none" w:sz="0" w:space="0" w:color="auto"/>
      </w:divBdr>
    </w:div>
    <w:div w:id="67307893">
      <w:bodyDiv w:val="1"/>
      <w:marLeft w:val="0"/>
      <w:marRight w:val="0"/>
      <w:marTop w:val="0"/>
      <w:marBottom w:val="0"/>
      <w:divBdr>
        <w:top w:val="none" w:sz="0" w:space="0" w:color="auto"/>
        <w:left w:val="none" w:sz="0" w:space="0" w:color="auto"/>
        <w:bottom w:val="none" w:sz="0" w:space="0" w:color="auto"/>
        <w:right w:val="none" w:sz="0" w:space="0" w:color="auto"/>
      </w:divBdr>
    </w:div>
    <w:div w:id="75716469">
      <w:bodyDiv w:val="1"/>
      <w:marLeft w:val="0"/>
      <w:marRight w:val="0"/>
      <w:marTop w:val="0"/>
      <w:marBottom w:val="0"/>
      <w:divBdr>
        <w:top w:val="none" w:sz="0" w:space="0" w:color="auto"/>
        <w:left w:val="none" w:sz="0" w:space="0" w:color="auto"/>
        <w:bottom w:val="none" w:sz="0" w:space="0" w:color="auto"/>
        <w:right w:val="none" w:sz="0" w:space="0" w:color="auto"/>
      </w:divBdr>
    </w:div>
    <w:div w:id="77334590">
      <w:bodyDiv w:val="1"/>
      <w:marLeft w:val="0"/>
      <w:marRight w:val="0"/>
      <w:marTop w:val="0"/>
      <w:marBottom w:val="0"/>
      <w:divBdr>
        <w:top w:val="none" w:sz="0" w:space="0" w:color="auto"/>
        <w:left w:val="none" w:sz="0" w:space="0" w:color="auto"/>
        <w:bottom w:val="none" w:sz="0" w:space="0" w:color="auto"/>
        <w:right w:val="none" w:sz="0" w:space="0" w:color="auto"/>
      </w:divBdr>
    </w:div>
    <w:div w:id="84574088">
      <w:bodyDiv w:val="1"/>
      <w:marLeft w:val="0"/>
      <w:marRight w:val="0"/>
      <w:marTop w:val="0"/>
      <w:marBottom w:val="0"/>
      <w:divBdr>
        <w:top w:val="none" w:sz="0" w:space="0" w:color="auto"/>
        <w:left w:val="none" w:sz="0" w:space="0" w:color="auto"/>
        <w:bottom w:val="none" w:sz="0" w:space="0" w:color="auto"/>
        <w:right w:val="none" w:sz="0" w:space="0" w:color="auto"/>
      </w:divBdr>
    </w:div>
    <w:div w:id="114646132">
      <w:bodyDiv w:val="1"/>
      <w:marLeft w:val="0"/>
      <w:marRight w:val="0"/>
      <w:marTop w:val="0"/>
      <w:marBottom w:val="0"/>
      <w:divBdr>
        <w:top w:val="none" w:sz="0" w:space="0" w:color="auto"/>
        <w:left w:val="none" w:sz="0" w:space="0" w:color="auto"/>
        <w:bottom w:val="none" w:sz="0" w:space="0" w:color="auto"/>
        <w:right w:val="none" w:sz="0" w:space="0" w:color="auto"/>
      </w:divBdr>
    </w:div>
    <w:div w:id="126318720">
      <w:bodyDiv w:val="1"/>
      <w:marLeft w:val="0"/>
      <w:marRight w:val="0"/>
      <w:marTop w:val="0"/>
      <w:marBottom w:val="0"/>
      <w:divBdr>
        <w:top w:val="none" w:sz="0" w:space="0" w:color="auto"/>
        <w:left w:val="none" w:sz="0" w:space="0" w:color="auto"/>
        <w:bottom w:val="none" w:sz="0" w:space="0" w:color="auto"/>
        <w:right w:val="none" w:sz="0" w:space="0" w:color="auto"/>
      </w:divBdr>
    </w:div>
    <w:div w:id="143205923">
      <w:bodyDiv w:val="1"/>
      <w:marLeft w:val="0"/>
      <w:marRight w:val="0"/>
      <w:marTop w:val="0"/>
      <w:marBottom w:val="0"/>
      <w:divBdr>
        <w:top w:val="none" w:sz="0" w:space="0" w:color="auto"/>
        <w:left w:val="none" w:sz="0" w:space="0" w:color="auto"/>
        <w:bottom w:val="none" w:sz="0" w:space="0" w:color="auto"/>
        <w:right w:val="none" w:sz="0" w:space="0" w:color="auto"/>
      </w:divBdr>
    </w:div>
    <w:div w:id="145902210">
      <w:bodyDiv w:val="1"/>
      <w:marLeft w:val="0"/>
      <w:marRight w:val="0"/>
      <w:marTop w:val="0"/>
      <w:marBottom w:val="0"/>
      <w:divBdr>
        <w:top w:val="none" w:sz="0" w:space="0" w:color="auto"/>
        <w:left w:val="none" w:sz="0" w:space="0" w:color="auto"/>
        <w:bottom w:val="none" w:sz="0" w:space="0" w:color="auto"/>
        <w:right w:val="none" w:sz="0" w:space="0" w:color="auto"/>
      </w:divBdr>
    </w:div>
    <w:div w:id="149175814">
      <w:bodyDiv w:val="1"/>
      <w:marLeft w:val="0"/>
      <w:marRight w:val="0"/>
      <w:marTop w:val="0"/>
      <w:marBottom w:val="0"/>
      <w:divBdr>
        <w:top w:val="none" w:sz="0" w:space="0" w:color="auto"/>
        <w:left w:val="none" w:sz="0" w:space="0" w:color="auto"/>
        <w:bottom w:val="none" w:sz="0" w:space="0" w:color="auto"/>
        <w:right w:val="none" w:sz="0" w:space="0" w:color="auto"/>
      </w:divBdr>
    </w:div>
    <w:div w:id="151990503">
      <w:bodyDiv w:val="1"/>
      <w:marLeft w:val="0"/>
      <w:marRight w:val="0"/>
      <w:marTop w:val="0"/>
      <w:marBottom w:val="0"/>
      <w:divBdr>
        <w:top w:val="none" w:sz="0" w:space="0" w:color="auto"/>
        <w:left w:val="none" w:sz="0" w:space="0" w:color="auto"/>
        <w:bottom w:val="none" w:sz="0" w:space="0" w:color="auto"/>
        <w:right w:val="none" w:sz="0" w:space="0" w:color="auto"/>
      </w:divBdr>
    </w:div>
    <w:div w:id="153687482">
      <w:bodyDiv w:val="1"/>
      <w:marLeft w:val="0"/>
      <w:marRight w:val="0"/>
      <w:marTop w:val="0"/>
      <w:marBottom w:val="0"/>
      <w:divBdr>
        <w:top w:val="none" w:sz="0" w:space="0" w:color="auto"/>
        <w:left w:val="none" w:sz="0" w:space="0" w:color="auto"/>
        <w:bottom w:val="none" w:sz="0" w:space="0" w:color="auto"/>
        <w:right w:val="none" w:sz="0" w:space="0" w:color="auto"/>
      </w:divBdr>
    </w:div>
    <w:div w:id="164444436">
      <w:bodyDiv w:val="1"/>
      <w:marLeft w:val="0"/>
      <w:marRight w:val="0"/>
      <w:marTop w:val="0"/>
      <w:marBottom w:val="0"/>
      <w:divBdr>
        <w:top w:val="none" w:sz="0" w:space="0" w:color="auto"/>
        <w:left w:val="none" w:sz="0" w:space="0" w:color="auto"/>
        <w:bottom w:val="none" w:sz="0" w:space="0" w:color="auto"/>
        <w:right w:val="none" w:sz="0" w:space="0" w:color="auto"/>
      </w:divBdr>
    </w:div>
    <w:div w:id="206066189">
      <w:bodyDiv w:val="1"/>
      <w:marLeft w:val="0"/>
      <w:marRight w:val="0"/>
      <w:marTop w:val="0"/>
      <w:marBottom w:val="0"/>
      <w:divBdr>
        <w:top w:val="none" w:sz="0" w:space="0" w:color="auto"/>
        <w:left w:val="none" w:sz="0" w:space="0" w:color="auto"/>
        <w:bottom w:val="none" w:sz="0" w:space="0" w:color="auto"/>
        <w:right w:val="none" w:sz="0" w:space="0" w:color="auto"/>
      </w:divBdr>
    </w:div>
    <w:div w:id="231234378">
      <w:bodyDiv w:val="1"/>
      <w:marLeft w:val="0"/>
      <w:marRight w:val="0"/>
      <w:marTop w:val="0"/>
      <w:marBottom w:val="0"/>
      <w:divBdr>
        <w:top w:val="none" w:sz="0" w:space="0" w:color="auto"/>
        <w:left w:val="none" w:sz="0" w:space="0" w:color="auto"/>
        <w:bottom w:val="none" w:sz="0" w:space="0" w:color="auto"/>
        <w:right w:val="none" w:sz="0" w:space="0" w:color="auto"/>
      </w:divBdr>
    </w:div>
    <w:div w:id="246424505">
      <w:bodyDiv w:val="1"/>
      <w:marLeft w:val="0"/>
      <w:marRight w:val="0"/>
      <w:marTop w:val="0"/>
      <w:marBottom w:val="0"/>
      <w:divBdr>
        <w:top w:val="none" w:sz="0" w:space="0" w:color="auto"/>
        <w:left w:val="none" w:sz="0" w:space="0" w:color="auto"/>
        <w:bottom w:val="none" w:sz="0" w:space="0" w:color="auto"/>
        <w:right w:val="none" w:sz="0" w:space="0" w:color="auto"/>
      </w:divBdr>
    </w:div>
    <w:div w:id="250164177">
      <w:bodyDiv w:val="1"/>
      <w:marLeft w:val="0"/>
      <w:marRight w:val="0"/>
      <w:marTop w:val="0"/>
      <w:marBottom w:val="0"/>
      <w:divBdr>
        <w:top w:val="none" w:sz="0" w:space="0" w:color="auto"/>
        <w:left w:val="none" w:sz="0" w:space="0" w:color="auto"/>
        <w:bottom w:val="none" w:sz="0" w:space="0" w:color="auto"/>
        <w:right w:val="none" w:sz="0" w:space="0" w:color="auto"/>
      </w:divBdr>
    </w:div>
    <w:div w:id="260384442">
      <w:bodyDiv w:val="1"/>
      <w:marLeft w:val="0"/>
      <w:marRight w:val="0"/>
      <w:marTop w:val="0"/>
      <w:marBottom w:val="0"/>
      <w:divBdr>
        <w:top w:val="none" w:sz="0" w:space="0" w:color="auto"/>
        <w:left w:val="none" w:sz="0" w:space="0" w:color="auto"/>
        <w:bottom w:val="none" w:sz="0" w:space="0" w:color="auto"/>
        <w:right w:val="none" w:sz="0" w:space="0" w:color="auto"/>
      </w:divBdr>
    </w:div>
    <w:div w:id="266619028">
      <w:bodyDiv w:val="1"/>
      <w:marLeft w:val="0"/>
      <w:marRight w:val="0"/>
      <w:marTop w:val="0"/>
      <w:marBottom w:val="0"/>
      <w:divBdr>
        <w:top w:val="none" w:sz="0" w:space="0" w:color="auto"/>
        <w:left w:val="none" w:sz="0" w:space="0" w:color="auto"/>
        <w:bottom w:val="none" w:sz="0" w:space="0" w:color="auto"/>
        <w:right w:val="none" w:sz="0" w:space="0" w:color="auto"/>
      </w:divBdr>
    </w:div>
    <w:div w:id="282344189">
      <w:bodyDiv w:val="1"/>
      <w:marLeft w:val="0"/>
      <w:marRight w:val="0"/>
      <w:marTop w:val="0"/>
      <w:marBottom w:val="0"/>
      <w:divBdr>
        <w:top w:val="none" w:sz="0" w:space="0" w:color="auto"/>
        <w:left w:val="none" w:sz="0" w:space="0" w:color="auto"/>
        <w:bottom w:val="none" w:sz="0" w:space="0" w:color="auto"/>
        <w:right w:val="none" w:sz="0" w:space="0" w:color="auto"/>
      </w:divBdr>
    </w:div>
    <w:div w:id="290794422">
      <w:bodyDiv w:val="1"/>
      <w:marLeft w:val="0"/>
      <w:marRight w:val="0"/>
      <w:marTop w:val="0"/>
      <w:marBottom w:val="0"/>
      <w:divBdr>
        <w:top w:val="none" w:sz="0" w:space="0" w:color="auto"/>
        <w:left w:val="none" w:sz="0" w:space="0" w:color="auto"/>
        <w:bottom w:val="none" w:sz="0" w:space="0" w:color="auto"/>
        <w:right w:val="none" w:sz="0" w:space="0" w:color="auto"/>
      </w:divBdr>
    </w:div>
    <w:div w:id="297229518">
      <w:bodyDiv w:val="1"/>
      <w:marLeft w:val="0"/>
      <w:marRight w:val="0"/>
      <w:marTop w:val="0"/>
      <w:marBottom w:val="0"/>
      <w:divBdr>
        <w:top w:val="none" w:sz="0" w:space="0" w:color="auto"/>
        <w:left w:val="none" w:sz="0" w:space="0" w:color="auto"/>
        <w:bottom w:val="none" w:sz="0" w:space="0" w:color="auto"/>
        <w:right w:val="none" w:sz="0" w:space="0" w:color="auto"/>
      </w:divBdr>
    </w:div>
    <w:div w:id="323240919">
      <w:bodyDiv w:val="1"/>
      <w:marLeft w:val="0"/>
      <w:marRight w:val="0"/>
      <w:marTop w:val="0"/>
      <w:marBottom w:val="0"/>
      <w:divBdr>
        <w:top w:val="none" w:sz="0" w:space="0" w:color="auto"/>
        <w:left w:val="none" w:sz="0" w:space="0" w:color="auto"/>
        <w:bottom w:val="none" w:sz="0" w:space="0" w:color="auto"/>
        <w:right w:val="none" w:sz="0" w:space="0" w:color="auto"/>
      </w:divBdr>
    </w:div>
    <w:div w:id="327952193">
      <w:bodyDiv w:val="1"/>
      <w:marLeft w:val="0"/>
      <w:marRight w:val="0"/>
      <w:marTop w:val="0"/>
      <w:marBottom w:val="0"/>
      <w:divBdr>
        <w:top w:val="none" w:sz="0" w:space="0" w:color="auto"/>
        <w:left w:val="none" w:sz="0" w:space="0" w:color="auto"/>
        <w:bottom w:val="none" w:sz="0" w:space="0" w:color="auto"/>
        <w:right w:val="none" w:sz="0" w:space="0" w:color="auto"/>
      </w:divBdr>
    </w:div>
    <w:div w:id="340937041">
      <w:bodyDiv w:val="1"/>
      <w:marLeft w:val="0"/>
      <w:marRight w:val="0"/>
      <w:marTop w:val="0"/>
      <w:marBottom w:val="0"/>
      <w:divBdr>
        <w:top w:val="none" w:sz="0" w:space="0" w:color="auto"/>
        <w:left w:val="none" w:sz="0" w:space="0" w:color="auto"/>
        <w:bottom w:val="none" w:sz="0" w:space="0" w:color="auto"/>
        <w:right w:val="none" w:sz="0" w:space="0" w:color="auto"/>
      </w:divBdr>
    </w:div>
    <w:div w:id="341277105">
      <w:bodyDiv w:val="1"/>
      <w:marLeft w:val="0"/>
      <w:marRight w:val="0"/>
      <w:marTop w:val="0"/>
      <w:marBottom w:val="0"/>
      <w:divBdr>
        <w:top w:val="none" w:sz="0" w:space="0" w:color="auto"/>
        <w:left w:val="none" w:sz="0" w:space="0" w:color="auto"/>
        <w:bottom w:val="none" w:sz="0" w:space="0" w:color="auto"/>
        <w:right w:val="none" w:sz="0" w:space="0" w:color="auto"/>
      </w:divBdr>
    </w:div>
    <w:div w:id="352652398">
      <w:bodyDiv w:val="1"/>
      <w:marLeft w:val="0"/>
      <w:marRight w:val="0"/>
      <w:marTop w:val="0"/>
      <w:marBottom w:val="0"/>
      <w:divBdr>
        <w:top w:val="none" w:sz="0" w:space="0" w:color="auto"/>
        <w:left w:val="none" w:sz="0" w:space="0" w:color="auto"/>
        <w:bottom w:val="none" w:sz="0" w:space="0" w:color="auto"/>
        <w:right w:val="none" w:sz="0" w:space="0" w:color="auto"/>
      </w:divBdr>
    </w:div>
    <w:div w:id="354812025">
      <w:bodyDiv w:val="1"/>
      <w:marLeft w:val="0"/>
      <w:marRight w:val="0"/>
      <w:marTop w:val="0"/>
      <w:marBottom w:val="0"/>
      <w:divBdr>
        <w:top w:val="none" w:sz="0" w:space="0" w:color="auto"/>
        <w:left w:val="none" w:sz="0" w:space="0" w:color="auto"/>
        <w:bottom w:val="none" w:sz="0" w:space="0" w:color="auto"/>
        <w:right w:val="none" w:sz="0" w:space="0" w:color="auto"/>
      </w:divBdr>
    </w:div>
    <w:div w:id="356582417">
      <w:bodyDiv w:val="1"/>
      <w:marLeft w:val="0"/>
      <w:marRight w:val="0"/>
      <w:marTop w:val="0"/>
      <w:marBottom w:val="0"/>
      <w:divBdr>
        <w:top w:val="none" w:sz="0" w:space="0" w:color="auto"/>
        <w:left w:val="none" w:sz="0" w:space="0" w:color="auto"/>
        <w:bottom w:val="none" w:sz="0" w:space="0" w:color="auto"/>
        <w:right w:val="none" w:sz="0" w:space="0" w:color="auto"/>
      </w:divBdr>
    </w:div>
    <w:div w:id="357003011">
      <w:bodyDiv w:val="1"/>
      <w:marLeft w:val="0"/>
      <w:marRight w:val="0"/>
      <w:marTop w:val="0"/>
      <w:marBottom w:val="0"/>
      <w:divBdr>
        <w:top w:val="none" w:sz="0" w:space="0" w:color="auto"/>
        <w:left w:val="none" w:sz="0" w:space="0" w:color="auto"/>
        <w:bottom w:val="none" w:sz="0" w:space="0" w:color="auto"/>
        <w:right w:val="none" w:sz="0" w:space="0" w:color="auto"/>
      </w:divBdr>
    </w:div>
    <w:div w:id="362361850">
      <w:bodyDiv w:val="1"/>
      <w:marLeft w:val="0"/>
      <w:marRight w:val="0"/>
      <w:marTop w:val="0"/>
      <w:marBottom w:val="0"/>
      <w:divBdr>
        <w:top w:val="none" w:sz="0" w:space="0" w:color="auto"/>
        <w:left w:val="none" w:sz="0" w:space="0" w:color="auto"/>
        <w:bottom w:val="none" w:sz="0" w:space="0" w:color="auto"/>
        <w:right w:val="none" w:sz="0" w:space="0" w:color="auto"/>
      </w:divBdr>
    </w:div>
    <w:div w:id="399060056">
      <w:bodyDiv w:val="1"/>
      <w:marLeft w:val="0"/>
      <w:marRight w:val="0"/>
      <w:marTop w:val="0"/>
      <w:marBottom w:val="0"/>
      <w:divBdr>
        <w:top w:val="none" w:sz="0" w:space="0" w:color="auto"/>
        <w:left w:val="none" w:sz="0" w:space="0" w:color="auto"/>
        <w:bottom w:val="none" w:sz="0" w:space="0" w:color="auto"/>
        <w:right w:val="none" w:sz="0" w:space="0" w:color="auto"/>
      </w:divBdr>
    </w:div>
    <w:div w:id="407654763">
      <w:bodyDiv w:val="1"/>
      <w:marLeft w:val="0"/>
      <w:marRight w:val="0"/>
      <w:marTop w:val="0"/>
      <w:marBottom w:val="0"/>
      <w:divBdr>
        <w:top w:val="none" w:sz="0" w:space="0" w:color="auto"/>
        <w:left w:val="none" w:sz="0" w:space="0" w:color="auto"/>
        <w:bottom w:val="none" w:sz="0" w:space="0" w:color="auto"/>
        <w:right w:val="none" w:sz="0" w:space="0" w:color="auto"/>
      </w:divBdr>
    </w:div>
    <w:div w:id="428040054">
      <w:bodyDiv w:val="1"/>
      <w:marLeft w:val="0"/>
      <w:marRight w:val="0"/>
      <w:marTop w:val="0"/>
      <w:marBottom w:val="0"/>
      <w:divBdr>
        <w:top w:val="none" w:sz="0" w:space="0" w:color="auto"/>
        <w:left w:val="none" w:sz="0" w:space="0" w:color="auto"/>
        <w:bottom w:val="none" w:sz="0" w:space="0" w:color="auto"/>
        <w:right w:val="none" w:sz="0" w:space="0" w:color="auto"/>
      </w:divBdr>
    </w:div>
    <w:div w:id="428237322">
      <w:bodyDiv w:val="1"/>
      <w:marLeft w:val="0"/>
      <w:marRight w:val="0"/>
      <w:marTop w:val="0"/>
      <w:marBottom w:val="0"/>
      <w:divBdr>
        <w:top w:val="none" w:sz="0" w:space="0" w:color="auto"/>
        <w:left w:val="none" w:sz="0" w:space="0" w:color="auto"/>
        <w:bottom w:val="none" w:sz="0" w:space="0" w:color="auto"/>
        <w:right w:val="none" w:sz="0" w:space="0" w:color="auto"/>
      </w:divBdr>
    </w:div>
    <w:div w:id="464541738">
      <w:bodyDiv w:val="1"/>
      <w:marLeft w:val="0"/>
      <w:marRight w:val="0"/>
      <w:marTop w:val="0"/>
      <w:marBottom w:val="0"/>
      <w:divBdr>
        <w:top w:val="none" w:sz="0" w:space="0" w:color="auto"/>
        <w:left w:val="none" w:sz="0" w:space="0" w:color="auto"/>
        <w:bottom w:val="none" w:sz="0" w:space="0" w:color="auto"/>
        <w:right w:val="none" w:sz="0" w:space="0" w:color="auto"/>
      </w:divBdr>
    </w:div>
    <w:div w:id="465319863">
      <w:bodyDiv w:val="1"/>
      <w:marLeft w:val="0"/>
      <w:marRight w:val="0"/>
      <w:marTop w:val="0"/>
      <w:marBottom w:val="0"/>
      <w:divBdr>
        <w:top w:val="none" w:sz="0" w:space="0" w:color="auto"/>
        <w:left w:val="none" w:sz="0" w:space="0" w:color="auto"/>
        <w:bottom w:val="none" w:sz="0" w:space="0" w:color="auto"/>
        <w:right w:val="none" w:sz="0" w:space="0" w:color="auto"/>
      </w:divBdr>
    </w:div>
    <w:div w:id="471367679">
      <w:bodyDiv w:val="1"/>
      <w:marLeft w:val="0"/>
      <w:marRight w:val="0"/>
      <w:marTop w:val="0"/>
      <w:marBottom w:val="0"/>
      <w:divBdr>
        <w:top w:val="none" w:sz="0" w:space="0" w:color="auto"/>
        <w:left w:val="none" w:sz="0" w:space="0" w:color="auto"/>
        <w:bottom w:val="none" w:sz="0" w:space="0" w:color="auto"/>
        <w:right w:val="none" w:sz="0" w:space="0" w:color="auto"/>
      </w:divBdr>
    </w:div>
    <w:div w:id="471871606">
      <w:bodyDiv w:val="1"/>
      <w:marLeft w:val="0"/>
      <w:marRight w:val="0"/>
      <w:marTop w:val="0"/>
      <w:marBottom w:val="0"/>
      <w:divBdr>
        <w:top w:val="none" w:sz="0" w:space="0" w:color="auto"/>
        <w:left w:val="none" w:sz="0" w:space="0" w:color="auto"/>
        <w:bottom w:val="none" w:sz="0" w:space="0" w:color="auto"/>
        <w:right w:val="none" w:sz="0" w:space="0" w:color="auto"/>
      </w:divBdr>
    </w:div>
    <w:div w:id="489754204">
      <w:bodyDiv w:val="1"/>
      <w:marLeft w:val="0"/>
      <w:marRight w:val="0"/>
      <w:marTop w:val="0"/>
      <w:marBottom w:val="0"/>
      <w:divBdr>
        <w:top w:val="none" w:sz="0" w:space="0" w:color="auto"/>
        <w:left w:val="none" w:sz="0" w:space="0" w:color="auto"/>
        <w:bottom w:val="none" w:sz="0" w:space="0" w:color="auto"/>
        <w:right w:val="none" w:sz="0" w:space="0" w:color="auto"/>
      </w:divBdr>
    </w:div>
    <w:div w:id="495995683">
      <w:bodyDiv w:val="1"/>
      <w:marLeft w:val="0"/>
      <w:marRight w:val="0"/>
      <w:marTop w:val="0"/>
      <w:marBottom w:val="0"/>
      <w:divBdr>
        <w:top w:val="none" w:sz="0" w:space="0" w:color="auto"/>
        <w:left w:val="none" w:sz="0" w:space="0" w:color="auto"/>
        <w:bottom w:val="none" w:sz="0" w:space="0" w:color="auto"/>
        <w:right w:val="none" w:sz="0" w:space="0" w:color="auto"/>
      </w:divBdr>
    </w:div>
    <w:div w:id="535313301">
      <w:bodyDiv w:val="1"/>
      <w:marLeft w:val="0"/>
      <w:marRight w:val="0"/>
      <w:marTop w:val="0"/>
      <w:marBottom w:val="0"/>
      <w:divBdr>
        <w:top w:val="none" w:sz="0" w:space="0" w:color="auto"/>
        <w:left w:val="none" w:sz="0" w:space="0" w:color="auto"/>
        <w:bottom w:val="none" w:sz="0" w:space="0" w:color="auto"/>
        <w:right w:val="none" w:sz="0" w:space="0" w:color="auto"/>
      </w:divBdr>
    </w:div>
    <w:div w:id="539561823">
      <w:bodyDiv w:val="1"/>
      <w:marLeft w:val="0"/>
      <w:marRight w:val="0"/>
      <w:marTop w:val="0"/>
      <w:marBottom w:val="0"/>
      <w:divBdr>
        <w:top w:val="none" w:sz="0" w:space="0" w:color="auto"/>
        <w:left w:val="none" w:sz="0" w:space="0" w:color="auto"/>
        <w:bottom w:val="none" w:sz="0" w:space="0" w:color="auto"/>
        <w:right w:val="none" w:sz="0" w:space="0" w:color="auto"/>
      </w:divBdr>
    </w:div>
    <w:div w:id="544172726">
      <w:bodyDiv w:val="1"/>
      <w:marLeft w:val="0"/>
      <w:marRight w:val="0"/>
      <w:marTop w:val="0"/>
      <w:marBottom w:val="0"/>
      <w:divBdr>
        <w:top w:val="none" w:sz="0" w:space="0" w:color="auto"/>
        <w:left w:val="none" w:sz="0" w:space="0" w:color="auto"/>
        <w:bottom w:val="none" w:sz="0" w:space="0" w:color="auto"/>
        <w:right w:val="none" w:sz="0" w:space="0" w:color="auto"/>
      </w:divBdr>
    </w:div>
    <w:div w:id="552273760">
      <w:bodyDiv w:val="1"/>
      <w:marLeft w:val="0"/>
      <w:marRight w:val="0"/>
      <w:marTop w:val="0"/>
      <w:marBottom w:val="0"/>
      <w:divBdr>
        <w:top w:val="none" w:sz="0" w:space="0" w:color="auto"/>
        <w:left w:val="none" w:sz="0" w:space="0" w:color="auto"/>
        <w:bottom w:val="none" w:sz="0" w:space="0" w:color="auto"/>
        <w:right w:val="none" w:sz="0" w:space="0" w:color="auto"/>
      </w:divBdr>
    </w:div>
    <w:div w:id="556355511">
      <w:bodyDiv w:val="1"/>
      <w:marLeft w:val="0"/>
      <w:marRight w:val="0"/>
      <w:marTop w:val="0"/>
      <w:marBottom w:val="0"/>
      <w:divBdr>
        <w:top w:val="none" w:sz="0" w:space="0" w:color="auto"/>
        <w:left w:val="none" w:sz="0" w:space="0" w:color="auto"/>
        <w:bottom w:val="none" w:sz="0" w:space="0" w:color="auto"/>
        <w:right w:val="none" w:sz="0" w:space="0" w:color="auto"/>
      </w:divBdr>
    </w:div>
    <w:div w:id="587153176">
      <w:bodyDiv w:val="1"/>
      <w:marLeft w:val="0"/>
      <w:marRight w:val="0"/>
      <w:marTop w:val="0"/>
      <w:marBottom w:val="0"/>
      <w:divBdr>
        <w:top w:val="none" w:sz="0" w:space="0" w:color="auto"/>
        <w:left w:val="none" w:sz="0" w:space="0" w:color="auto"/>
        <w:bottom w:val="none" w:sz="0" w:space="0" w:color="auto"/>
        <w:right w:val="none" w:sz="0" w:space="0" w:color="auto"/>
      </w:divBdr>
    </w:div>
    <w:div w:id="595407249">
      <w:bodyDiv w:val="1"/>
      <w:marLeft w:val="0"/>
      <w:marRight w:val="0"/>
      <w:marTop w:val="0"/>
      <w:marBottom w:val="0"/>
      <w:divBdr>
        <w:top w:val="none" w:sz="0" w:space="0" w:color="auto"/>
        <w:left w:val="none" w:sz="0" w:space="0" w:color="auto"/>
        <w:bottom w:val="none" w:sz="0" w:space="0" w:color="auto"/>
        <w:right w:val="none" w:sz="0" w:space="0" w:color="auto"/>
      </w:divBdr>
    </w:div>
    <w:div w:id="597637045">
      <w:bodyDiv w:val="1"/>
      <w:marLeft w:val="0"/>
      <w:marRight w:val="0"/>
      <w:marTop w:val="0"/>
      <w:marBottom w:val="0"/>
      <w:divBdr>
        <w:top w:val="none" w:sz="0" w:space="0" w:color="auto"/>
        <w:left w:val="none" w:sz="0" w:space="0" w:color="auto"/>
        <w:bottom w:val="none" w:sz="0" w:space="0" w:color="auto"/>
        <w:right w:val="none" w:sz="0" w:space="0" w:color="auto"/>
      </w:divBdr>
    </w:div>
    <w:div w:id="613751435">
      <w:bodyDiv w:val="1"/>
      <w:marLeft w:val="0"/>
      <w:marRight w:val="0"/>
      <w:marTop w:val="0"/>
      <w:marBottom w:val="0"/>
      <w:divBdr>
        <w:top w:val="none" w:sz="0" w:space="0" w:color="auto"/>
        <w:left w:val="none" w:sz="0" w:space="0" w:color="auto"/>
        <w:bottom w:val="none" w:sz="0" w:space="0" w:color="auto"/>
        <w:right w:val="none" w:sz="0" w:space="0" w:color="auto"/>
      </w:divBdr>
    </w:div>
    <w:div w:id="649673028">
      <w:bodyDiv w:val="1"/>
      <w:marLeft w:val="0"/>
      <w:marRight w:val="0"/>
      <w:marTop w:val="0"/>
      <w:marBottom w:val="0"/>
      <w:divBdr>
        <w:top w:val="none" w:sz="0" w:space="0" w:color="auto"/>
        <w:left w:val="none" w:sz="0" w:space="0" w:color="auto"/>
        <w:bottom w:val="none" w:sz="0" w:space="0" w:color="auto"/>
        <w:right w:val="none" w:sz="0" w:space="0" w:color="auto"/>
      </w:divBdr>
    </w:div>
    <w:div w:id="658846432">
      <w:bodyDiv w:val="1"/>
      <w:marLeft w:val="0"/>
      <w:marRight w:val="0"/>
      <w:marTop w:val="0"/>
      <w:marBottom w:val="0"/>
      <w:divBdr>
        <w:top w:val="none" w:sz="0" w:space="0" w:color="auto"/>
        <w:left w:val="none" w:sz="0" w:space="0" w:color="auto"/>
        <w:bottom w:val="none" w:sz="0" w:space="0" w:color="auto"/>
        <w:right w:val="none" w:sz="0" w:space="0" w:color="auto"/>
      </w:divBdr>
    </w:div>
    <w:div w:id="668218476">
      <w:bodyDiv w:val="1"/>
      <w:marLeft w:val="0"/>
      <w:marRight w:val="0"/>
      <w:marTop w:val="0"/>
      <w:marBottom w:val="0"/>
      <w:divBdr>
        <w:top w:val="none" w:sz="0" w:space="0" w:color="auto"/>
        <w:left w:val="none" w:sz="0" w:space="0" w:color="auto"/>
        <w:bottom w:val="none" w:sz="0" w:space="0" w:color="auto"/>
        <w:right w:val="none" w:sz="0" w:space="0" w:color="auto"/>
      </w:divBdr>
    </w:div>
    <w:div w:id="678390006">
      <w:bodyDiv w:val="1"/>
      <w:marLeft w:val="0"/>
      <w:marRight w:val="0"/>
      <w:marTop w:val="0"/>
      <w:marBottom w:val="0"/>
      <w:divBdr>
        <w:top w:val="none" w:sz="0" w:space="0" w:color="auto"/>
        <w:left w:val="none" w:sz="0" w:space="0" w:color="auto"/>
        <w:bottom w:val="none" w:sz="0" w:space="0" w:color="auto"/>
        <w:right w:val="none" w:sz="0" w:space="0" w:color="auto"/>
      </w:divBdr>
    </w:div>
    <w:div w:id="680744940">
      <w:bodyDiv w:val="1"/>
      <w:marLeft w:val="0"/>
      <w:marRight w:val="0"/>
      <w:marTop w:val="0"/>
      <w:marBottom w:val="0"/>
      <w:divBdr>
        <w:top w:val="none" w:sz="0" w:space="0" w:color="auto"/>
        <w:left w:val="none" w:sz="0" w:space="0" w:color="auto"/>
        <w:bottom w:val="none" w:sz="0" w:space="0" w:color="auto"/>
        <w:right w:val="none" w:sz="0" w:space="0" w:color="auto"/>
      </w:divBdr>
    </w:div>
    <w:div w:id="706219179">
      <w:bodyDiv w:val="1"/>
      <w:marLeft w:val="0"/>
      <w:marRight w:val="0"/>
      <w:marTop w:val="0"/>
      <w:marBottom w:val="0"/>
      <w:divBdr>
        <w:top w:val="none" w:sz="0" w:space="0" w:color="auto"/>
        <w:left w:val="none" w:sz="0" w:space="0" w:color="auto"/>
        <w:bottom w:val="none" w:sz="0" w:space="0" w:color="auto"/>
        <w:right w:val="none" w:sz="0" w:space="0" w:color="auto"/>
      </w:divBdr>
    </w:div>
    <w:div w:id="706492311">
      <w:bodyDiv w:val="1"/>
      <w:marLeft w:val="0"/>
      <w:marRight w:val="0"/>
      <w:marTop w:val="0"/>
      <w:marBottom w:val="0"/>
      <w:divBdr>
        <w:top w:val="none" w:sz="0" w:space="0" w:color="auto"/>
        <w:left w:val="none" w:sz="0" w:space="0" w:color="auto"/>
        <w:bottom w:val="none" w:sz="0" w:space="0" w:color="auto"/>
        <w:right w:val="none" w:sz="0" w:space="0" w:color="auto"/>
      </w:divBdr>
    </w:div>
    <w:div w:id="723480445">
      <w:bodyDiv w:val="1"/>
      <w:marLeft w:val="0"/>
      <w:marRight w:val="0"/>
      <w:marTop w:val="0"/>
      <w:marBottom w:val="0"/>
      <w:divBdr>
        <w:top w:val="none" w:sz="0" w:space="0" w:color="auto"/>
        <w:left w:val="none" w:sz="0" w:space="0" w:color="auto"/>
        <w:bottom w:val="none" w:sz="0" w:space="0" w:color="auto"/>
        <w:right w:val="none" w:sz="0" w:space="0" w:color="auto"/>
      </w:divBdr>
    </w:div>
    <w:div w:id="732050176">
      <w:bodyDiv w:val="1"/>
      <w:marLeft w:val="0"/>
      <w:marRight w:val="0"/>
      <w:marTop w:val="0"/>
      <w:marBottom w:val="0"/>
      <w:divBdr>
        <w:top w:val="none" w:sz="0" w:space="0" w:color="auto"/>
        <w:left w:val="none" w:sz="0" w:space="0" w:color="auto"/>
        <w:bottom w:val="none" w:sz="0" w:space="0" w:color="auto"/>
        <w:right w:val="none" w:sz="0" w:space="0" w:color="auto"/>
      </w:divBdr>
    </w:div>
    <w:div w:id="747579184">
      <w:bodyDiv w:val="1"/>
      <w:marLeft w:val="0"/>
      <w:marRight w:val="0"/>
      <w:marTop w:val="0"/>
      <w:marBottom w:val="0"/>
      <w:divBdr>
        <w:top w:val="none" w:sz="0" w:space="0" w:color="auto"/>
        <w:left w:val="none" w:sz="0" w:space="0" w:color="auto"/>
        <w:bottom w:val="none" w:sz="0" w:space="0" w:color="auto"/>
        <w:right w:val="none" w:sz="0" w:space="0" w:color="auto"/>
      </w:divBdr>
    </w:div>
    <w:div w:id="777259935">
      <w:bodyDiv w:val="1"/>
      <w:marLeft w:val="0"/>
      <w:marRight w:val="0"/>
      <w:marTop w:val="0"/>
      <w:marBottom w:val="0"/>
      <w:divBdr>
        <w:top w:val="none" w:sz="0" w:space="0" w:color="auto"/>
        <w:left w:val="none" w:sz="0" w:space="0" w:color="auto"/>
        <w:bottom w:val="none" w:sz="0" w:space="0" w:color="auto"/>
        <w:right w:val="none" w:sz="0" w:space="0" w:color="auto"/>
      </w:divBdr>
    </w:div>
    <w:div w:id="784810806">
      <w:bodyDiv w:val="1"/>
      <w:marLeft w:val="0"/>
      <w:marRight w:val="0"/>
      <w:marTop w:val="0"/>
      <w:marBottom w:val="0"/>
      <w:divBdr>
        <w:top w:val="none" w:sz="0" w:space="0" w:color="auto"/>
        <w:left w:val="none" w:sz="0" w:space="0" w:color="auto"/>
        <w:bottom w:val="none" w:sz="0" w:space="0" w:color="auto"/>
        <w:right w:val="none" w:sz="0" w:space="0" w:color="auto"/>
      </w:divBdr>
    </w:div>
    <w:div w:id="789477685">
      <w:bodyDiv w:val="1"/>
      <w:marLeft w:val="0"/>
      <w:marRight w:val="0"/>
      <w:marTop w:val="0"/>
      <w:marBottom w:val="0"/>
      <w:divBdr>
        <w:top w:val="none" w:sz="0" w:space="0" w:color="auto"/>
        <w:left w:val="none" w:sz="0" w:space="0" w:color="auto"/>
        <w:bottom w:val="none" w:sz="0" w:space="0" w:color="auto"/>
        <w:right w:val="none" w:sz="0" w:space="0" w:color="auto"/>
      </w:divBdr>
    </w:div>
    <w:div w:id="801112944">
      <w:bodyDiv w:val="1"/>
      <w:marLeft w:val="0"/>
      <w:marRight w:val="0"/>
      <w:marTop w:val="0"/>
      <w:marBottom w:val="0"/>
      <w:divBdr>
        <w:top w:val="none" w:sz="0" w:space="0" w:color="auto"/>
        <w:left w:val="none" w:sz="0" w:space="0" w:color="auto"/>
        <w:bottom w:val="none" w:sz="0" w:space="0" w:color="auto"/>
        <w:right w:val="none" w:sz="0" w:space="0" w:color="auto"/>
      </w:divBdr>
      <w:divsChild>
        <w:div w:id="483662398">
          <w:marLeft w:val="0"/>
          <w:marRight w:val="0"/>
          <w:marTop w:val="0"/>
          <w:marBottom w:val="0"/>
          <w:divBdr>
            <w:top w:val="none" w:sz="0" w:space="0" w:color="auto"/>
            <w:left w:val="none" w:sz="0" w:space="0" w:color="auto"/>
            <w:bottom w:val="none" w:sz="0" w:space="0" w:color="auto"/>
            <w:right w:val="none" w:sz="0" w:space="0" w:color="auto"/>
          </w:divBdr>
        </w:div>
        <w:div w:id="426196070">
          <w:marLeft w:val="0"/>
          <w:marRight w:val="0"/>
          <w:marTop w:val="0"/>
          <w:marBottom w:val="0"/>
          <w:divBdr>
            <w:top w:val="none" w:sz="0" w:space="0" w:color="auto"/>
            <w:left w:val="none" w:sz="0" w:space="0" w:color="auto"/>
            <w:bottom w:val="none" w:sz="0" w:space="0" w:color="auto"/>
            <w:right w:val="none" w:sz="0" w:space="0" w:color="auto"/>
          </w:divBdr>
          <w:divsChild>
            <w:div w:id="1352411647">
              <w:marLeft w:val="0"/>
              <w:marRight w:val="0"/>
              <w:marTop w:val="0"/>
              <w:marBottom w:val="0"/>
              <w:divBdr>
                <w:top w:val="none" w:sz="0" w:space="0" w:color="auto"/>
                <w:left w:val="none" w:sz="0" w:space="0" w:color="auto"/>
                <w:bottom w:val="none" w:sz="0" w:space="0" w:color="auto"/>
                <w:right w:val="none" w:sz="0" w:space="0" w:color="auto"/>
              </w:divBdr>
            </w:div>
            <w:div w:id="805198128">
              <w:marLeft w:val="0"/>
              <w:marRight w:val="0"/>
              <w:marTop w:val="0"/>
              <w:marBottom w:val="0"/>
              <w:divBdr>
                <w:top w:val="none" w:sz="0" w:space="0" w:color="auto"/>
                <w:left w:val="none" w:sz="0" w:space="0" w:color="auto"/>
                <w:bottom w:val="none" w:sz="0" w:space="0" w:color="auto"/>
                <w:right w:val="none" w:sz="0" w:space="0" w:color="auto"/>
              </w:divBdr>
            </w:div>
            <w:div w:id="970595260">
              <w:marLeft w:val="0"/>
              <w:marRight w:val="0"/>
              <w:marTop w:val="0"/>
              <w:marBottom w:val="0"/>
              <w:divBdr>
                <w:top w:val="none" w:sz="0" w:space="0" w:color="auto"/>
                <w:left w:val="none" w:sz="0" w:space="0" w:color="auto"/>
                <w:bottom w:val="none" w:sz="0" w:space="0" w:color="auto"/>
                <w:right w:val="none" w:sz="0" w:space="0" w:color="auto"/>
              </w:divBdr>
            </w:div>
            <w:div w:id="209807070">
              <w:marLeft w:val="0"/>
              <w:marRight w:val="0"/>
              <w:marTop w:val="0"/>
              <w:marBottom w:val="0"/>
              <w:divBdr>
                <w:top w:val="none" w:sz="0" w:space="0" w:color="auto"/>
                <w:left w:val="none" w:sz="0" w:space="0" w:color="auto"/>
                <w:bottom w:val="none" w:sz="0" w:space="0" w:color="auto"/>
                <w:right w:val="none" w:sz="0" w:space="0" w:color="auto"/>
              </w:divBdr>
            </w:div>
            <w:div w:id="2022776298">
              <w:marLeft w:val="0"/>
              <w:marRight w:val="0"/>
              <w:marTop w:val="0"/>
              <w:marBottom w:val="0"/>
              <w:divBdr>
                <w:top w:val="none" w:sz="0" w:space="0" w:color="auto"/>
                <w:left w:val="none" w:sz="0" w:space="0" w:color="auto"/>
                <w:bottom w:val="none" w:sz="0" w:space="0" w:color="auto"/>
                <w:right w:val="none" w:sz="0" w:space="0" w:color="auto"/>
              </w:divBdr>
            </w:div>
            <w:div w:id="794181875">
              <w:marLeft w:val="0"/>
              <w:marRight w:val="0"/>
              <w:marTop w:val="0"/>
              <w:marBottom w:val="0"/>
              <w:divBdr>
                <w:top w:val="none" w:sz="0" w:space="0" w:color="auto"/>
                <w:left w:val="none" w:sz="0" w:space="0" w:color="auto"/>
                <w:bottom w:val="none" w:sz="0" w:space="0" w:color="auto"/>
                <w:right w:val="none" w:sz="0" w:space="0" w:color="auto"/>
              </w:divBdr>
            </w:div>
            <w:div w:id="1035620647">
              <w:marLeft w:val="0"/>
              <w:marRight w:val="0"/>
              <w:marTop w:val="0"/>
              <w:marBottom w:val="0"/>
              <w:divBdr>
                <w:top w:val="none" w:sz="0" w:space="0" w:color="auto"/>
                <w:left w:val="none" w:sz="0" w:space="0" w:color="auto"/>
                <w:bottom w:val="none" w:sz="0" w:space="0" w:color="auto"/>
                <w:right w:val="none" w:sz="0" w:space="0" w:color="auto"/>
              </w:divBdr>
            </w:div>
            <w:div w:id="1518538002">
              <w:marLeft w:val="0"/>
              <w:marRight w:val="0"/>
              <w:marTop w:val="0"/>
              <w:marBottom w:val="0"/>
              <w:divBdr>
                <w:top w:val="none" w:sz="0" w:space="0" w:color="auto"/>
                <w:left w:val="none" w:sz="0" w:space="0" w:color="auto"/>
                <w:bottom w:val="none" w:sz="0" w:space="0" w:color="auto"/>
                <w:right w:val="none" w:sz="0" w:space="0" w:color="auto"/>
              </w:divBdr>
            </w:div>
            <w:div w:id="1725791612">
              <w:marLeft w:val="0"/>
              <w:marRight w:val="0"/>
              <w:marTop w:val="0"/>
              <w:marBottom w:val="0"/>
              <w:divBdr>
                <w:top w:val="none" w:sz="0" w:space="0" w:color="auto"/>
                <w:left w:val="none" w:sz="0" w:space="0" w:color="auto"/>
                <w:bottom w:val="none" w:sz="0" w:space="0" w:color="auto"/>
                <w:right w:val="none" w:sz="0" w:space="0" w:color="auto"/>
              </w:divBdr>
            </w:div>
            <w:div w:id="878324801">
              <w:marLeft w:val="0"/>
              <w:marRight w:val="0"/>
              <w:marTop w:val="0"/>
              <w:marBottom w:val="0"/>
              <w:divBdr>
                <w:top w:val="none" w:sz="0" w:space="0" w:color="auto"/>
                <w:left w:val="none" w:sz="0" w:space="0" w:color="auto"/>
                <w:bottom w:val="none" w:sz="0" w:space="0" w:color="auto"/>
                <w:right w:val="none" w:sz="0" w:space="0" w:color="auto"/>
              </w:divBdr>
            </w:div>
            <w:div w:id="1363365887">
              <w:marLeft w:val="0"/>
              <w:marRight w:val="0"/>
              <w:marTop w:val="0"/>
              <w:marBottom w:val="0"/>
              <w:divBdr>
                <w:top w:val="none" w:sz="0" w:space="0" w:color="auto"/>
                <w:left w:val="none" w:sz="0" w:space="0" w:color="auto"/>
                <w:bottom w:val="none" w:sz="0" w:space="0" w:color="auto"/>
                <w:right w:val="none" w:sz="0" w:space="0" w:color="auto"/>
              </w:divBdr>
            </w:div>
            <w:div w:id="116030029">
              <w:marLeft w:val="0"/>
              <w:marRight w:val="0"/>
              <w:marTop w:val="0"/>
              <w:marBottom w:val="0"/>
              <w:divBdr>
                <w:top w:val="none" w:sz="0" w:space="0" w:color="auto"/>
                <w:left w:val="none" w:sz="0" w:space="0" w:color="auto"/>
                <w:bottom w:val="none" w:sz="0" w:space="0" w:color="auto"/>
                <w:right w:val="none" w:sz="0" w:space="0" w:color="auto"/>
              </w:divBdr>
            </w:div>
            <w:div w:id="1977485558">
              <w:marLeft w:val="0"/>
              <w:marRight w:val="0"/>
              <w:marTop w:val="0"/>
              <w:marBottom w:val="0"/>
              <w:divBdr>
                <w:top w:val="none" w:sz="0" w:space="0" w:color="auto"/>
                <w:left w:val="none" w:sz="0" w:space="0" w:color="auto"/>
                <w:bottom w:val="none" w:sz="0" w:space="0" w:color="auto"/>
                <w:right w:val="none" w:sz="0" w:space="0" w:color="auto"/>
              </w:divBdr>
            </w:div>
            <w:div w:id="1019815917">
              <w:marLeft w:val="0"/>
              <w:marRight w:val="0"/>
              <w:marTop w:val="0"/>
              <w:marBottom w:val="0"/>
              <w:divBdr>
                <w:top w:val="none" w:sz="0" w:space="0" w:color="auto"/>
                <w:left w:val="none" w:sz="0" w:space="0" w:color="auto"/>
                <w:bottom w:val="none" w:sz="0" w:space="0" w:color="auto"/>
                <w:right w:val="none" w:sz="0" w:space="0" w:color="auto"/>
              </w:divBdr>
            </w:div>
            <w:div w:id="998770197">
              <w:marLeft w:val="0"/>
              <w:marRight w:val="0"/>
              <w:marTop w:val="0"/>
              <w:marBottom w:val="0"/>
              <w:divBdr>
                <w:top w:val="none" w:sz="0" w:space="0" w:color="auto"/>
                <w:left w:val="none" w:sz="0" w:space="0" w:color="auto"/>
                <w:bottom w:val="none" w:sz="0" w:space="0" w:color="auto"/>
                <w:right w:val="none" w:sz="0" w:space="0" w:color="auto"/>
              </w:divBdr>
            </w:div>
            <w:div w:id="1753576232">
              <w:marLeft w:val="0"/>
              <w:marRight w:val="0"/>
              <w:marTop w:val="0"/>
              <w:marBottom w:val="0"/>
              <w:divBdr>
                <w:top w:val="none" w:sz="0" w:space="0" w:color="auto"/>
                <w:left w:val="none" w:sz="0" w:space="0" w:color="auto"/>
                <w:bottom w:val="none" w:sz="0" w:space="0" w:color="auto"/>
                <w:right w:val="none" w:sz="0" w:space="0" w:color="auto"/>
              </w:divBdr>
            </w:div>
            <w:div w:id="1933926635">
              <w:marLeft w:val="0"/>
              <w:marRight w:val="0"/>
              <w:marTop w:val="0"/>
              <w:marBottom w:val="0"/>
              <w:divBdr>
                <w:top w:val="none" w:sz="0" w:space="0" w:color="auto"/>
                <w:left w:val="none" w:sz="0" w:space="0" w:color="auto"/>
                <w:bottom w:val="none" w:sz="0" w:space="0" w:color="auto"/>
                <w:right w:val="none" w:sz="0" w:space="0" w:color="auto"/>
              </w:divBdr>
            </w:div>
            <w:div w:id="788554205">
              <w:marLeft w:val="0"/>
              <w:marRight w:val="0"/>
              <w:marTop w:val="0"/>
              <w:marBottom w:val="0"/>
              <w:divBdr>
                <w:top w:val="none" w:sz="0" w:space="0" w:color="auto"/>
                <w:left w:val="none" w:sz="0" w:space="0" w:color="auto"/>
                <w:bottom w:val="none" w:sz="0" w:space="0" w:color="auto"/>
                <w:right w:val="none" w:sz="0" w:space="0" w:color="auto"/>
              </w:divBdr>
            </w:div>
            <w:div w:id="161942970">
              <w:marLeft w:val="0"/>
              <w:marRight w:val="0"/>
              <w:marTop w:val="0"/>
              <w:marBottom w:val="0"/>
              <w:divBdr>
                <w:top w:val="none" w:sz="0" w:space="0" w:color="auto"/>
                <w:left w:val="none" w:sz="0" w:space="0" w:color="auto"/>
                <w:bottom w:val="none" w:sz="0" w:space="0" w:color="auto"/>
                <w:right w:val="none" w:sz="0" w:space="0" w:color="auto"/>
              </w:divBdr>
            </w:div>
            <w:div w:id="744452424">
              <w:marLeft w:val="0"/>
              <w:marRight w:val="0"/>
              <w:marTop w:val="0"/>
              <w:marBottom w:val="0"/>
              <w:divBdr>
                <w:top w:val="none" w:sz="0" w:space="0" w:color="auto"/>
                <w:left w:val="none" w:sz="0" w:space="0" w:color="auto"/>
                <w:bottom w:val="none" w:sz="0" w:space="0" w:color="auto"/>
                <w:right w:val="none" w:sz="0" w:space="0" w:color="auto"/>
              </w:divBdr>
            </w:div>
            <w:div w:id="73017959">
              <w:marLeft w:val="0"/>
              <w:marRight w:val="0"/>
              <w:marTop w:val="0"/>
              <w:marBottom w:val="0"/>
              <w:divBdr>
                <w:top w:val="none" w:sz="0" w:space="0" w:color="auto"/>
                <w:left w:val="none" w:sz="0" w:space="0" w:color="auto"/>
                <w:bottom w:val="none" w:sz="0" w:space="0" w:color="auto"/>
                <w:right w:val="none" w:sz="0" w:space="0" w:color="auto"/>
              </w:divBdr>
            </w:div>
            <w:div w:id="9519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79559">
      <w:bodyDiv w:val="1"/>
      <w:marLeft w:val="0"/>
      <w:marRight w:val="0"/>
      <w:marTop w:val="0"/>
      <w:marBottom w:val="0"/>
      <w:divBdr>
        <w:top w:val="none" w:sz="0" w:space="0" w:color="auto"/>
        <w:left w:val="none" w:sz="0" w:space="0" w:color="auto"/>
        <w:bottom w:val="none" w:sz="0" w:space="0" w:color="auto"/>
        <w:right w:val="none" w:sz="0" w:space="0" w:color="auto"/>
      </w:divBdr>
    </w:div>
    <w:div w:id="828794151">
      <w:bodyDiv w:val="1"/>
      <w:marLeft w:val="0"/>
      <w:marRight w:val="0"/>
      <w:marTop w:val="0"/>
      <w:marBottom w:val="0"/>
      <w:divBdr>
        <w:top w:val="none" w:sz="0" w:space="0" w:color="auto"/>
        <w:left w:val="none" w:sz="0" w:space="0" w:color="auto"/>
        <w:bottom w:val="none" w:sz="0" w:space="0" w:color="auto"/>
        <w:right w:val="none" w:sz="0" w:space="0" w:color="auto"/>
      </w:divBdr>
    </w:div>
    <w:div w:id="840317689">
      <w:bodyDiv w:val="1"/>
      <w:marLeft w:val="0"/>
      <w:marRight w:val="0"/>
      <w:marTop w:val="0"/>
      <w:marBottom w:val="0"/>
      <w:divBdr>
        <w:top w:val="none" w:sz="0" w:space="0" w:color="auto"/>
        <w:left w:val="none" w:sz="0" w:space="0" w:color="auto"/>
        <w:bottom w:val="none" w:sz="0" w:space="0" w:color="auto"/>
        <w:right w:val="none" w:sz="0" w:space="0" w:color="auto"/>
      </w:divBdr>
    </w:div>
    <w:div w:id="849834469">
      <w:bodyDiv w:val="1"/>
      <w:marLeft w:val="0"/>
      <w:marRight w:val="0"/>
      <w:marTop w:val="0"/>
      <w:marBottom w:val="0"/>
      <w:divBdr>
        <w:top w:val="none" w:sz="0" w:space="0" w:color="auto"/>
        <w:left w:val="none" w:sz="0" w:space="0" w:color="auto"/>
        <w:bottom w:val="none" w:sz="0" w:space="0" w:color="auto"/>
        <w:right w:val="none" w:sz="0" w:space="0" w:color="auto"/>
      </w:divBdr>
    </w:div>
    <w:div w:id="850031142">
      <w:bodyDiv w:val="1"/>
      <w:marLeft w:val="0"/>
      <w:marRight w:val="0"/>
      <w:marTop w:val="0"/>
      <w:marBottom w:val="0"/>
      <w:divBdr>
        <w:top w:val="none" w:sz="0" w:space="0" w:color="auto"/>
        <w:left w:val="none" w:sz="0" w:space="0" w:color="auto"/>
        <w:bottom w:val="none" w:sz="0" w:space="0" w:color="auto"/>
        <w:right w:val="none" w:sz="0" w:space="0" w:color="auto"/>
      </w:divBdr>
    </w:div>
    <w:div w:id="893081737">
      <w:bodyDiv w:val="1"/>
      <w:marLeft w:val="0"/>
      <w:marRight w:val="0"/>
      <w:marTop w:val="0"/>
      <w:marBottom w:val="0"/>
      <w:divBdr>
        <w:top w:val="none" w:sz="0" w:space="0" w:color="auto"/>
        <w:left w:val="none" w:sz="0" w:space="0" w:color="auto"/>
        <w:bottom w:val="none" w:sz="0" w:space="0" w:color="auto"/>
        <w:right w:val="none" w:sz="0" w:space="0" w:color="auto"/>
      </w:divBdr>
    </w:div>
    <w:div w:id="958268960">
      <w:bodyDiv w:val="1"/>
      <w:marLeft w:val="0"/>
      <w:marRight w:val="0"/>
      <w:marTop w:val="0"/>
      <w:marBottom w:val="0"/>
      <w:divBdr>
        <w:top w:val="none" w:sz="0" w:space="0" w:color="auto"/>
        <w:left w:val="none" w:sz="0" w:space="0" w:color="auto"/>
        <w:bottom w:val="none" w:sz="0" w:space="0" w:color="auto"/>
        <w:right w:val="none" w:sz="0" w:space="0" w:color="auto"/>
      </w:divBdr>
    </w:div>
    <w:div w:id="958796770">
      <w:bodyDiv w:val="1"/>
      <w:marLeft w:val="0"/>
      <w:marRight w:val="0"/>
      <w:marTop w:val="0"/>
      <w:marBottom w:val="0"/>
      <w:divBdr>
        <w:top w:val="none" w:sz="0" w:space="0" w:color="auto"/>
        <w:left w:val="none" w:sz="0" w:space="0" w:color="auto"/>
        <w:bottom w:val="none" w:sz="0" w:space="0" w:color="auto"/>
        <w:right w:val="none" w:sz="0" w:space="0" w:color="auto"/>
      </w:divBdr>
    </w:div>
    <w:div w:id="969897057">
      <w:bodyDiv w:val="1"/>
      <w:marLeft w:val="0"/>
      <w:marRight w:val="0"/>
      <w:marTop w:val="0"/>
      <w:marBottom w:val="0"/>
      <w:divBdr>
        <w:top w:val="none" w:sz="0" w:space="0" w:color="auto"/>
        <w:left w:val="none" w:sz="0" w:space="0" w:color="auto"/>
        <w:bottom w:val="none" w:sz="0" w:space="0" w:color="auto"/>
        <w:right w:val="none" w:sz="0" w:space="0" w:color="auto"/>
      </w:divBdr>
    </w:div>
    <w:div w:id="972712596">
      <w:bodyDiv w:val="1"/>
      <w:marLeft w:val="0"/>
      <w:marRight w:val="0"/>
      <w:marTop w:val="0"/>
      <w:marBottom w:val="0"/>
      <w:divBdr>
        <w:top w:val="none" w:sz="0" w:space="0" w:color="auto"/>
        <w:left w:val="none" w:sz="0" w:space="0" w:color="auto"/>
        <w:bottom w:val="none" w:sz="0" w:space="0" w:color="auto"/>
        <w:right w:val="none" w:sz="0" w:space="0" w:color="auto"/>
      </w:divBdr>
    </w:div>
    <w:div w:id="988483381">
      <w:bodyDiv w:val="1"/>
      <w:marLeft w:val="0"/>
      <w:marRight w:val="0"/>
      <w:marTop w:val="0"/>
      <w:marBottom w:val="0"/>
      <w:divBdr>
        <w:top w:val="none" w:sz="0" w:space="0" w:color="auto"/>
        <w:left w:val="none" w:sz="0" w:space="0" w:color="auto"/>
        <w:bottom w:val="none" w:sz="0" w:space="0" w:color="auto"/>
        <w:right w:val="none" w:sz="0" w:space="0" w:color="auto"/>
      </w:divBdr>
    </w:div>
    <w:div w:id="1006245801">
      <w:bodyDiv w:val="1"/>
      <w:marLeft w:val="0"/>
      <w:marRight w:val="0"/>
      <w:marTop w:val="0"/>
      <w:marBottom w:val="0"/>
      <w:divBdr>
        <w:top w:val="none" w:sz="0" w:space="0" w:color="auto"/>
        <w:left w:val="none" w:sz="0" w:space="0" w:color="auto"/>
        <w:bottom w:val="none" w:sz="0" w:space="0" w:color="auto"/>
        <w:right w:val="none" w:sz="0" w:space="0" w:color="auto"/>
      </w:divBdr>
    </w:div>
    <w:div w:id="1032266955">
      <w:bodyDiv w:val="1"/>
      <w:marLeft w:val="0"/>
      <w:marRight w:val="0"/>
      <w:marTop w:val="0"/>
      <w:marBottom w:val="0"/>
      <w:divBdr>
        <w:top w:val="none" w:sz="0" w:space="0" w:color="auto"/>
        <w:left w:val="none" w:sz="0" w:space="0" w:color="auto"/>
        <w:bottom w:val="none" w:sz="0" w:space="0" w:color="auto"/>
        <w:right w:val="none" w:sz="0" w:space="0" w:color="auto"/>
      </w:divBdr>
    </w:div>
    <w:div w:id="1047952226">
      <w:bodyDiv w:val="1"/>
      <w:marLeft w:val="0"/>
      <w:marRight w:val="0"/>
      <w:marTop w:val="0"/>
      <w:marBottom w:val="0"/>
      <w:divBdr>
        <w:top w:val="none" w:sz="0" w:space="0" w:color="auto"/>
        <w:left w:val="none" w:sz="0" w:space="0" w:color="auto"/>
        <w:bottom w:val="none" w:sz="0" w:space="0" w:color="auto"/>
        <w:right w:val="none" w:sz="0" w:space="0" w:color="auto"/>
      </w:divBdr>
    </w:div>
    <w:div w:id="1048383045">
      <w:bodyDiv w:val="1"/>
      <w:marLeft w:val="0"/>
      <w:marRight w:val="0"/>
      <w:marTop w:val="0"/>
      <w:marBottom w:val="0"/>
      <w:divBdr>
        <w:top w:val="none" w:sz="0" w:space="0" w:color="auto"/>
        <w:left w:val="none" w:sz="0" w:space="0" w:color="auto"/>
        <w:bottom w:val="none" w:sz="0" w:space="0" w:color="auto"/>
        <w:right w:val="none" w:sz="0" w:space="0" w:color="auto"/>
      </w:divBdr>
    </w:div>
    <w:div w:id="1075125987">
      <w:bodyDiv w:val="1"/>
      <w:marLeft w:val="0"/>
      <w:marRight w:val="0"/>
      <w:marTop w:val="0"/>
      <w:marBottom w:val="0"/>
      <w:divBdr>
        <w:top w:val="none" w:sz="0" w:space="0" w:color="auto"/>
        <w:left w:val="none" w:sz="0" w:space="0" w:color="auto"/>
        <w:bottom w:val="none" w:sz="0" w:space="0" w:color="auto"/>
        <w:right w:val="none" w:sz="0" w:space="0" w:color="auto"/>
      </w:divBdr>
    </w:div>
    <w:div w:id="1107043423">
      <w:bodyDiv w:val="1"/>
      <w:marLeft w:val="0"/>
      <w:marRight w:val="0"/>
      <w:marTop w:val="0"/>
      <w:marBottom w:val="0"/>
      <w:divBdr>
        <w:top w:val="none" w:sz="0" w:space="0" w:color="auto"/>
        <w:left w:val="none" w:sz="0" w:space="0" w:color="auto"/>
        <w:bottom w:val="none" w:sz="0" w:space="0" w:color="auto"/>
        <w:right w:val="none" w:sz="0" w:space="0" w:color="auto"/>
      </w:divBdr>
    </w:div>
    <w:div w:id="1109664193">
      <w:bodyDiv w:val="1"/>
      <w:marLeft w:val="0"/>
      <w:marRight w:val="0"/>
      <w:marTop w:val="0"/>
      <w:marBottom w:val="0"/>
      <w:divBdr>
        <w:top w:val="none" w:sz="0" w:space="0" w:color="auto"/>
        <w:left w:val="none" w:sz="0" w:space="0" w:color="auto"/>
        <w:bottom w:val="none" w:sz="0" w:space="0" w:color="auto"/>
        <w:right w:val="none" w:sz="0" w:space="0" w:color="auto"/>
      </w:divBdr>
    </w:div>
    <w:div w:id="1134101788">
      <w:bodyDiv w:val="1"/>
      <w:marLeft w:val="0"/>
      <w:marRight w:val="0"/>
      <w:marTop w:val="0"/>
      <w:marBottom w:val="0"/>
      <w:divBdr>
        <w:top w:val="none" w:sz="0" w:space="0" w:color="auto"/>
        <w:left w:val="none" w:sz="0" w:space="0" w:color="auto"/>
        <w:bottom w:val="none" w:sz="0" w:space="0" w:color="auto"/>
        <w:right w:val="none" w:sz="0" w:space="0" w:color="auto"/>
      </w:divBdr>
    </w:div>
    <w:div w:id="1173453550">
      <w:bodyDiv w:val="1"/>
      <w:marLeft w:val="0"/>
      <w:marRight w:val="0"/>
      <w:marTop w:val="0"/>
      <w:marBottom w:val="0"/>
      <w:divBdr>
        <w:top w:val="none" w:sz="0" w:space="0" w:color="auto"/>
        <w:left w:val="none" w:sz="0" w:space="0" w:color="auto"/>
        <w:bottom w:val="none" w:sz="0" w:space="0" w:color="auto"/>
        <w:right w:val="none" w:sz="0" w:space="0" w:color="auto"/>
      </w:divBdr>
    </w:div>
    <w:div w:id="1187014583">
      <w:bodyDiv w:val="1"/>
      <w:marLeft w:val="0"/>
      <w:marRight w:val="0"/>
      <w:marTop w:val="0"/>
      <w:marBottom w:val="0"/>
      <w:divBdr>
        <w:top w:val="none" w:sz="0" w:space="0" w:color="auto"/>
        <w:left w:val="none" w:sz="0" w:space="0" w:color="auto"/>
        <w:bottom w:val="none" w:sz="0" w:space="0" w:color="auto"/>
        <w:right w:val="none" w:sz="0" w:space="0" w:color="auto"/>
      </w:divBdr>
    </w:div>
    <w:div w:id="1220751919">
      <w:bodyDiv w:val="1"/>
      <w:marLeft w:val="0"/>
      <w:marRight w:val="0"/>
      <w:marTop w:val="0"/>
      <w:marBottom w:val="0"/>
      <w:divBdr>
        <w:top w:val="none" w:sz="0" w:space="0" w:color="auto"/>
        <w:left w:val="none" w:sz="0" w:space="0" w:color="auto"/>
        <w:bottom w:val="none" w:sz="0" w:space="0" w:color="auto"/>
        <w:right w:val="none" w:sz="0" w:space="0" w:color="auto"/>
      </w:divBdr>
    </w:div>
    <w:div w:id="1255749023">
      <w:bodyDiv w:val="1"/>
      <w:marLeft w:val="0"/>
      <w:marRight w:val="0"/>
      <w:marTop w:val="0"/>
      <w:marBottom w:val="0"/>
      <w:divBdr>
        <w:top w:val="none" w:sz="0" w:space="0" w:color="auto"/>
        <w:left w:val="none" w:sz="0" w:space="0" w:color="auto"/>
        <w:bottom w:val="none" w:sz="0" w:space="0" w:color="auto"/>
        <w:right w:val="none" w:sz="0" w:space="0" w:color="auto"/>
      </w:divBdr>
    </w:div>
    <w:div w:id="1278677571">
      <w:bodyDiv w:val="1"/>
      <w:marLeft w:val="0"/>
      <w:marRight w:val="0"/>
      <w:marTop w:val="0"/>
      <w:marBottom w:val="0"/>
      <w:divBdr>
        <w:top w:val="none" w:sz="0" w:space="0" w:color="auto"/>
        <w:left w:val="none" w:sz="0" w:space="0" w:color="auto"/>
        <w:bottom w:val="none" w:sz="0" w:space="0" w:color="auto"/>
        <w:right w:val="none" w:sz="0" w:space="0" w:color="auto"/>
      </w:divBdr>
    </w:div>
    <w:div w:id="1309435698">
      <w:bodyDiv w:val="1"/>
      <w:marLeft w:val="0"/>
      <w:marRight w:val="0"/>
      <w:marTop w:val="0"/>
      <w:marBottom w:val="0"/>
      <w:divBdr>
        <w:top w:val="none" w:sz="0" w:space="0" w:color="auto"/>
        <w:left w:val="none" w:sz="0" w:space="0" w:color="auto"/>
        <w:bottom w:val="none" w:sz="0" w:space="0" w:color="auto"/>
        <w:right w:val="none" w:sz="0" w:space="0" w:color="auto"/>
      </w:divBdr>
    </w:div>
    <w:div w:id="1319575673">
      <w:bodyDiv w:val="1"/>
      <w:marLeft w:val="0"/>
      <w:marRight w:val="0"/>
      <w:marTop w:val="0"/>
      <w:marBottom w:val="0"/>
      <w:divBdr>
        <w:top w:val="none" w:sz="0" w:space="0" w:color="auto"/>
        <w:left w:val="none" w:sz="0" w:space="0" w:color="auto"/>
        <w:bottom w:val="none" w:sz="0" w:space="0" w:color="auto"/>
        <w:right w:val="none" w:sz="0" w:space="0" w:color="auto"/>
      </w:divBdr>
    </w:div>
    <w:div w:id="1342313305">
      <w:bodyDiv w:val="1"/>
      <w:marLeft w:val="0"/>
      <w:marRight w:val="0"/>
      <w:marTop w:val="0"/>
      <w:marBottom w:val="0"/>
      <w:divBdr>
        <w:top w:val="none" w:sz="0" w:space="0" w:color="auto"/>
        <w:left w:val="none" w:sz="0" w:space="0" w:color="auto"/>
        <w:bottom w:val="none" w:sz="0" w:space="0" w:color="auto"/>
        <w:right w:val="none" w:sz="0" w:space="0" w:color="auto"/>
      </w:divBdr>
    </w:div>
    <w:div w:id="1364746481">
      <w:bodyDiv w:val="1"/>
      <w:marLeft w:val="0"/>
      <w:marRight w:val="0"/>
      <w:marTop w:val="0"/>
      <w:marBottom w:val="0"/>
      <w:divBdr>
        <w:top w:val="none" w:sz="0" w:space="0" w:color="auto"/>
        <w:left w:val="none" w:sz="0" w:space="0" w:color="auto"/>
        <w:bottom w:val="none" w:sz="0" w:space="0" w:color="auto"/>
        <w:right w:val="none" w:sz="0" w:space="0" w:color="auto"/>
      </w:divBdr>
    </w:div>
    <w:div w:id="1396660870">
      <w:bodyDiv w:val="1"/>
      <w:marLeft w:val="0"/>
      <w:marRight w:val="0"/>
      <w:marTop w:val="0"/>
      <w:marBottom w:val="0"/>
      <w:divBdr>
        <w:top w:val="none" w:sz="0" w:space="0" w:color="auto"/>
        <w:left w:val="none" w:sz="0" w:space="0" w:color="auto"/>
        <w:bottom w:val="none" w:sz="0" w:space="0" w:color="auto"/>
        <w:right w:val="none" w:sz="0" w:space="0" w:color="auto"/>
      </w:divBdr>
    </w:div>
    <w:div w:id="1397438245">
      <w:bodyDiv w:val="1"/>
      <w:marLeft w:val="0"/>
      <w:marRight w:val="0"/>
      <w:marTop w:val="0"/>
      <w:marBottom w:val="0"/>
      <w:divBdr>
        <w:top w:val="none" w:sz="0" w:space="0" w:color="auto"/>
        <w:left w:val="none" w:sz="0" w:space="0" w:color="auto"/>
        <w:bottom w:val="none" w:sz="0" w:space="0" w:color="auto"/>
        <w:right w:val="none" w:sz="0" w:space="0" w:color="auto"/>
      </w:divBdr>
    </w:div>
    <w:div w:id="1400012315">
      <w:bodyDiv w:val="1"/>
      <w:marLeft w:val="0"/>
      <w:marRight w:val="0"/>
      <w:marTop w:val="0"/>
      <w:marBottom w:val="0"/>
      <w:divBdr>
        <w:top w:val="none" w:sz="0" w:space="0" w:color="auto"/>
        <w:left w:val="none" w:sz="0" w:space="0" w:color="auto"/>
        <w:bottom w:val="none" w:sz="0" w:space="0" w:color="auto"/>
        <w:right w:val="none" w:sz="0" w:space="0" w:color="auto"/>
      </w:divBdr>
    </w:div>
    <w:div w:id="1407070352">
      <w:bodyDiv w:val="1"/>
      <w:marLeft w:val="0"/>
      <w:marRight w:val="0"/>
      <w:marTop w:val="0"/>
      <w:marBottom w:val="0"/>
      <w:divBdr>
        <w:top w:val="none" w:sz="0" w:space="0" w:color="auto"/>
        <w:left w:val="none" w:sz="0" w:space="0" w:color="auto"/>
        <w:bottom w:val="none" w:sz="0" w:space="0" w:color="auto"/>
        <w:right w:val="none" w:sz="0" w:space="0" w:color="auto"/>
      </w:divBdr>
    </w:div>
    <w:div w:id="1408577757">
      <w:bodyDiv w:val="1"/>
      <w:marLeft w:val="0"/>
      <w:marRight w:val="0"/>
      <w:marTop w:val="0"/>
      <w:marBottom w:val="0"/>
      <w:divBdr>
        <w:top w:val="none" w:sz="0" w:space="0" w:color="auto"/>
        <w:left w:val="none" w:sz="0" w:space="0" w:color="auto"/>
        <w:bottom w:val="none" w:sz="0" w:space="0" w:color="auto"/>
        <w:right w:val="none" w:sz="0" w:space="0" w:color="auto"/>
      </w:divBdr>
    </w:div>
    <w:div w:id="1413426180">
      <w:bodyDiv w:val="1"/>
      <w:marLeft w:val="0"/>
      <w:marRight w:val="0"/>
      <w:marTop w:val="0"/>
      <w:marBottom w:val="0"/>
      <w:divBdr>
        <w:top w:val="none" w:sz="0" w:space="0" w:color="auto"/>
        <w:left w:val="none" w:sz="0" w:space="0" w:color="auto"/>
        <w:bottom w:val="none" w:sz="0" w:space="0" w:color="auto"/>
        <w:right w:val="none" w:sz="0" w:space="0" w:color="auto"/>
      </w:divBdr>
    </w:div>
    <w:div w:id="1413623696">
      <w:bodyDiv w:val="1"/>
      <w:marLeft w:val="0"/>
      <w:marRight w:val="0"/>
      <w:marTop w:val="0"/>
      <w:marBottom w:val="0"/>
      <w:divBdr>
        <w:top w:val="none" w:sz="0" w:space="0" w:color="auto"/>
        <w:left w:val="none" w:sz="0" w:space="0" w:color="auto"/>
        <w:bottom w:val="none" w:sz="0" w:space="0" w:color="auto"/>
        <w:right w:val="none" w:sz="0" w:space="0" w:color="auto"/>
      </w:divBdr>
    </w:div>
    <w:div w:id="1448158991">
      <w:bodyDiv w:val="1"/>
      <w:marLeft w:val="0"/>
      <w:marRight w:val="0"/>
      <w:marTop w:val="0"/>
      <w:marBottom w:val="0"/>
      <w:divBdr>
        <w:top w:val="none" w:sz="0" w:space="0" w:color="auto"/>
        <w:left w:val="none" w:sz="0" w:space="0" w:color="auto"/>
        <w:bottom w:val="none" w:sz="0" w:space="0" w:color="auto"/>
        <w:right w:val="none" w:sz="0" w:space="0" w:color="auto"/>
      </w:divBdr>
    </w:div>
    <w:div w:id="1450974103">
      <w:bodyDiv w:val="1"/>
      <w:marLeft w:val="0"/>
      <w:marRight w:val="0"/>
      <w:marTop w:val="0"/>
      <w:marBottom w:val="0"/>
      <w:divBdr>
        <w:top w:val="none" w:sz="0" w:space="0" w:color="auto"/>
        <w:left w:val="none" w:sz="0" w:space="0" w:color="auto"/>
        <w:bottom w:val="none" w:sz="0" w:space="0" w:color="auto"/>
        <w:right w:val="none" w:sz="0" w:space="0" w:color="auto"/>
      </w:divBdr>
    </w:div>
    <w:div w:id="1457336980">
      <w:bodyDiv w:val="1"/>
      <w:marLeft w:val="0"/>
      <w:marRight w:val="0"/>
      <w:marTop w:val="0"/>
      <w:marBottom w:val="0"/>
      <w:divBdr>
        <w:top w:val="none" w:sz="0" w:space="0" w:color="auto"/>
        <w:left w:val="none" w:sz="0" w:space="0" w:color="auto"/>
        <w:bottom w:val="none" w:sz="0" w:space="0" w:color="auto"/>
        <w:right w:val="none" w:sz="0" w:space="0" w:color="auto"/>
      </w:divBdr>
    </w:div>
    <w:div w:id="1465542647">
      <w:bodyDiv w:val="1"/>
      <w:marLeft w:val="0"/>
      <w:marRight w:val="0"/>
      <w:marTop w:val="0"/>
      <w:marBottom w:val="0"/>
      <w:divBdr>
        <w:top w:val="none" w:sz="0" w:space="0" w:color="auto"/>
        <w:left w:val="none" w:sz="0" w:space="0" w:color="auto"/>
        <w:bottom w:val="none" w:sz="0" w:space="0" w:color="auto"/>
        <w:right w:val="none" w:sz="0" w:space="0" w:color="auto"/>
      </w:divBdr>
    </w:div>
    <w:div w:id="1470048502">
      <w:bodyDiv w:val="1"/>
      <w:marLeft w:val="0"/>
      <w:marRight w:val="0"/>
      <w:marTop w:val="0"/>
      <w:marBottom w:val="0"/>
      <w:divBdr>
        <w:top w:val="none" w:sz="0" w:space="0" w:color="auto"/>
        <w:left w:val="none" w:sz="0" w:space="0" w:color="auto"/>
        <w:bottom w:val="none" w:sz="0" w:space="0" w:color="auto"/>
        <w:right w:val="none" w:sz="0" w:space="0" w:color="auto"/>
      </w:divBdr>
    </w:div>
    <w:div w:id="1474374564">
      <w:bodyDiv w:val="1"/>
      <w:marLeft w:val="0"/>
      <w:marRight w:val="0"/>
      <w:marTop w:val="0"/>
      <w:marBottom w:val="0"/>
      <w:divBdr>
        <w:top w:val="none" w:sz="0" w:space="0" w:color="auto"/>
        <w:left w:val="none" w:sz="0" w:space="0" w:color="auto"/>
        <w:bottom w:val="none" w:sz="0" w:space="0" w:color="auto"/>
        <w:right w:val="none" w:sz="0" w:space="0" w:color="auto"/>
      </w:divBdr>
    </w:div>
    <w:div w:id="1508590361">
      <w:bodyDiv w:val="1"/>
      <w:marLeft w:val="0"/>
      <w:marRight w:val="0"/>
      <w:marTop w:val="0"/>
      <w:marBottom w:val="0"/>
      <w:divBdr>
        <w:top w:val="none" w:sz="0" w:space="0" w:color="auto"/>
        <w:left w:val="none" w:sz="0" w:space="0" w:color="auto"/>
        <w:bottom w:val="none" w:sz="0" w:space="0" w:color="auto"/>
        <w:right w:val="none" w:sz="0" w:space="0" w:color="auto"/>
      </w:divBdr>
    </w:div>
    <w:div w:id="1509245903">
      <w:bodyDiv w:val="1"/>
      <w:marLeft w:val="0"/>
      <w:marRight w:val="0"/>
      <w:marTop w:val="0"/>
      <w:marBottom w:val="0"/>
      <w:divBdr>
        <w:top w:val="none" w:sz="0" w:space="0" w:color="auto"/>
        <w:left w:val="none" w:sz="0" w:space="0" w:color="auto"/>
        <w:bottom w:val="none" w:sz="0" w:space="0" w:color="auto"/>
        <w:right w:val="none" w:sz="0" w:space="0" w:color="auto"/>
      </w:divBdr>
    </w:div>
    <w:div w:id="1522161861">
      <w:bodyDiv w:val="1"/>
      <w:marLeft w:val="0"/>
      <w:marRight w:val="0"/>
      <w:marTop w:val="0"/>
      <w:marBottom w:val="0"/>
      <w:divBdr>
        <w:top w:val="none" w:sz="0" w:space="0" w:color="auto"/>
        <w:left w:val="none" w:sz="0" w:space="0" w:color="auto"/>
        <w:bottom w:val="none" w:sz="0" w:space="0" w:color="auto"/>
        <w:right w:val="none" w:sz="0" w:space="0" w:color="auto"/>
      </w:divBdr>
    </w:div>
    <w:div w:id="1573738957">
      <w:bodyDiv w:val="1"/>
      <w:marLeft w:val="0"/>
      <w:marRight w:val="0"/>
      <w:marTop w:val="0"/>
      <w:marBottom w:val="0"/>
      <w:divBdr>
        <w:top w:val="none" w:sz="0" w:space="0" w:color="auto"/>
        <w:left w:val="none" w:sz="0" w:space="0" w:color="auto"/>
        <w:bottom w:val="none" w:sz="0" w:space="0" w:color="auto"/>
        <w:right w:val="none" w:sz="0" w:space="0" w:color="auto"/>
      </w:divBdr>
    </w:div>
    <w:div w:id="1595243161">
      <w:bodyDiv w:val="1"/>
      <w:marLeft w:val="0"/>
      <w:marRight w:val="0"/>
      <w:marTop w:val="0"/>
      <w:marBottom w:val="0"/>
      <w:divBdr>
        <w:top w:val="none" w:sz="0" w:space="0" w:color="auto"/>
        <w:left w:val="none" w:sz="0" w:space="0" w:color="auto"/>
        <w:bottom w:val="none" w:sz="0" w:space="0" w:color="auto"/>
        <w:right w:val="none" w:sz="0" w:space="0" w:color="auto"/>
      </w:divBdr>
    </w:div>
    <w:div w:id="1606232529">
      <w:bodyDiv w:val="1"/>
      <w:marLeft w:val="0"/>
      <w:marRight w:val="0"/>
      <w:marTop w:val="0"/>
      <w:marBottom w:val="0"/>
      <w:divBdr>
        <w:top w:val="none" w:sz="0" w:space="0" w:color="auto"/>
        <w:left w:val="none" w:sz="0" w:space="0" w:color="auto"/>
        <w:bottom w:val="none" w:sz="0" w:space="0" w:color="auto"/>
        <w:right w:val="none" w:sz="0" w:space="0" w:color="auto"/>
      </w:divBdr>
    </w:div>
    <w:div w:id="1630625852">
      <w:bodyDiv w:val="1"/>
      <w:marLeft w:val="0"/>
      <w:marRight w:val="0"/>
      <w:marTop w:val="0"/>
      <w:marBottom w:val="0"/>
      <w:divBdr>
        <w:top w:val="none" w:sz="0" w:space="0" w:color="auto"/>
        <w:left w:val="none" w:sz="0" w:space="0" w:color="auto"/>
        <w:bottom w:val="none" w:sz="0" w:space="0" w:color="auto"/>
        <w:right w:val="none" w:sz="0" w:space="0" w:color="auto"/>
      </w:divBdr>
    </w:div>
    <w:div w:id="1642882864">
      <w:bodyDiv w:val="1"/>
      <w:marLeft w:val="0"/>
      <w:marRight w:val="0"/>
      <w:marTop w:val="0"/>
      <w:marBottom w:val="0"/>
      <w:divBdr>
        <w:top w:val="none" w:sz="0" w:space="0" w:color="auto"/>
        <w:left w:val="none" w:sz="0" w:space="0" w:color="auto"/>
        <w:bottom w:val="none" w:sz="0" w:space="0" w:color="auto"/>
        <w:right w:val="none" w:sz="0" w:space="0" w:color="auto"/>
      </w:divBdr>
    </w:div>
    <w:div w:id="1652633811">
      <w:bodyDiv w:val="1"/>
      <w:marLeft w:val="0"/>
      <w:marRight w:val="0"/>
      <w:marTop w:val="0"/>
      <w:marBottom w:val="0"/>
      <w:divBdr>
        <w:top w:val="none" w:sz="0" w:space="0" w:color="auto"/>
        <w:left w:val="none" w:sz="0" w:space="0" w:color="auto"/>
        <w:bottom w:val="none" w:sz="0" w:space="0" w:color="auto"/>
        <w:right w:val="none" w:sz="0" w:space="0" w:color="auto"/>
      </w:divBdr>
    </w:div>
    <w:div w:id="1660381361">
      <w:bodyDiv w:val="1"/>
      <w:marLeft w:val="0"/>
      <w:marRight w:val="0"/>
      <w:marTop w:val="0"/>
      <w:marBottom w:val="0"/>
      <w:divBdr>
        <w:top w:val="none" w:sz="0" w:space="0" w:color="auto"/>
        <w:left w:val="none" w:sz="0" w:space="0" w:color="auto"/>
        <w:bottom w:val="none" w:sz="0" w:space="0" w:color="auto"/>
        <w:right w:val="none" w:sz="0" w:space="0" w:color="auto"/>
      </w:divBdr>
    </w:div>
    <w:div w:id="1672945091">
      <w:bodyDiv w:val="1"/>
      <w:marLeft w:val="0"/>
      <w:marRight w:val="0"/>
      <w:marTop w:val="0"/>
      <w:marBottom w:val="0"/>
      <w:divBdr>
        <w:top w:val="none" w:sz="0" w:space="0" w:color="auto"/>
        <w:left w:val="none" w:sz="0" w:space="0" w:color="auto"/>
        <w:bottom w:val="none" w:sz="0" w:space="0" w:color="auto"/>
        <w:right w:val="none" w:sz="0" w:space="0" w:color="auto"/>
      </w:divBdr>
    </w:div>
    <w:div w:id="1697925709">
      <w:bodyDiv w:val="1"/>
      <w:marLeft w:val="0"/>
      <w:marRight w:val="0"/>
      <w:marTop w:val="0"/>
      <w:marBottom w:val="0"/>
      <w:divBdr>
        <w:top w:val="none" w:sz="0" w:space="0" w:color="auto"/>
        <w:left w:val="none" w:sz="0" w:space="0" w:color="auto"/>
        <w:bottom w:val="none" w:sz="0" w:space="0" w:color="auto"/>
        <w:right w:val="none" w:sz="0" w:space="0" w:color="auto"/>
      </w:divBdr>
    </w:div>
    <w:div w:id="1699968005">
      <w:bodyDiv w:val="1"/>
      <w:marLeft w:val="0"/>
      <w:marRight w:val="0"/>
      <w:marTop w:val="0"/>
      <w:marBottom w:val="0"/>
      <w:divBdr>
        <w:top w:val="none" w:sz="0" w:space="0" w:color="auto"/>
        <w:left w:val="none" w:sz="0" w:space="0" w:color="auto"/>
        <w:bottom w:val="none" w:sz="0" w:space="0" w:color="auto"/>
        <w:right w:val="none" w:sz="0" w:space="0" w:color="auto"/>
      </w:divBdr>
    </w:div>
    <w:div w:id="1706708981">
      <w:bodyDiv w:val="1"/>
      <w:marLeft w:val="0"/>
      <w:marRight w:val="0"/>
      <w:marTop w:val="0"/>
      <w:marBottom w:val="0"/>
      <w:divBdr>
        <w:top w:val="none" w:sz="0" w:space="0" w:color="auto"/>
        <w:left w:val="none" w:sz="0" w:space="0" w:color="auto"/>
        <w:bottom w:val="none" w:sz="0" w:space="0" w:color="auto"/>
        <w:right w:val="none" w:sz="0" w:space="0" w:color="auto"/>
      </w:divBdr>
    </w:div>
    <w:div w:id="1721902161">
      <w:bodyDiv w:val="1"/>
      <w:marLeft w:val="0"/>
      <w:marRight w:val="0"/>
      <w:marTop w:val="0"/>
      <w:marBottom w:val="0"/>
      <w:divBdr>
        <w:top w:val="none" w:sz="0" w:space="0" w:color="auto"/>
        <w:left w:val="none" w:sz="0" w:space="0" w:color="auto"/>
        <w:bottom w:val="none" w:sz="0" w:space="0" w:color="auto"/>
        <w:right w:val="none" w:sz="0" w:space="0" w:color="auto"/>
      </w:divBdr>
    </w:div>
    <w:div w:id="1771004130">
      <w:bodyDiv w:val="1"/>
      <w:marLeft w:val="0"/>
      <w:marRight w:val="0"/>
      <w:marTop w:val="0"/>
      <w:marBottom w:val="0"/>
      <w:divBdr>
        <w:top w:val="none" w:sz="0" w:space="0" w:color="auto"/>
        <w:left w:val="none" w:sz="0" w:space="0" w:color="auto"/>
        <w:bottom w:val="none" w:sz="0" w:space="0" w:color="auto"/>
        <w:right w:val="none" w:sz="0" w:space="0" w:color="auto"/>
      </w:divBdr>
    </w:div>
    <w:div w:id="1796631023">
      <w:bodyDiv w:val="1"/>
      <w:marLeft w:val="0"/>
      <w:marRight w:val="0"/>
      <w:marTop w:val="0"/>
      <w:marBottom w:val="0"/>
      <w:divBdr>
        <w:top w:val="none" w:sz="0" w:space="0" w:color="auto"/>
        <w:left w:val="none" w:sz="0" w:space="0" w:color="auto"/>
        <w:bottom w:val="none" w:sz="0" w:space="0" w:color="auto"/>
        <w:right w:val="none" w:sz="0" w:space="0" w:color="auto"/>
      </w:divBdr>
    </w:div>
    <w:div w:id="1806925205">
      <w:bodyDiv w:val="1"/>
      <w:marLeft w:val="0"/>
      <w:marRight w:val="0"/>
      <w:marTop w:val="0"/>
      <w:marBottom w:val="0"/>
      <w:divBdr>
        <w:top w:val="none" w:sz="0" w:space="0" w:color="auto"/>
        <w:left w:val="none" w:sz="0" w:space="0" w:color="auto"/>
        <w:bottom w:val="none" w:sz="0" w:space="0" w:color="auto"/>
        <w:right w:val="none" w:sz="0" w:space="0" w:color="auto"/>
      </w:divBdr>
    </w:div>
    <w:div w:id="1833714817">
      <w:bodyDiv w:val="1"/>
      <w:marLeft w:val="0"/>
      <w:marRight w:val="0"/>
      <w:marTop w:val="0"/>
      <w:marBottom w:val="0"/>
      <w:divBdr>
        <w:top w:val="none" w:sz="0" w:space="0" w:color="auto"/>
        <w:left w:val="none" w:sz="0" w:space="0" w:color="auto"/>
        <w:bottom w:val="none" w:sz="0" w:space="0" w:color="auto"/>
        <w:right w:val="none" w:sz="0" w:space="0" w:color="auto"/>
      </w:divBdr>
    </w:div>
    <w:div w:id="1892033875">
      <w:bodyDiv w:val="1"/>
      <w:marLeft w:val="0"/>
      <w:marRight w:val="0"/>
      <w:marTop w:val="0"/>
      <w:marBottom w:val="0"/>
      <w:divBdr>
        <w:top w:val="none" w:sz="0" w:space="0" w:color="auto"/>
        <w:left w:val="none" w:sz="0" w:space="0" w:color="auto"/>
        <w:bottom w:val="none" w:sz="0" w:space="0" w:color="auto"/>
        <w:right w:val="none" w:sz="0" w:space="0" w:color="auto"/>
      </w:divBdr>
    </w:div>
    <w:div w:id="1899824390">
      <w:bodyDiv w:val="1"/>
      <w:marLeft w:val="0"/>
      <w:marRight w:val="0"/>
      <w:marTop w:val="0"/>
      <w:marBottom w:val="0"/>
      <w:divBdr>
        <w:top w:val="none" w:sz="0" w:space="0" w:color="auto"/>
        <w:left w:val="none" w:sz="0" w:space="0" w:color="auto"/>
        <w:bottom w:val="none" w:sz="0" w:space="0" w:color="auto"/>
        <w:right w:val="none" w:sz="0" w:space="0" w:color="auto"/>
      </w:divBdr>
    </w:div>
    <w:div w:id="1902206534">
      <w:bodyDiv w:val="1"/>
      <w:marLeft w:val="0"/>
      <w:marRight w:val="0"/>
      <w:marTop w:val="0"/>
      <w:marBottom w:val="0"/>
      <w:divBdr>
        <w:top w:val="none" w:sz="0" w:space="0" w:color="auto"/>
        <w:left w:val="none" w:sz="0" w:space="0" w:color="auto"/>
        <w:bottom w:val="none" w:sz="0" w:space="0" w:color="auto"/>
        <w:right w:val="none" w:sz="0" w:space="0" w:color="auto"/>
      </w:divBdr>
    </w:div>
    <w:div w:id="1922106255">
      <w:bodyDiv w:val="1"/>
      <w:marLeft w:val="0"/>
      <w:marRight w:val="0"/>
      <w:marTop w:val="0"/>
      <w:marBottom w:val="0"/>
      <w:divBdr>
        <w:top w:val="none" w:sz="0" w:space="0" w:color="auto"/>
        <w:left w:val="none" w:sz="0" w:space="0" w:color="auto"/>
        <w:bottom w:val="none" w:sz="0" w:space="0" w:color="auto"/>
        <w:right w:val="none" w:sz="0" w:space="0" w:color="auto"/>
      </w:divBdr>
    </w:div>
    <w:div w:id="1927424492">
      <w:bodyDiv w:val="1"/>
      <w:marLeft w:val="0"/>
      <w:marRight w:val="0"/>
      <w:marTop w:val="0"/>
      <w:marBottom w:val="0"/>
      <w:divBdr>
        <w:top w:val="none" w:sz="0" w:space="0" w:color="auto"/>
        <w:left w:val="none" w:sz="0" w:space="0" w:color="auto"/>
        <w:bottom w:val="none" w:sz="0" w:space="0" w:color="auto"/>
        <w:right w:val="none" w:sz="0" w:space="0" w:color="auto"/>
      </w:divBdr>
    </w:div>
    <w:div w:id="1927567382">
      <w:bodyDiv w:val="1"/>
      <w:marLeft w:val="0"/>
      <w:marRight w:val="0"/>
      <w:marTop w:val="0"/>
      <w:marBottom w:val="0"/>
      <w:divBdr>
        <w:top w:val="none" w:sz="0" w:space="0" w:color="auto"/>
        <w:left w:val="none" w:sz="0" w:space="0" w:color="auto"/>
        <w:bottom w:val="none" w:sz="0" w:space="0" w:color="auto"/>
        <w:right w:val="none" w:sz="0" w:space="0" w:color="auto"/>
      </w:divBdr>
    </w:div>
    <w:div w:id="1957717232">
      <w:bodyDiv w:val="1"/>
      <w:marLeft w:val="0"/>
      <w:marRight w:val="0"/>
      <w:marTop w:val="0"/>
      <w:marBottom w:val="0"/>
      <w:divBdr>
        <w:top w:val="none" w:sz="0" w:space="0" w:color="auto"/>
        <w:left w:val="none" w:sz="0" w:space="0" w:color="auto"/>
        <w:bottom w:val="none" w:sz="0" w:space="0" w:color="auto"/>
        <w:right w:val="none" w:sz="0" w:space="0" w:color="auto"/>
      </w:divBdr>
    </w:div>
    <w:div w:id="1963531587">
      <w:bodyDiv w:val="1"/>
      <w:marLeft w:val="0"/>
      <w:marRight w:val="0"/>
      <w:marTop w:val="0"/>
      <w:marBottom w:val="0"/>
      <w:divBdr>
        <w:top w:val="none" w:sz="0" w:space="0" w:color="auto"/>
        <w:left w:val="none" w:sz="0" w:space="0" w:color="auto"/>
        <w:bottom w:val="none" w:sz="0" w:space="0" w:color="auto"/>
        <w:right w:val="none" w:sz="0" w:space="0" w:color="auto"/>
      </w:divBdr>
    </w:div>
    <w:div w:id="1982923285">
      <w:bodyDiv w:val="1"/>
      <w:marLeft w:val="0"/>
      <w:marRight w:val="0"/>
      <w:marTop w:val="0"/>
      <w:marBottom w:val="0"/>
      <w:divBdr>
        <w:top w:val="none" w:sz="0" w:space="0" w:color="auto"/>
        <w:left w:val="none" w:sz="0" w:space="0" w:color="auto"/>
        <w:bottom w:val="none" w:sz="0" w:space="0" w:color="auto"/>
        <w:right w:val="none" w:sz="0" w:space="0" w:color="auto"/>
      </w:divBdr>
    </w:div>
    <w:div w:id="1998192895">
      <w:bodyDiv w:val="1"/>
      <w:marLeft w:val="0"/>
      <w:marRight w:val="0"/>
      <w:marTop w:val="0"/>
      <w:marBottom w:val="0"/>
      <w:divBdr>
        <w:top w:val="none" w:sz="0" w:space="0" w:color="auto"/>
        <w:left w:val="none" w:sz="0" w:space="0" w:color="auto"/>
        <w:bottom w:val="none" w:sz="0" w:space="0" w:color="auto"/>
        <w:right w:val="none" w:sz="0" w:space="0" w:color="auto"/>
      </w:divBdr>
    </w:div>
    <w:div w:id="2020960848">
      <w:bodyDiv w:val="1"/>
      <w:marLeft w:val="0"/>
      <w:marRight w:val="0"/>
      <w:marTop w:val="0"/>
      <w:marBottom w:val="0"/>
      <w:divBdr>
        <w:top w:val="none" w:sz="0" w:space="0" w:color="auto"/>
        <w:left w:val="none" w:sz="0" w:space="0" w:color="auto"/>
        <w:bottom w:val="none" w:sz="0" w:space="0" w:color="auto"/>
        <w:right w:val="none" w:sz="0" w:space="0" w:color="auto"/>
      </w:divBdr>
    </w:div>
    <w:div w:id="2026207600">
      <w:bodyDiv w:val="1"/>
      <w:marLeft w:val="0"/>
      <w:marRight w:val="0"/>
      <w:marTop w:val="0"/>
      <w:marBottom w:val="0"/>
      <w:divBdr>
        <w:top w:val="none" w:sz="0" w:space="0" w:color="auto"/>
        <w:left w:val="none" w:sz="0" w:space="0" w:color="auto"/>
        <w:bottom w:val="none" w:sz="0" w:space="0" w:color="auto"/>
        <w:right w:val="none" w:sz="0" w:space="0" w:color="auto"/>
      </w:divBdr>
    </w:div>
    <w:div w:id="2047172880">
      <w:bodyDiv w:val="1"/>
      <w:marLeft w:val="0"/>
      <w:marRight w:val="0"/>
      <w:marTop w:val="0"/>
      <w:marBottom w:val="0"/>
      <w:divBdr>
        <w:top w:val="none" w:sz="0" w:space="0" w:color="auto"/>
        <w:left w:val="none" w:sz="0" w:space="0" w:color="auto"/>
        <w:bottom w:val="none" w:sz="0" w:space="0" w:color="auto"/>
        <w:right w:val="none" w:sz="0" w:space="0" w:color="auto"/>
      </w:divBdr>
    </w:div>
    <w:div w:id="2051296140">
      <w:bodyDiv w:val="1"/>
      <w:marLeft w:val="0"/>
      <w:marRight w:val="0"/>
      <w:marTop w:val="0"/>
      <w:marBottom w:val="0"/>
      <w:divBdr>
        <w:top w:val="none" w:sz="0" w:space="0" w:color="auto"/>
        <w:left w:val="none" w:sz="0" w:space="0" w:color="auto"/>
        <w:bottom w:val="none" w:sz="0" w:space="0" w:color="auto"/>
        <w:right w:val="none" w:sz="0" w:space="0" w:color="auto"/>
      </w:divBdr>
    </w:div>
    <w:div w:id="2072726021">
      <w:bodyDiv w:val="1"/>
      <w:marLeft w:val="0"/>
      <w:marRight w:val="0"/>
      <w:marTop w:val="0"/>
      <w:marBottom w:val="0"/>
      <w:divBdr>
        <w:top w:val="none" w:sz="0" w:space="0" w:color="auto"/>
        <w:left w:val="none" w:sz="0" w:space="0" w:color="auto"/>
        <w:bottom w:val="none" w:sz="0" w:space="0" w:color="auto"/>
        <w:right w:val="none" w:sz="0" w:space="0" w:color="auto"/>
      </w:divBdr>
    </w:div>
    <w:div w:id="2084177654">
      <w:bodyDiv w:val="1"/>
      <w:marLeft w:val="0"/>
      <w:marRight w:val="0"/>
      <w:marTop w:val="0"/>
      <w:marBottom w:val="0"/>
      <w:divBdr>
        <w:top w:val="none" w:sz="0" w:space="0" w:color="auto"/>
        <w:left w:val="none" w:sz="0" w:space="0" w:color="auto"/>
        <w:bottom w:val="none" w:sz="0" w:space="0" w:color="auto"/>
        <w:right w:val="none" w:sz="0" w:space="0" w:color="auto"/>
      </w:divBdr>
    </w:div>
    <w:div w:id="2114090423">
      <w:bodyDiv w:val="1"/>
      <w:marLeft w:val="0"/>
      <w:marRight w:val="0"/>
      <w:marTop w:val="0"/>
      <w:marBottom w:val="0"/>
      <w:divBdr>
        <w:top w:val="none" w:sz="0" w:space="0" w:color="auto"/>
        <w:left w:val="none" w:sz="0" w:space="0" w:color="auto"/>
        <w:bottom w:val="none" w:sz="0" w:space="0" w:color="auto"/>
        <w:right w:val="none" w:sz="0" w:space="0" w:color="auto"/>
      </w:divBdr>
    </w:div>
    <w:div w:id="2116366155">
      <w:bodyDiv w:val="1"/>
      <w:marLeft w:val="0"/>
      <w:marRight w:val="0"/>
      <w:marTop w:val="0"/>
      <w:marBottom w:val="0"/>
      <w:divBdr>
        <w:top w:val="none" w:sz="0" w:space="0" w:color="auto"/>
        <w:left w:val="none" w:sz="0" w:space="0" w:color="auto"/>
        <w:bottom w:val="none" w:sz="0" w:space="0" w:color="auto"/>
        <w:right w:val="none" w:sz="0" w:space="0" w:color="auto"/>
      </w:divBdr>
    </w:div>
    <w:div w:id="2122188330">
      <w:bodyDiv w:val="1"/>
      <w:marLeft w:val="0"/>
      <w:marRight w:val="0"/>
      <w:marTop w:val="0"/>
      <w:marBottom w:val="0"/>
      <w:divBdr>
        <w:top w:val="none" w:sz="0" w:space="0" w:color="auto"/>
        <w:left w:val="none" w:sz="0" w:space="0" w:color="auto"/>
        <w:bottom w:val="none" w:sz="0" w:space="0" w:color="auto"/>
        <w:right w:val="none" w:sz="0" w:space="0" w:color="auto"/>
      </w:divBdr>
    </w:div>
    <w:div w:id="2130321428">
      <w:bodyDiv w:val="1"/>
      <w:marLeft w:val="0"/>
      <w:marRight w:val="0"/>
      <w:marTop w:val="0"/>
      <w:marBottom w:val="0"/>
      <w:divBdr>
        <w:top w:val="none" w:sz="0" w:space="0" w:color="auto"/>
        <w:left w:val="none" w:sz="0" w:space="0" w:color="auto"/>
        <w:bottom w:val="none" w:sz="0" w:space="0" w:color="auto"/>
        <w:right w:val="none" w:sz="0" w:space="0" w:color="auto"/>
      </w:divBdr>
    </w:div>
    <w:div w:id="214207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g"/><Relationship Id="rId42" Type="http://schemas.openxmlformats.org/officeDocument/2006/relationships/image" Target="media/image19.png"/><Relationship Id="rId47" Type="http://schemas.openxmlformats.org/officeDocument/2006/relationships/image" Target="media/image21.emf"/><Relationship Id="rId63" Type="http://schemas.openxmlformats.org/officeDocument/2006/relationships/footer" Target="footer8.xml"/><Relationship Id="rId68" Type="http://schemas.openxmlformats.org/officeDocument/2006/relationships/image" Target="media/image32.emf"/><Relationship Id="rId84" Type="http://schemas.openxmlformats.org/officeDocument/2006/relationships/image" Target="media/image41.emf"/><Relationship Id="rId89" Type="http://schemas.openxmlformats.org/officeDocument/2006/relationships/image" Target="media/image46.emf"/><Relationship Id="rId16" Type="http://schemas.openxmlformats.org/officeDocument/2006/relationships/header" Target="header2.xml"/><Relationship Id="rId107" Type="http://schemas.openxmlformats.org/officeDocument/2006/relationships/fontTable" Target="fontTable.xml"/><Relationship Id="rId11" Type="http://schemas.openxmlformats.org/officeDocument/2006/relationships/header" Target="header1.xml"/><Relationship Id="rId32" Type="http://schemas.openxmlformats.org/officeDocument/2006/relationships/chart" Target="charts/chart2.xml"/><Relationship Id="rId37" Type="http://schemas.openxmlformats.org/officeDocument/2006/relationships/chart" Target="charts/chart6.xml"/><Relationship Id="rId53" Type="http://schemas.openxmlformats.org/officeDocument/2006/relationships/header" Target="header5.xml"/><Relationship Id="rId58" Type="http://schemas.openxmlformats.org/officeDocument/2006/relationships/footer" Target="footer7.xml"/><Relationship Id="rId74" Type="http://schemas.openxmlformats.org/officeDocument/2006/relationships/footer" Target="footer12.xml"/><Relationship Id="rId79" Type="http://schemas.openxmlformats.org/officeDocument/2006/relationships/image" Target="media/image36.emf"/><Relationship Id="rId102" Type="http://schemas.openxmlformats.org/officeDocument/2006/relationships/image" Target="media/image52.jpg"/><Relationship Id="rId5" Type="http://schemas.openxmlformats.org/officeDocument/2006/relationships/webSettings" Target="webSettings.xml"/><Relationship Id="rId90" Type="http://schemas.openxmlformats.org/officeDocument/2006/relationships/image" Target="media/image47.emf"/><Relationship Id="rId95" Type="http://schemas.openxmlformats.org/officeDocument/2006/relationships/footer" Target="footer15.xml"/><Relationship Id="rId22" Type="http://schemas.openxmlformats.org/officeDocument/2006/relationships/image" Target="media/image6.jpg"/><Relationship Id="rId27" Type="http://schemas.openxmlformats.org/officeDocument/2006/relationships/image" Target="media/image11.jpeg"/><Relationship Id="rId43" Type="http://schemas.openxmlformats.org/officeDocument/2006/relationships/chart" Target="charts/chart8.xml"/><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header" Target="header7.xml"/><Relationship Id="rId80" Type="http://schemas.openxmlformats.org/officeDocument/2006/relationships/image" Target="media/image37.emf"/><Relationship Id="rId85" Type="http://schemas.openxmlformats.org/officeDocument/2006/relationships/image" Target="media/image42.png"/><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chart" Target="charts/chart3.xml"/><Relationship Id="rId38" Type="http://schemas.openxmlformats.org/officeDocument/2006/relationships/chart" Target="charts/chart7.xml"/><Relationship Id="rId59" Type="http://schemas.openxmlformats.org/officeDocument/2006/relationships/image" Target="media/image26.emf"/><Relationship Id="rId103" Type="http://schemas.openxmlformats.org/officeDocument/2006/relationships/header" Target="header16.xml"/><Relationship Id="rId108" Type="http://schemas.openxmlformats.org/officeDocument/2006/relationships/theme" Target="theme/theme1.xml"/><Relationship Id="rId20" Type="http://schemas.openxmlformats.org/officeDocument/2006/relationships/image" Target="media/image4.jpg"/><Relationship Id="rId41" Type="http://schemas.openxmlformats.org/officeDocument/2006/relationships/image" Target="media/image18.png"/><Relationship Id="rId54" Type="http://schemas.openxmlformats.org/officeDocument/2006/relationships/footer" Target="footer6.xml"/><Relationship Id="rId62" Type="http://schemas.openxmlformats.org/officeDocument/2006/relationships/image" Target="media/image29.emf"/><Relationship Id="rId70" Type="http://schemas.openxmlformats.org/officeDocument/2006/relationships/header" Target="header8.xml"/><Relationship Id="rId75" Type="http://schemas.openxmlformats.org/officeDocument/2006/relationships/image" Target="media/image34.emf"/><Relationship Id="rId83" Type="http://schemas.openxmlformats.org/officeDocument/2006/relationships/image" Target="media/image40.emf"/><Relationship Id="rId88" Type="http://schemas.openxmlformats.org/officeDocument/2006/relationships/image" Target="media/image45.emf"/><Relationship Id="rId91" Type="http://schemas.openxmlformats.org/officeDocument/2006/relationships/header" Target="header10.xml"/><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chart" Target="charts/chart5.xml"/><Relationship Id="rId49" Type="http://schemas.openxmlformats.org/officeDocument/2006/relationships/image" Target="media/image23.emf"/><Relationship Id="rId57" Type="http://schemas.openxmlformats.org/officeDocument/2006/relationships/header" Target="header6.xml"/><Relationship Id="rId106" Type="http://schemas.openxmlformats.org/officeDocument/2006/relationships/footer" Target="footer17.xml"/><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image" Target="media/image20.png"/><Relationship Id="rId52" Type="http://schemas.openxmlformats.org/officeDocument/2006/relationships/footer" Target="footer5.xml"/><Relationship Id="rId60" Type="http://schemas.openxmlformats.org/officeDocument/2006/relationships/image" Target="media/image27.emf"/><Relationship Id="rId65" Type="http://schemas.openxmlformats.org/officeDocument/2006/relationships/image" Target="media/image31.emf"/><Relationship Id="rId73" Type="http://schemas.openxmlformats.org/officeDocument/2006/relationships/header" Target="header9.xml"/><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image" Target="media/image43.emf"/><Relationship Id="rId94" Type="http://schemas.openxmlformats.org/officeDocument/2006/relationships/header" Target="header13.xml"/><Relationship Id="rId99" Type="http://schemas.openxmlformats.org/officeDocument/2006/relationships/image" Target="media/image50.emf"/><Relationship Id="rId101" Type="http://schemas.openxmlformats.org/officeDocument/2006/relationships/image" Target="media/image51.jpg"/><Relationship Id="rId4" Type="http://schemas.openxmlformats.org/officeDocument/2006/relationships/settings" Target="settings.xml"/><Relationship Id="rId9" Type="http://schemas.openxmlformats.org/officeDocument/2006/relationships/hyperlink" Target="https://www.maine.edu/finance/policies-procedures-and-reports/annual-financial-reports/" TargetMode="Externa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image" Target="media/image16.emf"/><Relationship Id="rId34" Type="http://schemas.openxmlformats.org/officeDocument/2006/relationships/image" Target="media/image15.emf"/><Relationship Id="rId50" Type="http://schemas.openxmlformats.org/officeDocument/2006/relationships/hyperlink" Target="https://usm.maine.edu/portland-campus-development-project" TargetMode="External"/><Relationship Id="rId55" Type="http://schemas.openxmlformats.org/officeDocument/2006/relationships/image" Target="media/image24.emf"/><Relationship Id="rId76" Type="http://schemas.openxmlformats.org/officeDocument/2006/relationships/footer" Target="footer13.xml"/><Relationship Id="rId97" Type="http://schemas.openxmlformats.org/officeDocument/2006/relationships/image" Target="media/image48.emf"/><Relationship Id="rId104"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7.emf"/><Relationship Id="rId45" Type="http://schemas.openxmlformats.org/officeDocument/2006/relationships/chart" Target="charts/chart9.xml"/><Relationship Id="rId66" Type="http://schemas.openxmlformats.org/officeDocument/2006/relationships/footer" Target="footer9.xml"/><Relationship Id="rId87" Type="http://schemas.openxmlformats.org/officeDocument/2006/relationships/image" Target="media/image44.emf"/><Relationship Id="rId61" Type="http://schemas.openxmlformats.org/officeDocument/2006/relationships/image" Target="media/image28.emf"/><Relationship Id="rId82" Type="http://schemas.openxmlformats.org/officeDocument/2006/relationships/image" Target="media/image39.emf"/><Relationship Id="rId19" Type="http://schemas.openxmlformats.org/officeDocument/2006/relationships/footer" Target="footer4.xml"/><Relationship Id="rId14" Type="http://schemas.openxmlformats.org/officeDocument/2006/relationships/hyperlink" Target="https://www.maine.edu/blog/2020/05/07/despite-pandemic-college-dreams-come-true-for-4588-university-of-maine-system-students/" TargetMode="External"/><Relationship Id="rId30" Type="http://schemas.openxmlformats.org/officeDocument/2006/relationships/image" Target="media/image14.png"/><Relationship Id="rId35" Type="http://schemas.openxmlformats.org/officeDocument/2006/relationships/chart" Target="charts/chart4.xml"/><Relationship Id="rId56" Type="http://schemas.openxmlformats.org/officeDocument/2006/relationships/image" Target="media/image25.emf"/><Relationship Id="rId77" Type="http://schemas.openxmlformats.org/officeDocument/2006/relationships/footer" Target="footer14.xml"/><Relationship Id="rId100" Type="http://schemas.openxmlformats.org/officeDocument/2006/relationships/header" Target="header15.xml"/><Relationship Id="rId105" Type="http://schemas.openxmlformats.org/officeDocument/2006/relationships/header" Target="header17.xml"/><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image" Target="media/image33.emf"/><Relationship Id="rId93" Type="http://schemas.openxmlformats.org/officeDocument/2006/relationships/header" Target="header12.xml"/><Relationship Id="rId98" Type="http://schemas.openxmlformats.org/officeDocument/2006/relationships/image" Target="media/image49.emf"/><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chart" Target="charts/chart10.xml"/><Relationship Id="rId67" Type="http://schemas.openxmlformats.org/officeDocument/2006/relationships/footer" Target="footer10.xml"/></Relationships>
</file>

<file path=word/charts/_rels/chart1.xml.rels><?xml version="1.0" encoding="UTF-8" standalone="yes"?>
<Relationships xmlns="http://schemas.openxmlformats.org/package/2006/relationships"><Relationship Id="rId2" Type="http://schemas.openxmlformats.org/officeDocument/2006/relationships/oleObject" Target="file:///\\wv-o-fs-sws1.sws.ad.maine.edu\groupshares\McMahan\ACCTG%20DEPT%20-%20WRKG\GL%20CLOSE%20WKPS\YE%20CLOSE%202021\YEFY21%20WKPS\Fin%20Stmts%2021\Annual%20Financial%20Report%20FY21\2021%20MD&amp;A%20Charts%20&amp;%20Tables\C1.C2.T1%20Fall%20Enroll%2020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oleObject" Target="file:///\\wv-o-fs-sws1.sws.ad.maine.edu\groupshares\McMahan\ACCTG%20DEPT%20-%20WRKG\GL%20CLOSE%20WKPS\YE%20CLOSE%202021\YEFY21%20WKPS\Fin%20Stmts%2021\Annual%20Financial%20Report%20FY21\2021%20MD&amp;A%20Charts%20&amp;%20Tables\C1.C2.T1%20Fall%20Enroll%2020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wv-o-fs-sws1.sws.ad.maine.edu\groupshares\McMahan\ACCTG%20DEPT%20-%20WRKG\GL%20CLOSE%20WKPS\YE%20CLOSE%202021\YEFY21%20WKPS\Fin%20Stmts%2021\Annual%20Financial%20Report%20FY21\2021%20MD&amp;A%20Charts%20&amp;%20Tables\C4-7%20MIP%20&amp;%20Endowment%20Investments%2020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1\YEFY21%20WKPS\Fin%20Stmts%2021\Annual%20Financial%20Report%20FY21\2021%20MD&amp;A%20Charts%20&amp;%20Tables\IP.C11.Noncapital%20State%20Appr%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1: Student Enrollment by Headcount</a:t>
            </a:r>
          </a:p>
        </c:rich>
      </c:tx>
      <c:layout>
        <c:manualLayout>
          <c:xMode val="edge"/>
          <c:yMode val="edge"/>
          <c:x val="0.15011789151356081"/>
          <c:y val="7.9365079365079361E-3"/>
        </c:manualLayout>
      </c:layout>
      <c:overlay val="0"/>
      <c:spPr>
        <a:noFill/>
        <a:ln>
          <a:noFill/>
        </a:ln>
        <a:effectLst/>
      </c:spPr>
    </c:title>
    <c:autoTitleDeleted val="0"/>
    <c:plotArea>
      <c:layout>
        <c:manualLayout>
          <c:layoutTarget val="inner"/>
          <c:xMode val="edge"/>
          <c:yMode val="edge"/>
          <c:x val="0.12192825896762904"/>
          <c:y val="0.17496031746031745"/>
          <c:w val="0.85307174103237104"/>
          <c:h val="0.65411354830646173"/>
        </c:manualLayout>
      </c:layout>
      <c:lineChart>
        <c:grouping val="standard"/>
        <c:varyColors val="0"/>
        <c:ser>
          <c:idx val="3"/>
          <c:order val="0"/>
          <c:tx>
            <c:strRef>
              <c:f>'Chart 1 Enroll by Headcount'!$E$22</c:f>
              <c:strCache>
                <c:ptCount val="1"/>
                <c:pt idx="0">
                  <c:v>Total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Headcount'!$A$23:$A$27</c:f>
              <c:strCache>
                <c:ptCount val="5"/>
                <c:pt idx="0">
                  <c:v>Fall 2016</c:v>
                </c:pt>
                <c:pt idx="1">
                  <c:v>Fall 2017</c:v>
                </c:pt>
                <c:pt idx="2">
                  <c:v>Fall 2018</c:v>
                </c:pt>
                <c:pt idx="3">
                  <c:v>Fall 2019</c:v>
                </c:pt>
                <c:pt idx="4">
                  <c:v>Fall 2020</c:v>
                </c:pt>
              </c:strCache>
            </c:strRef>
          </c:cat>
          <c:val>
            <c:numRef>
              <c:f>'Chart 1 Enroll by Headcount'!$E$23:$E$27</c:f>
              <c:numCache>
                <c:formatCode>_(* #,##0_);_(* \(#,##0\);_(* "-"??_);_(@_)</c:formatCode>
                <c:ptCount val="5"/>
                <c:pt idx="0">
                  <c:v>29465</c:v>
                </c:pt>
                <c:pt idx="1">
                  <c:v>28997</c:v>
                </c:pt>
                <c:pt idx="2">
                  <c:v>29735</c:v>
                </c:pt>
                <c:pt idx="3">
                  <c:v>29974</c:v>
                </c:pt>
                <c:pt idx="4">
                  <c:v>29683</c:v>
                </c:pt>
              </c:numCache>
            </c:numRef>
          </c:val>
          <c:smooth val="0"/>
          <c:extLst>
            <c:ext xmlns:c16="http://schemas.microsoft.com/office/drawing/2014/chart" uri="{C3380CC4-5D6E-409C-BE32-E72D297353CC}">
              <c16:uniqueId val="{00000000-868B-4D0E-BCA1-0EFE9DF520EF}"/>
            </c:ext>
          </c:extLst>
        </c:ser>
        <c:ser>
          <c:idx val="1"/>
          <c:order val="1"/>
          <c:tx>
            <c:strRef>
              <c:f>'Chart 1 Enroll by Headcount'!$C$22</c:f>
              <c:strCache>
                <c:ptCount val="1"/>
                <c:pt idx="0">
                  <c:v>Full-Time</c:v>
                </c:pt>
              </c:strCache>
            </c:strRef>
          </c:tx>
          <c:spPr>
            <a:ln w="28575" cap="rnd">
              <a:solidFill>
                <a:schemeClr val="accent2"/>
              </a:solidFill>
              <a:round/>
            </a:ln>
            <a:effectLst/>
          </c:spPr>
          <c:marker>
            <c:symbol val="square"/>
            <c:size val="5"/>
            <c:spPr>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Headcount'!$A$23:$A$27</c:f>
              <c:strCache>
                <c:ptCount val="5"/>
                <c:pt idx="0">
                  <c:v>Fall 2016</c:v>
                </c:pt>
                <c:pt idx="1">
                  <c:v>Fall 2017</c:v>
                </c:pt>
                <c:pt idx="2">
                  <c:v>Fall 2018</c:v>
                </c:pt>
                <c:pt idx="3">
                  <c:v>Fall 2019</c:v>
                </c:pt>
                <c:pt idx="4">
                  <c:v>Fall 2020</c:v>
                </c:pt>
              </c:strCache>
            </c:strRef>
          </c:cat>
          <c:val>
            <c:numRef>
              <c:f>'Chart 1 Enroll by Headcount'!$C$23:$C$27</c:f>
              <c:numCache>
                <c:formatCode>_(* #,##0_);_(* \(#,##0\);_(* "-"??_);_(@_)</c:formatCode>
                <c:ptCount val="5"/>
                <c:pt idx="0">
                  <c:v>18689</c:v>
                </c:pt>
                <c:pt idx="1">
                  <c:v>18771</c:v>
                </c:pt>
                <c:pt idx="2">
                  <c:v>18877</c:v>
                </c:pt>
                <c:pt idx="3">
                  <c:v>18750</c:v>
                </c:pt>
                <c:pt idx="4">
                  <c:v>18631</c:v>
                </c:pt>
              </c:numCache>
            </c:numRef>
          </c:val>
          <c:smooth val="0"/>
          <c:extLst>
            <c:ext xmlns:c16="http://schemas.microsoft.com/office/drawing/2014/chart" uri="{C3380CC4-5D6E-409C-BE32-E72D297353CC}">
              <c16:uniqueId val="{00000001-868B-4D0E-BCA1-0EFE9DF520EF}"/>
            </c:ext>
          </c:extLst>
        </c:ser>
        <c:ser>
          <c:idx val="2"/>
          <c:order val="2"/>
          <c:tx>
            <c:strRef>
              <c:f>'Chart 1 Enroll by Headcount'!$D$22</c:f>
              <c:strCache>
                <c:ptCount val="1"/>
                <c:pt idx="0">
                  <c:v>Part-Time</c:v>
                </c:pt>
              </c:strCache>
            </c:strRef>
          </c:tx>
          <c:spPr>
            <a:ln w="28575" cap="rnd">
              <a:solidFill>
                <a:schemeClr val="accent3"/>
              </a:solidFill>
              <a:round/>
            </a:ln>
            <a:effectLst/>
          </c:spPr>
          <c:marker>
            <c:symbol val="triangle"/>
            <c:size val="5"/>
            <c:spPr>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Headcount'!$A$23:$A$27</c:f>
              <c:strCache>
                <c:ptCount val="5"/>
                <c:pt idx="0">
                  <c:v>Fall 2016</c:v>
                </c:pt>
                <c:pt idx="1">
                  <c:v>Fall 2017</c:v>
                </c:pt>
                <c:pt idx="2">
                  <c:v>Fall 2018</c:v>
                </c:pt>
                <c:pt idx="3">
                  <c:v>Fall 2019</c:v>
                </c:pt>
                <c:pt idx="4">
                  <c:v>Fall 2020</c:v>
                </c:pt>
              </c:strCache>
            </c:strRef>
          </c:cat>
          <c:val>
            <c:numRef>
              <c:f>'Chart 1 Enroll by Headcount'!$D$23:$D$27</c:f>
              <c:numCache>
                <c:formatCode>_(* #,##0_);_(* \(#,##0\);_(* "-"??_);_(@_)</c:formatCode>
                <c:ptCount val="5"/>
                <c:pt idx="0">
                  <c:v>8375</c:v>
                </c:pt>
                <c:pt idx="1">
                  <c:v>7954</c:v>
                </c:pt>
                <c:pt idx="2">
                  <c:v>7885</c:v>
                </c:pt>
                <c:pt idx="3">
                  <c:v>7657</c:v>
                </c:pt>
                <c:pt idx="4">
                  <c:v>7621</c:v>
                </c:pt>
              </c:numCache>
            </c:numRef>
          </c:val>
          <c:smooth val="0"/>
          <c:extLst>
            <c:ext xmlns:c16="http://schemas.microsoft.com/office/drawing/2014/chart" uri="{C3380CC4-5D6E-409C-BE32-E72D297353CC}">
              <c16:uniqueId val="{00000002-868B-4D0E-BCA1-0EFE9DF520EF}"/>
            </c:ext>
          </c:extLst>
        </c:ser>
        <c:ser>
          <c:idx val="0"/>
          <c:order val="3"/>
          <c:tx>
            <c:strRef>
              <c:f>'Chart 1 Enroll by Headcount'!$B$22</c:f>
              <c:strCache>
                <c:ptCount val="1"/>
                <c:pt idx="0">
                  <c:v>Early College</c:v>
                </c:pt>
              </c:strCache>
            </c:strRef>
          </c:tx>
          <c:spPr>
            <a:ln w="28575" cap="rnd">
              <a:solidFill>
                <a:schemeClr val="accent1"/>
              </a:solidFill>
              <a:round/>
            </a:ln>
            <a:effectLst/>
          </c:spPr>
          <c:marker>
            <c:spPr>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Headcount'!$A$23:$A$27</c:f>
              <c:strCache>
                <c:ptCount val="5"/>
                <c:pt idx="0">
                  <c:v>Fall 2016</c:v>
                </c:pt>
                <c:pt idx="1">
                  <c:v>Fall 2017</c:v>
                </c:pt>
                <c:pt idx="2">
                  <c:v>Fall 2018</c:v>
                </c:pt>
                <c:pt idx="3">
                  <c:v>Fall 2019</c:v>
                </c:pt>
                <c:pt idx="4">
                  <c:v>Fall 2020</c:v>
                </c:pt>
              </c:strCache>
            </c:strRef>
          </c:cat>
          <c:val>
            <c:numRef>
              <c:f>'Chart 1 Enroll by Headcount'!$B$23:$B$27</c:f>
              <c:numCache>
                <c:formatCode>_(* #,##0_);_(* \(#,##0\);_(* "-"??_);_(@_)</c:formatCode>
                <c:ptCount val="5"/>
                <c:pt idx="0">
                  <c:v>2401</c:v>
                </c:pt>
                <c:pt idx="1">
                  <c:v>2272</c:v>
                </c:pt>
                <c:pt idx="2">
                  <c:v>2973</c:v>
                </c:pt>
                <c:pt idx="3">
                  <c:v>3567</c:v>
                </c:pt>
                <c:pt idx="4">
                  <c:v>3431</c:v>
                </c:pt>
              </c:numCache>
            </c:numRef>
          </c:val>
          <c:smooth val="0"/>
          <c:extLst>
            <c:ext xmlns:c16="http://schemas.microsoft.com/office/drawing/2014/chart" uri="{C3380CC4-5D6E-409C-BE32-E72D297353CC}">
              <c16:uniqueId val="{00000003-868B-4D0E-BCA1-0EFE9DF520EF}"/>
            </c:ext>
          </c:extLst>
        </c:ser>
        <c:dLbls>
          <c:dLblPos val="t"/>
          <c:showLegendKey val="0"/>
          <c:showVal val="1"/>
          <c:showCatName val="0"/>
          <c:showSerName val="0"/>
          <c:showPercent val="0"/>
          <c:showBubbleSize val="0"/>
        </c:dLbls>
        <c:marker val="1"/>
        <c:smooth val="0"/>
        <c:axId val="1935212159"/>
        <c:axId val="157327727"/>
      </c:lineChart>
      <c:catAx>
        <c:axId val="193521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57327727"/>
        <c:crosses val="autoZero"/>
        <c:auto val="1"/>
        <c:lblAlgn val="ctr"/>
        <c:lblOffset val="100"/>
        <c:noMultiLvlLbl val="0"/>
      </c:catAx>
      <c:valAx>
        <c:axId val="157327727"/>
        <c:scaling>
          <c:orientation val="minMax"/>
          <c:max val="3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935212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12: Gifts by Donor Type
</a:t>
            </a:r>
            <a:r>
              <a:rPr lang="en-US" sz="1100" b="1">
                <a:solidFill>
                  <a:schemeClr val="tx1">
                    <a:lumMod val="95000"/>
                    <a:lumOff val="5000"/>
                  </a:schemeClr>
                </a:solidFill>
              </a:rPr>
              <a:t>(In millions)</a:t>
            </a:r>
          </a:p>
        </c:rich>
      </c:tx>
      <c:overlay val="0"/>
      <c:spPr>
        <a:noFill/>
        <a:ln>
          <a:noFill/>
        </a:ln>
        <a:effectLst/>
      </c:spPr>
    </c:title>
    <c:autoTitleDeleted val="0"/>
    <c:plotArea>
      <c:layout/>
      <c:barChart>
        <c:barDir val="col"/>
        <c:grouping val="clustered"/>
        <c:varyColors val="0"/>
        <c:ser>
          <c:idx val="0"/>
          <c:order val="0"/>
          <c:tx>
            <c:strRef>
              <c:f>'Chart 12'!$B$1</c:f>
              <c:strCache>
                <c:ptCount val="1"/>
                <c:pt idx="0">
                  <c:v>University Foundations</c:v>
                </c:pt>
              </c:strCache>
            </c:strRef>
          </c:tx>
          <c:spPr>
            <a:solidFill>
              <a:srgbClr val="00688D"/>
            </a:solidFill>
            <a:ln>
              <a:noFill/>
            </a:ln>
            <a:effectLst/>
            <a:scene3d>
              <a:camera prst="orthographicFront"/>
              <a:lightRig rig="threePt" dir="t"/>
            </a:scene3d>
            <a:sp3d>
              <a:bevelT h="50800"/>
            </a:sp3d>
          </c:spPr>
          <c:invertIfNegative val="0"/>
          <c:cat>
            <c:strRef>
              <c:f>'Chart 12'!$A$2:$A$13</c:f>
              <c:strCache>
                <c:ptCount val="5"/>
                <c:pt idx="0">
                  <c:v>FY17</c:v>
                </c:pt>
                <c:pt idx="1">
                  <c:v>FY18</c:v>
                </c:pt>
                <c:pt idx="2">
                  <c:v>FY19</c:v>
                </c:pt>
                <c:pt idx="3">
                  <c:v>FY20</c:v>
                </c:pt>
                <c:pt idx="4">
                  <c:v>FY21</c:v>
                </c:pt>
              </c:strCache>
            </c:strRef>
          </c:cat>
          <c:val>
            <c:numRef>
              <c:f>'Chart 12'!$B$2:$B$13</c:f>
              <c:numCache>
                <c:formatCode>"$"#,##0_);[Red]\("$"#,##0\)</c:formatCode>
                <c:ptCount val="5"/>
                <c:pt idx="0">
                  <c:v>10</c:v>
                </c:pt>
                <c:pt idx="1">
                  <c:v>11</c:v>
                </c:pt>
                <c:pt idx="2">
                  <c:v>13</c:v>
                </c:pt>
                <c:pt idx="3">
                  <c:v>13.67212818</c:v>
                </c:pt>
                <c:pt idx="4" formatCode="_(&quot;$&quot;* #,##0_);_(&quot;$&quot;* \(#,##0\);_(&quot;$&quot;* &quot;-&quot;??_);_(@_)">
                  <c:v>15</c:v>
                </c:pt>
              </c:numCache>
            </c:numRef>
          </c:val>
          <c:extLst>
            <c:ext xmlns:c16="http://schemas.microsoft.com/office/drawing/2014/chart" uri="{C3380CC4-5D6E-409C-BE32-E72D297353CC}">
              <c16:uniqueId val="{00000000-A36B-4E68-8B4C-0C6EAFD6FCA8}"/>
            </c:ext>
          </c:extLst>
        </c:ser>
        <c:ser>
          <c:idx val="1"/>
          <c:order val="1"/>
          <c:tx>
            <c:strRef>
              <c:f>'Chart 12'!$C$1</c:f>
              <c:strCache>
                <c:ptCount val="1"/>
                <c:pt idx="0">
                  <c:v>Corporations</c:v>
                </c:pt>
              </c:strCache>
            </c:strRef>
          </c:tx>
          <c:spPr>
            <a:solidFill>
              <a:srgbClr val="F6A800"/>
            </a:solidFill>
            <a:ln>
              <a:noFill/>
            </a:ln>
            <a:effectLst/>
            <a:scene3d>
              <a:camera prst="orthographicFront"/>
              <a:lightRig rig="threePt" dir="t"/>
            </a:scene3d>
            <a:sp3d>
              <a:bevelT h="50800"/>
            </a:sp3d>
          </c:spPr>
          <c:invertIfNegative val="0"/>
          <c:cat>
            <c:strRef>
              <c:f>'Chart 12'!$A$2:$A$13</c:f>
              <c:strCache>
                <c:ptCount val="5"/>
                <c:pt idx="0">
                  <c:v>FY17</c:v>
                </c:pt>
                <c:pt idx="1">
                  <c:v>FY18</c:v>
                </c:pt>
                <c:pt idx="2">
                  <c:v>FY19</c:v>
                </c:pt>
                <c:pt idx="3">
                  <c:v>FY20</c:v>
                </c:pt>
                <c:pt idx="4">
                  <c:v>FY21</c:v>
                </c:pt>
              </c:strCache>
            </c:strRef>
          </c:cat>
          <c:val>
            <c:numRef>
              <c:f>'Chart 12'!$C$2:$C$13</c:f>
              <c:numCache>
                <c:formatCode>"$"#,##0_);[Red]\("$"#,##0\)</c:formatCode>
                <c:ptCount val="5"/>
                <c:pt idx="0">
                  <c:v>2</c:v>
                </c:pt>
                <c:pt idx="1">
                  <c:v>2</c:v>
                </c:pt>
                <c:pt idx="2">
                  <c:v>2</c:v>
                </c:pt>
                <c:pt idx="3">
                  <c:v>1.0671135599999999</c:v>
                </c:pt>
                <c:pt idx="4" formatCode="_(&quot;$&quot;* #,##0_);_(&quot;$&quot;* \(#,##0\);_(&quot;$&quot;* &quot;-&quot;??_);_(@_)">
                  <c:v>2</c:v>
                </c:pt>
              </c:numCache>
            </c:numRef>
          </c:val>
          <c:extLst>
            <c:ext xmlns:c16="http://schemas.microsoft.com/office/drawing/2014/chart" uri="{C3380CC4-5D6E-409C-BE32-E72D297353CC}">
              <c16:uniqueId val="{00000001-A36B-4E68-8B4C-0C6EAFD6FCA8}"/>
            </c:ext>
          </c:extLst>
        </c:ser>
        <c:ser>
          <c:idx val="2"/>
          <c:order val="2"/>
          <c:tx>
            <c:strRef>
              <c:f>'Chart 12'!$D$1</c:f>
              <c:strCache>
                <c:ptCount val="1"/>
                <c:pt idx="0">
                  <c:v>Non-Profits</c:v>
                </c:pt>
              </c:strCache>
            </c:strRef>
          </c:tx>
          <c:spPr>
            <a:solidFill>
              <a:srgbClr val="791134"/>
            </a:solidFill>
            <a:ln>
              <a:noFill/>
            </a:ln>
            <a:effectLst/>
            <a:scene3d>
              <a:camera prst="orthographicFront"/>
              <a:lightRig rig="threePt" dir="t"/>
            </a:scene3d>
            <a:sp3d>
              <a:bevelT h="50800"/>
            </a:sp3d>
          </c:spPr>
          <c:invertIfNegative val="0"/>
          <c:cat>
            <c:strRef>
              <c:f>'Chart 12'!$A$2:$A$13</c:f>
              <c:strCache>
                <c:ptCount val="5"/>
                <c:pt idx="0">
                  <c:v>FY17</c:v>
                </c:pt>
                <c:pt idx="1">
                  <c:v>FY18</c:v>
                </c:pt>
                <c:pt idx="2">
                  <c:v>FY19</c:v>
                </c:pt>
                <c:pt idx="3">
                  <c:v>FY20</c:v>
                </c:pt>
                <c:pt idx="4">
                  <c:v>FY21</c:v>
                </c:pt>
              </c:strCache>
            </c:strRef>
          </c:cat>
          <c:val>
            <c:numRef>
              <c:f>'Chart 12'!$D$2:$D$13</c:f>
              <c:numCache>
                <c:formatCode>"$"#,##0_);[Red]\("$"#,##0\)</c:formatCode>
                <c:ptCount val="5"/>
                <c:pt idx="0">
                  <c:v>3</c:v>
                </c:pt>
                <c:pt idx="1">
                  <c:v>3</c:v>
                </c:pt>
                <c:pt idx="2">
                  <c:v>8</c:v>
                </c:pt>
                <c:pt idx="3">
                  <c:v>2.59343718</c:v>
                </c:pt>
                <c:pt idx="4" formatCode="_(&quot;$&quot;* #,##0_);_(&quot;$&quot;* \(#,##0\);_(&quot;$&quot;* &quot;-&quot;??_);_(@_)">
                  <c:v>4</c:v>
                </c:pt>
              </c:numCache>
            </c:numRef>
          </c:val>
          <c:extLst>
            <c:ext xmlns:c16="http://schemas.microsoft.com/office/drawing/2014/chart" uri="{C3380CC4-5D6E-409C-BE32-E72D297353CC}">
              <c16:uniqueId val="{00000002-A36B-4E68-8B4C-0C6EAFD6FCA8}"/>
            </c:ext>
          </c:extLst>
        </c:ser>
        <c:ser>
          <c:idx val="3"/>
          <c:order val="3"/>
          <c:tx>
            <c:strRef>
              <c:f>'Chart 12'!$E$1</c:f>
              <c:strCache>
                <c:ptCount val="1"/>
                <c:pt idx="0">
                  <c:v>Alumni</c:v>
                </c:pt>
              </c:strCache>
            </c:strRef>
          </c:tx>
          <c:spPr>
            <a:solidFill>
              <a:srgbClr val="919494"/>
            </a:solidFill>
            <a:ln>
              <a:noFill/>
            </a:ln>
            <a:effectLst/>
            <a:scene3d>
              <a:camera prst="orthographicFront"/>
              <a:lightRig rig="threePt" dir="t"/>
            </a:scene3d>
            <a:sp3d>
              <a:bevelT h="50800"/>
            </a:sp3d>
          </c:spPr>
          <c:invertIfNegative val="0"/>
          <c:cat>
            <c:strRef>
              <c:f>'Chart 12'!$A$2:$A$13</c:f>
              <c:strCache>
                <c:ptCount val="5"/>
                <c:pt idx="0">
                  <c:v>FY17</c:v>
                </c:pt>
                <c:pt idx="1">
                  <c:v>FY18</c:v>
                </c:pt>
                <c:pt idx="2">
                  <c:v>FY19</c:v>
                </c:pt>
                <c:pt idx="3">
                  <c:v>FY20</c:v>
                </c:pt>
                <c:pt idx="4">
                  <c:v>FY21</c:v>
                </c:pt>
              </c:strCache>
            </c:strRef>
          </c:cat>
          <c:val>
            <c:numRef>
              <c:f>'Chart 12'!$E$2:$E$13</c:f>
              <c:numCache>
                <c:formatCode>"$"#,##0_);[Red]\("$"#,##0\)</c:formatCode>
                <c:ptCount val="5"/>
                <c:pt idx="0">
                  <c:v>1</c:v>
                </c:pt>
                <c:pt idx="1">
                  <c:v>0</c:v>
                </c:pt>
                <c:pt idx="2">
                  <c:v>1</c:v>
                </c:pt>
                <c:pt idx="3">
                  <c:v>0.23400000000000001</c:v>
                </c:pt>
                <c:pt idx="4" formatCode="_(&quot;$&quot;* #,##0_);_(&quot;$&quot;* \(#,##0\);_(&quot;$&quot;* &quot;-&quot;??_);_(@_)">
                  <c:v>2</c:v>
                </c:pt>
              </c:numCache>
            </c:numRef>
          </c:val>
          <c:extLst>
            <c:ext xmlns:c16="http://schemas.microsoft.com/office/drawing/2014/chart" uri="{C3380CC4-5D6E-409C-BE32-E72D297353CC}">
              <c16:uniqueId val="{00000003-A36B-4E68-8B4C-0C6EAFD6FCA8}"/>
            </c:ext>
          </c:extLst>
        </c:ser>
        <c:ser>
          <c:idx val="4"/>
          <c:order val="4"/>
          <c:tx>
            <c:strRef>
              <c:f>'Chart 12'!$F$1</c:f>
              <c:strCache>
                <c:ptCount val="1"/>
                <c:pt idx="0">
                  <c:v>Other</c:v>
                </c:pt>
              </c:strCache>
            </c:strRef>
          </c:tx>
          <c:spPr>
            <a:solidFill>
              <a:srgbClr val="05543F"/>
            </a:solidFill>
            <a:ln>
              <a:noFill/>
            </a:ln>
            <a:effectLst/>
            <a:scene3d>
              <a:camera prst="orthographicFront"/>
              <a:lightRig rig="threePt" dir="t"/>
            </a:scene3d>
            <a:sp3d>
              <a:bevelT h="50800"/>
            </a:sp3d>
          </c:spPr>
          <c:invertIfNegative val="0"/>
          <c:cat>
            <c:strRef>
              <c:f>'Chart 12'!$A$2:$A$13</c:f>
              <c:strCache>
                <c:ptCount val="5"/>
                <c:pt idx="0">
                  <c:v>FY17</c:v>
                </c:pt>
                <c:pt idx="1">
                  <c:v>FY18</c:v>
                </c:pt>
                <c:pt idx="2">
                  <c:v>FY19</c:v>
                </c:pt>
                <c:pt idx="3">
                  <c:v>FY20</c:v>
                </c:pt>
                <c:pt idx="4">
                  <c:v>FY21</c:v>
                </c:pt>
              </c:strCache>
            </c:strRef>
          </c:cat>
          <c:val>
            <c:numRef>
              <c:f>'Chart 12'!$F$2:$F$13</c:f>
              <c:numCache>
                <c:formatCode>"$"#,##0_);[Red]\("$"#,##0\)</c:formatCode>
                <c:ptCount val="5"/>
                <c:pt idx="0">
                  <c:v>1</c:v>
                </c:pt>
                <c:pt idx="1">
                  <c:v>1</c:v>
                </c:pt>
                <c:pt idx="2">
                  <c:v>3</c:v>
                </c:pt>
                <c:pt idx="3">
                  <c:v>2.0920000000000001</c:v>
                </c:pt>
                <c:pt idx="4" formatCode="_(&quot;$&quot;* #,##0_);_(&quot;$&quot;* \(#,##0\);_(&quot;$&quot;* &quot;-&quot;??_);_(@_)">
                  <c:v>3</c:v>
                </c:pt>
              </c:numCache>
            </c:numRef>
          </c:val>
          <c:extLst>
            <c:ext xmlns:c16="http://schemas.microsoft.com/office/drawing/2014/chart" uri="{C3380CC4-5D6E-409C-BE32-E72D297353CC}">
              <c16:uniqueId val="{00000004-A36B-4E68-8B4C-0C6EAFD6FCA8}"/>
            </c:ext>
          </c:extLst>
        </c:ser>
        <c:dLbls>
          <c:showLegendKey val="0"/>
          <c:showVal val="0"/>
          <c:showCatName val="0"/>
          <c:showSerName val="0"/>
          <c:showPercent val="0"/>
          <c:showBubbleSize val="0"/>
        </c:dLbls>
        <c:gapWidth val="219"/>
        <c:axId val="1238056320"/>
        <c:axId val="1238056736"/>
      </c:barChart>
      <c:barChart>
        <c:barDir val="col"/>
        <c:grouping val="clustered"/>
        <c:varyColors val="0"/>
        <c:ser>
          <c:idx val="5"/>
          <c:order val="5"/>
          <c:tx>
            <c:strRef>
              <c:f>'Chart 12'!$G$1</c:f>
              <c:strCache>
                <c:ptCount val="1"/>
                <c:pt idx="0">
                  <c:v>Total</c:v>
                </c:pt>
              </c:strCache>
            </c:strRef>
          </c:tx>
          <c:spPr>
            <a:solidFill>
              <a:srgbClr val="8CB8DC">
                <a:alpha val="25000"/>
              </a:srgbClr>
            </a:solidFill>
            <a:ln>
              <a:solidFill>
                <a:srgbClr val="8CB8DC">
                  <a:alpha val="50000"/>
                </a:srgbClr>
              </a:solidFill>
            </a:ln>
            <a:scene3d>
              <a:camera prst="orthographicFront"/>
              <a:lightRig rig="threePt" dir="t"/>
            </a:scene3d>
            <a:sp3d>
              <a:bevelT h="50800"/>
            </a:sp3d>
          </c:spPr>
          <c:invertIfNegative val="0"/>
          <c:dLbls>
            <c:spPr>
              <a:noFill/>
              <a:ln>
                <a:noFill/>
              </a:ln>
              <a:effectLst/>
            </c:spPr>
            <c:txPr>
              <a:bodyPr wrap="square" lIns="0" tIns="0" rIns="0" bIns="0" anchor="ctr">
                <a:spAutoFit/>
              </a:bodyPr>
              <a:lstStyle/>
              <a:p>
                <a:pPr>
                  <a:defRPr sz="900" b="1">
                    <a:solidFill>
                      <a:schemeClr val="tx1">
                        <a:lumMod val="95000"/>
                        <a:lumOff val="5000"/>
                      </a:schemeClr>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'Chart 12'!$A$2:$A$13</c:f>
              <c:strCache>
                <c:ptCount val="5"/>
                <c:pt idx="0">
                  <c:v>FY17</c:v>
                </c:pt>
                <c:pt idx="1">
                  <c:v>FY18</c:v>
                </c:pt>
                <c:pt idx="2">
                  <c:v>FY19</c:v>
                </c:pt>
                <c:pt idx="3">
                  <c:v>FY20</c:v>
                </c:pt>
                <c:pt idx="4">
                  <c:v>FY21</c:v>
                </c:pt>
              </c:strCache>
            </c:strRef>
          </c:cat>
          <c:val>
            <c:numRef>
              <c:f>'Chart 12'!$G$2:$G$13</c:f>
              <c:numCache>
                <c:formatCode>"$"#,##0_);[Red]\("$"#,##0\)</c:formatCode>
                <c:ptCount val="5"/>
                <c:pt idx="0">
                  <c:v>17</c:v>
                </c:pt>
                <c:pt idx="1">
                  <c:v>17</c:v>
                </c:pt>
                <c:pt idx="2">
                  <c:v>27</c:v>
                </c:pt>
                <c:pt idx="3">
                  <c:v>19.658783</c:v>
                </c:pt>
                <c:pt idx="4" formatCode="_(&quot;$&quot;* #,##0_);_(&quot;$&quot;* \(#,##0\);_(&quot;$&quot;* &quot;-&quot;??_);_(@_)">
                  <c:v>26</c:v>
                </c:pt>
              </c:numCache>
            </c:numRef>
          </c:val>
          <c:extLst>
            <c:ext xmlns:c16="http://schemas.microsoft.com/office/drawing/2014/chart" uri="{C3380CC4-5D6E-409C-BE32-E72D297353CC}">
              <c16:uniqueId val="{00000005-A36B-4E68-8B4C-0C6EAFD6FCA8}"/>
            </c:ext>
          </c:extLst>
        </c:ser>
        <c:dLbls>
          <c:showLegendKey val="0"/>
          <c:showVal val="0"/>
          <c:showCatName val="0"/>
          <c:showSerName val="0"/>
          <c:showPercent val="0"/>
          <c:showBubbleSize val="0"/>
        </c:dLbls>
        <c:gapWidth val="44"/>
        <c:axId val="831240768"/>
        <c:axId val="1267723936"/>
      </c:barChart>
      <c:catAx>
        <c:axId val="123805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38056736"/>
        <c:crosses val="autoZero"/>
        <c:auto val="1"/>
        <c:lblAlgn val="ctr"/>
        <c:lblOffset val="100"/>
        <c:noMultiLvlLbl val="0"/>
      </c:catAx>
      <c:valAx>
        <c:axId val="1238056736"/>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38056320"/>
        <c:crosses val="autoZero"/>
        <c:crossBetween val="between"/>
      </c:valAx>
      <c:valAx>
        <c:axId val="1267723936"/>
        <c:scaling>
          <c:orientation val="minMax"/>
        </c:scaling>
        <c:delete val="1"/>
        <c:axPos val="r"/>
        <c:numFmt formatCode="&quot;$&quot;#,##0_);[Red]\(&quot;$&quot;#,##0\)" sourceLinked="1"/>
        <c:majorTickMark val="out"/>
        <c:minorTickMark val="none"/>
        <c:tickLblPos val="nextTo"/>
        <c:crossAx val="831240768"/>
        <c:crosses val="max"/>
        <c:crossBetween val="between"/>
      </c:valAx>
      <c:catAx>
        <c:axId val="831240768"/>
        <c:scaling>
          <c:orientation val="minMax"/>
        </c:scaling>
        <c:delete val="1"/>
        <c:axPos val="b"/>
        <c:numFmt formatCode="General" sourceLinked="1"/>
        <c:majorTickMark val="out"/>
        <c:minorTickMark val="none"/>
        <c:tickLblPos val="nextTo"/>
        <c:crossAx val="1267723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Chart 2: Student FTE Enrollment</a:t>
            </a:r>
          </a:p>
          <a:p>
            <a:pPr>
              <a:defRPr sz="1400" b="1" i="0" u="none" strike="noStrike" kern="1200" spc="0" baseline="0">
                <a:solidFill>
                  <a:schemeClr val="tx1"/>
                </a:solidFill>
                <a:latin typeface="+mn-lt"/>
                <a:ea typeface="+mn-ea"/>
                <a:cs typeface="+mn-cs"/>
              </a:defRPr>
            </a:pPr>
            <a:endParaRPr lang="en-US" sz="1000" b="1">
              <a:solidFill>
                <a:schemeClr val="tx1"/>
              </a:solidFill>
            </a:endParaRPr>
          </a:p>
        </c:rich>
      </c:tx>
      <c:overlay val="0"/>
      <c:spPr>
        <a:noFill/>
        <a:ln>
          <a:noFill/>
        </a:ln>
        <a:effectLst/>
      </c:spPr>
    </c:title>
    <c:autoTitleDeleted val="0"/>
    <c:plotArea>
      <c:layout/>
      <c:lineChart>
        <c:grouping val="standard"/>
        <c:varyColors val="0"/>
        <c:ser>
          <c:idx val="0"/>
          <c:order val="0"/>
          <c:tx>
            <c:strRef>
              <c:f>'Chart 2 FTE Enrollment'!$B$3:$B$4</c:f>
              <c:strCache>
                <c:ptCount val="2"/>
                <c:pt idx="1">
                  <c:v> Total </c:v>
                </c:pt>
              </c:strCache>
            </c:strRef>
          </c:tx>
          <c:spPr>
            <a:ln w="28575" cap="rnd">
              <a:solidFill>
                <a:srgbClr val="00688D"/>
              </a:solidFill>
              <a:round/>
            </a:ln>
            <a:effectLst/>
          </c:spPr>
          <c:marker>
            <c:symbol val="diamond"/>
            <c:size val="5"/>
            <c:spPr>
              <a:scene3d>
                <a:camera prst="orthographicFront"/>
                <a:lightRig rig="threePt" dir="t"/>
              </a:scene3d>
              <a:sp3d>
                <a:bevelT h="50800"/>
                <a:bevelB/>
              </a:sp3d>
            </c:spPr>
          </c:marker>
          <c:dLbls>
            <c:dLbl>
              <c:idx val="1"/>
              <c:layout>
                <c:manualLayout>
                  <c:x val="-4.6923569182827453E-2"/>
                  <c:y val="-6.576458001400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4E-4804-898E-FA30B19DC9E9}"/>
                </c:ext>
              </c:extLst>
            </c:dLbl>
            <c:dLbl>
              <c:idx val="2"/>
              <c:layout>
                <c:manualLayout>
                  <c:x val="-4.2833161755840593E-2"/>
                  <c:y val="-4.31911700187036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4E-4804-898E-FA30B19DC9E9}"/>
                </c:ext>
              </c:extLst>
            </c:dLbl>
            <c:dLbl>
              <c:idx val="3"/>
              <c:layout>
                <c:manualLayout>
                  <c:x val="-3.4858796360702347E-2"/>
                  <c:y val="-4.261635917211228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9753299388813144E-2"/>
                      <c:h val="4.3371587349235304E-2"/>
                    </c:manualLayout>
                  </c15:layout>
                </c:ext>
                <c:ext xmlns:c16="http://schemas.microsoft.com/office/drawing/2014/chart" uri="{C3380CC4-5D6E-409C-BE32-E72D297353CC}">
                  <c16:uniqueId val="{00000002-EC4E-4804-898E-FA30B19DC9E9}"/>
                </c:ext>
              </c:extLst>
            </c:dLbl>
            <c:dLbl>
              <c:idx val="4"/>
              <c:layout>
                <c:manualLayout>
                  <c:x val="-1.9276035725216498E-2"/>
                  <c:y val="-5.1011306871098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4E-4804-898E-FA30B19DC9E9}"/>
                </c:ext>
              </c:extLst>
            </c:dLbl>
            <c:numFmt formatCode="#,##0" sourceLinked="0"/>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'Chart 2 FTE Enrollment'!$A$5:$A$9</c:f>
              <c:strCache>
                <c:ptCount val="5"/>
                <c:pt idx="0">
                  <c:v>Fall 2016</c:v>
                </c:pt>
                <c:pt idx="1">
                  <c:v>Fall 2017</c:v>
                </c:pt>
                <c:pt idx="2">
                  <c:v>Fall 2018</c:v>
                </c:pt>
                <c:pt idx="3">
                  <c:v>Fall 2019</c:v>
                </c:pt>
                <c:pt idx="4">
                  <c:v>Fall 2020</c:v>
                </c:pt>
              </c:strCache>
            </c:strRef>
          </c:cat>
          <c:val>
            <c:numRef>
              <c:f>'Chart 2 FTE Enrollment'!$B$5:$B$9</c:f>
              <c:numCache>
                <c:formatCode>_(* #,##0_);_(* \(#,##0\);_(* "-"??_);_(@_)</c:formatCode>
                <c:ptCount val="5"/>
                <c:pt idx="0">
                  <c:v>21867</c:v>
                </c:pt>
                <c:pt idx="1">
                  <c:v>21812</c:v>
                </c:pt>
                <c:pt idx="2">
                  <c:v>22033</c:v>
                </c:pt>
                <c:pt idx="3">
                  <c:v>21924</c:v>
                </c:pt>
                <c:pt idx="4">
                  <c:v>21618</c:v>
                </c:pt>
              </c:numCache>
            </c:numRef>
          </c:val>
          <c:smooth val="0"/>
          <c:extLst>
            <c:ext xmlns:c16="http://schemas.microsoft.com/office/drawing/2014/chart" uri="{C3380CC4-5D6E-409C-BE32-E72D297353CC}">
              <c16:uniqueId val="{00000004-EC4E-4804-898E-FA30B19DC9E9}"/>
            </c:ext>
          </c:extLst>
        </c:ser>
        <c:ser>
          <c:idx val="2"/>
          <c:order val="1"/>
          <c:tx>
            <c:strRef>
              <c:f>'Chart 2 FTE Enrollment'!$D$3:$D$4</c:f>
              <c:strCache>
                <c:ptCount val="2"/>
                <c:pt idx="0">
                  <c:v>Regular Enrollment</c:v>
                </c:pt>
              </c:strCache>
            </c:strRef>
          </c:tx>
          <c:marker>
            <c:symbol val="triangle"/>
            <c:size val="5"/>
            <c:spPr>
              <a:scene3d>
                <a:camera prst="orthographicFront"/>
                <a:lightRig rig="threePt" dir="t"/>
              </a:scene3d>
              <a:sp3d>
                <a:bevelT h="50800"/>
                <a:bevelB/>
              </a:sp3d>
            </c:spPr>
          </c:marker>
          <c:dLbls>
            <c:spPr>
              <a:noFill/>
              <a:ln>
                <a:noFill/>
              </a:ln>
              <a:effectLst/>
            </c:spPr>
            <c:txPr>
              <a:bodyPr wrap="square" lIns="0" tIns="0" rIns="0" bIns="0" anchor="ctr">
                <a:spAutoFit/>
              </a:bodyPr>
              <a:lstStyle/>
              <a:p>
                <a:pPr>
                  <a:defRPr sz="900"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'Chart 2 FTE Enrollment'!$A$5:$A$9</c:f>
              <c:strCache>
                <c:ptCount val="5"/>
                <c:pt idx="0">
                  <c:v>Fall 2016</c:v>
                </c:pt>
                <c:pt idx="1">
                  <c:v>Fall 2017</c:v>
                </c:pt>
                <c:pt idx="2">
                  <c:v>Fall 2018</c:v>
                </c:pt>
                <c:pt idx="3">
                  <c:v>Fall 2019</c:v>
                </c:pt>
                <c:pt idx="4">
                  <c:v>Fall 2020</c:v>
                </c:pt>
              </c:strCache>
            </c:strRef>
          </c:cat>
          <c:val>
            <c:numRef>
              <c:f>'Chart 2 FTE Enrollment'!$D$5:$D$9</c:f>
              <c:numCache>
                <c:formatCode>_(* #,##0_);_(* \(#,##0\);_(* "-"??_);_(@_)</c:formatCode>
                <c:ptCount val="5"/>
                <c:pt idx="0">
                  <c:v>21048</c:v>
                </c:pt>
                <c:pt idx="1">
                  <c:v>21085</c:v>
                </c:pt>
                <c:pt idx="2">
                  <c:v>21119</c:v>
                </c:pt>
                <c:pt idx="3">
                  <c:v>20882</c:v>
                </c:pt>
                <c:pt idx="4">
                  <c:v>20612</c:v>
                </c:pt>
              </c:numCache>
            </c:numRef>
          </c:val>
          <c:smooth val="0"/>
          <c:extLst>
            <c:ext xmlns:c16="http://schemas.microsoft.com/office/drawing/2014/chart" uri="{C3380CC4-5D6E-409C-BE32-E72D297353CC}">
              <c16:uniqueId val="{00000005-EC4E-4804-898E-FA30B19DC9E9}"/>
            </c:ext>
          </c:extLst>
        </c:ser>
        <c:ser>
          <c:idx val="1"/>
          <c:order val="2"/>
          <c:tx>
            <c:strRef>
              <c:f>'Chart 2 FTE Enrollment'!$C$3:$C$4</c:f>
              <c:strCache>
                <c:ptCount val="2"/>
                <c:pt idx="0">
                  <c:v>Early College</c:v>
                </c:pt>
              </c:strCache>
            </c:strRef>
          </c:tx>
          <c:marker>
            <c:symbol val="square"/>
            <c:size val="5"/>
            <c:spPr>
              <a:scene3d>
                <a:camera prst="orthographicFront"/>
                <a:lightRig rig="threePt" dir="t"/>
              </a:scene3d>
              <a:sp3d>
                <a:bevelT h="50800"/>
                <a:bevelB/>
              </a:sp3d>
            </c:spPr>
          </c:marker>
          <c:dLbls>
            <c:spPr>
              <a:noFill/>
              <a:ln>
                <a:noFill/>
              </a:ln>
              <a:effectLst/>
            </c:spPr>
            <c:txPr>
              <a:bodyPr wrap="square" lIns="0" tIns="0" rIns="0" bIns="0" anchor="ctr">
                <a:spAutoFit/>
              </a:bodyPr>
              <a:lstStyle/>
              <a:p>
                <a:pPr>
                  <a:defRPr sz="9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'Chart 2 FTE Enrollment'!$A$5:$A$9</c:f>
              <c:strCache>
                <c:ptCount val="5"/>
                <c:pt idx="0">
                  <c:v>Fall 2016</c:v>
                </c:pt>
                <c:pt idx="1">
                  <c:v>Fall 2017</c:v>
                </c:pt>
                <c:pt idx="2">
                  <c:v>Fall 2018</c:v>
                </c:pt>
                <c:pt idx="3">
                  <c:v>Fall 2019</c:v>
                </c:pt>
                <c:pt idx="4">
                  <c:v>Fall 2020</c:v>
                </c:pt>
              </c:strCache>
            </c:strRef>
          </c:cat>
          <c:val>
            <c:numRef>
              <c:f>'Chart 2 FTE Enrollment'!$C$5:$C$9</c:f>
              <c:numCache>
                <c:formatCode>_(* #,##0_);_(* \(#,##0\);_(* "-"??_);_(@_)</c:formatCode>
                <c:ptCount val="5"/>
                <c:pt idx="0">
                  <c:v>819</c:v>
                </c:pt>
                <c:pt idx="1">
                  <c:v>727</c:v>
                </c:pt>
                <c:pt idx="2">
                  <c:v>914</c:v>
                </c:pt>
                <c:pt idx="3">
                  <c:v>1042</c:v>
                </c:pt>
                <c:pt idx="4">
                  <c:v>1006</c:v>
                </c:pt>
              </c:numCache>
            </c:numRef>
          </c:val>
          <c:smooth val="0"/>
          <c:extLst>
            <c:ext xmlns:c16="http://schemas.microsoft.com/office/drawing/2014/chart" uri="{C3380CC4-5D6E-409C-BE32-E72D297353CC}">
              <c16:uniqueId val="{00000006-EC4E-4804-898E-FA30B19DC9E9}"/>
            </c:ext>
          </c:extLst>
        </c:ser>
        <c:dLbls>
          <c:dLblPos val="t"/>
          <c:showLegendKey val="0"/>
          <c:showVal val="1"/>
          <c:showCatName val="0"/>
          <c:showSerName val="0"/>
          <c:showPercent val="0"/>
          <c:showBubbleSize val="0"/>
        </c:dLbls>
        <c:marker val="1"/>
        <c:smooth val="0"/>
        <c:axId val="1047093920"/>
        <c:axId val="1047093088"/>
      </c:lineChart>
      <c:catAx>
        <c:axId val="104709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47093088"/>
        <c:crosses val="autoZero"/>
        <c:auto val="1"/>
        <c:lblAlgn val="ctr"/>
        <c:lblOffset val="100"/>
        <c:noMultiLvlLbl val="0"/>
      </c:catAx>
      <c:valAx>
        <c:axId val="1047093088"/>
        <c:scaling>
          <c:orientation val="minMax"/>
          <c:max val="2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47093920"/>
        <c:crosses val="autoZero"/>
        <c:crossBetween val="between"/>
        <c:majorUnit val="2500"/>
      </c:valAx>
      <c:spPr>
        <a:noFill/>
        <a:ln>
          <a:noFill/>
        </a:ln>
        <a:effectLst/>
      </c:spPr>
    </c:plotArea>
    <c:legend>
      <c:legendPos val="b"/>
      <c:overlay val="0"/>
      <c:txPr>
        <a:bodyPr/>
        <a:lstStyle/>
        <a:p>
          <a:pPr>
            <a:defRPr sz="900"/>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3: FY21 Student Comprehensive Cost of Education - Averages</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a:scene3d>
              <a:camera prst="orthographicFront"/>
              <a:lightRig rig="threePt" dir="t"/>
            </a:scene3d>
            <a:sp3d>
              <a:bevelT h="50800"/>
            </a:sp3d>
          </c:spPr>
          <c:invertIfNegative val="0"/>
          <c:dPt>
            <c:idx val="0"/>
            <c:invertIfNegative val="0"/>
            <c:bubble3D val="0"/>
            <c:spPr>
              <a:solidFill>
                <a:srgbClr val="00688D"/>
              </a:solidFill>
              <a:ln>
                <a:noFill/>
              </a:ln>
              <a:effectLst/>
              <a:scene3d>
                <a:camera prst="orthographicFront"/>
                <a:lightRig rig="threePt" dir="t"/>
              </a:scene3d>
              <a:sp3d>
                <a:bevelT h="50800"/>
              </a:sp3d>
            </c:spPr>
            <c:extLst>
              <c:ext xmlns:c16="http://schemas.microsoft.com/office/drawing/2014/chart" uri="{C3380CC4-5D6E-409C-BE32-E72D297353CC}">
                <c16:uniqueId val="{00000001-5BA3-4819-AD0F-C04923F81CE4}"/>
              </c:ext>
            </c:extLst>
          </c:dPt>
          <c:dPt>
            <c:idx val="1"/>
            <c:invertIfNegative val="0"/>
            <c:bubble3D val="0"/>
            <c:spPr>
              <a:solidFill>
                <a:srgbClr val="00688D"/>
              </a:solidFill>
              <a:ln>
                <a:noFill/>
              </a:ln>
              <a:effectLst/>
              <a:scene3d>
                <a:camera prst="orthographicFront"/>
                <a:lightRig rig="threePt" dir="t"/>
              </a:scene3d>
              <a:sp3d>
                <a:bevelT h="50800"/>
              </a:sp3d>
            </c:spPr>
            <c:extLst>
              <c:ext xmlns:c16="http://schemas.microsoft.com/office/drawing/2014/chart" uri="{C3380CC4-5D6E-409C-BE32-E72D297353CC}">
                <c16:uniqueId val="{00000003-5BA3-4819-AD0F-C04923F81CE4}"/>
              </c:ext>
            </c:extLst>
          </c:dPt>
          <c:dPt>
            <c:idx val="2"/>
            <c:invertIfNegative val="0"/>
            <c:bubble3D val="0"/>
            <c:spPr>
              <a:solidFill>
                <a:srgbClr val="00688D"/>
              </a:solidFill>
              <a:ln>
                <a:noFill/>
              </a:ln>
              <a:effectLst/>
              <a:scene3d>
                <a:camera prst="orthographicFront"/>
                <a:lightRig rig="threePt" dir="t"/>
              </a:scene3d>
              <a:sp3d>
                <a:bevelT h="50800"/>
              </a:sp3d>
            </c:spPr>
            <c:extLst>
              <c:ext xmlns:c16="http://schemas.microsoft.com/office/drawing/2014/chart" uri="{C3380CC4-5D6E-409C-BE32-E72D297353CC}">
                <c16:uniqueId val="{00000005-5BA3-4819-AD0F-C04923F81CE4}"/>
              </c:ext>
            </c:extLst>
          </c:dPt>
          <c:dPt>
            <c:idx val="3"/>
            <c:invertIfNegative val="0"/>
            <c:bubble3D val="0"/>
            <c:spPr>
              <a:solidFill>
                <a:srgbClr val="00688D"/>
              </a:solidFill>
              <a:ln>
                <a:noFill/>
              </a:ln>
              <a:effectLst/>
              <a:scene3d>
                <a:camera prst="orthographicFront"/>
                <a:lightRig rig="threePt" dir="t"/>
              </a:scene3d>
              <a:sp3d>
                <a:bevelT h="50800"/>
              </a:sp3d>
            </c:spPr>
            <c:extLst>
              <c:ext xmlns:c16="http://schemas.microsoft.com/office/drawing/2014/chart" uri="{C3380CC4-5D6E-409C-BE32-E72D297353CC}">
                <c16:uniqueId val="{00000007-5BA3-4819-AD0F-C04923F81CE4}"/>
              </c:ext>
            </c:extLst>
          </c:dPt>
          <c:dPt>
            <c:idx val="4"/>
            <c:invertIfNegative val="0"/>
            <c:bubble3D val="0"/>
            <c:spPr>
              <a:solidFill>
                <a:srgbClr val="8CB8DC"/>
              </a:solidFill>
              <a:ln>
                <a:noFill/>
              </a:ln>
              <a:effectLst/>
              <a:scene3d>
                <a:camera prst="orthographicFront"/>
                <a:lightRig rig="threePt" dir="t"/>
              </a:scene3d>
              <a:sp3d>
                <a:bevelT h="50800"/>
              </a:sp3d>
            </c:spPr>
            <c:extLst>
              <c:ext xmlns:c16="http://schemas.microsoft.com/office/drawing/2014/chart" uri="{C3380CC4-5D6E-409C-BE32-E72D297353CC}">
                <c16:uniqueId val="{00000009-5BA3-4819-AD0F-C04923F81CE4}"/>
              </c:ext>
            </c:extLst>
          </c:dPt>
          <c:dPt>
            <c:idx val="5"/>
            <c:invertIfNegative val="0"/>
            <c:bubble3D val="0"/>
            <c:spPr>
              <a:solidFill>
                <a:srgbClr val="8CB8DC"/>
              </a:solidFill>
              <a:ln>
                <a:noFill/>
              </a:ln>
              <a:effectLst/>
              <a:scene3d>
                <a:camera prst="orthographicFront"/>
                <a:lightRig rig="threePt" dir="t"/>
              </a:scene3d>
              <a:sp3d>
                <a:bevelT h="50800"/>
              </a:sp3d>
            </c:spPr>
            <c:extLst>
              <c:ext xmlns:c16="http://schemas.microsoft.com/office/drawing/2014/chart" uri="{C3380CC4-5D6E-409C-BE32-E72D297353CC}">
                <c16:uniqueId val="{0000000B-5BA3-4819-AD0F-C04923F81CE4}"/>
              </c:ext>
            </c:extLst>
          </c:dPt>
          <c:dPt>
            <c:idx val="6"/>
            <c:invertIfNegative val="0"/>
            <c:bubble3D val="0"/>
            <c:spPr>
              <a:solidFill>
                <a:srgbClr val="8CB8DC"/>
              </a:solidFill>
              <a:ln>
                <a:noFill/>
              </a:ln>
              <a:effectLst/>
              <a:scene3d>
                <a:camera prst="orthographicFront"/>
                <a:lightRig rig="threePt" dir="t"/>
              </a:scene3d>
              <a:sp3d>
                <a:bevelT h="50800"/>
              </a:sp3d>
            </c:spPr>
            <c:extLst>
              <c:ext xmlns:c16="http://schemas.microsoft.com/office/drawing/2014/chart" uri="{C3380CC4-5D6E-409C-BE32-E72D297353CC}">
                <c16:uniqueId val="{0000000D-5BA3-4819-AD0F-C04923F81CE4}"/>
              </c:ext>
            </c:extLst>
          </c:dPt>
          <c:dPt>
            <c:idx val="7"/>
            <c:invertIfNegative val="0"/>
            <c:bubble3D val="0"/>
            <c:spPr>
              <a:solidFill>
                <a:srgbClr val="8CB8DC"/>
              </a:solidFill>
              <a:ln>
                <a:noFill/>
              </a:ln>
              <a:effectLst/>
              <a:scene3d>
                <a:camera prst="orthographicFront"/>
                <a:lightRig rig="threePt" dir="t"/>
              </a:scene3d>
              <a:sp3d>
                <a:bevelT h="50800"/>
              </a:sp3d>
            </c:spPr>
            <c:extLst>
              <c:ext xmlns:c16="http://schemas.microsoft.com/office/drawing/2014/chart" uri="{C3380CC4-5D6E-409C-BE32-E72D297353CC}">
                <c16:uniqueId val="{0000000F-5BA3-4819-AD0F-C04923F81CE4}"/>
              </c:ext>
            </c:extLst>
          </c:dPt>
          <c:dPt>
            <c:idx val="8"/>
            <c:invertIfNegative val="0"/>
            <c:bubble3D val="0"/>
            <c:spPr>
              <a:solidFill>
                <a:srgbClr val="F6A800"/>
              </a:solidFill>
              <a:ln>
                <a:noFill/>
              </a:ln>
              <a:effectLst/>
              <a:scene3d>
                <a:camera prst="orthographicFront"/>
                <a:lightRig rig="threePt" dir="t"/>
              </a:scene3d>
              <a:sp3d>
                <a:bevelT h="50800"/>
              </a:sp3d>
            </c:spPr>
            <c:extLst>
              <c:ext xmlns:c16="http://schemas.microsoft.com/office/drawing/2014/chart" uri="{C3380CC4-5D6E-409C-BE32-E72D297353CC}">
                <c16:uniqueId val="{00000011-5BA3-4819-AD0F-C04923F81CE4}"/>
              </c:ext>
            </c:extLst>
          </c:dPt>
          <c:dPt>
            <c:idx val="9"/>
            <c:invertIfNegative val="0"/>
            <c:bubble3D val="0"/>
            <c:spPr>
              <a:solidFill>
                <a:srgbClr val="F6A800"/>
              </a:solidFill>
              <a:ln>
                <a:noFill/>
              </a:ln>
              <a:effectLst/>
              <a:scene3d>
                <a:camera prst="orthographicFront"/>
                <a:lightRig rig="threePt" dir="t"/>
              </a:scene3d>
              <a:sp3d>
                <a:bevelT h="50800"/>
              </a:sp3d>
            </c:spPr>
            <c:extLst>
              <c:ext xmlns:c16="http://schemas.microsoft.com/office/drawing/2014/chart" uri="{C3380CC4-5D6E-409C-BE32-E72D297353CC}">
                <c16:uniqueId val="{00000013-5BA3-4819-AD0F-C04923F81CE4}"/>
              </c:ext>
            </c:extLst>
          </c:dPt>
          <c:dPt>
            <c:idx val="10"/>
            <c:invertIfNegative val="0"/>
            <c:bubble3D val="0"/>
            <c:spPr>
              <a:solidFill>
                <a:srgbClr val="F6A800"/>
              </a:solidFill>
              <a:ln>
                <a:noFill/>
              </a:ln>
              <a:effectLst/>
              <a:scene3d>
                <a:camera prst="orthographicFront"/>
                <a:lightRig rig="threePt" dir="t"/>
              </a:scene3d>
              <a:sp3d>
                <a:bevelT h="50800"/>
              </a:sp3d>
            </c:spPr>
            <c:extLst>
              <c:ext xmlns:c16="http://schemas.microsoft.com/office/drawing/2014/chart" uri="{C3380CC4-5D6E-409C-BE32-E72D297353CC}">
                <c16:uniqueId val="{00000015-5BA3-4819-AD0F-C04923F81CE4}"/>
              </c:ext>
            </c:extLst>
          </c:dPt>
          <c:dLbls>
            <c:dLbl>
              <c:idx val="3"/>
              <c:layout>
                <c:manualLayout>
                  <c:x val="-8.620689655172413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A3-4819-AD0F-C04923F81CE4}"/>
                </c:ext>
              </c:extLst>
            </c:dLbl>
            <c:dLbl>
              <c:idx val="4"/>
              <c:layout>
                <c:manualLayout>
                  <c:x val="8.620689655172413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A3-4819-AD0F-C04923F81CE4}"/>
                </c:ext>
              </c:extLst>
            </c:dLbl>
            <c:dLbl>
              <c:idx val="5"/>
              <c:layout>
                <c:manualLayout>
                  <c:x val="-8.6206896551724137E-3"/>
                  <c:y val="-4.131873235868557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A3-4819-AD0F-C04923F81CE4}"/>
                </c:ext>
              </c:extLst>
            </c:dLbl>
            <c:dLbl>
              <c:idx val="6"/>
              <c:layout>
                <c:manualLayout>
                  <c:x val="-2.8735632183909099E-3"/>
                  <c:y val="1.35226504394861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A3-4819-AD0F-C04923F81CE4}"/>
                </c:ext>
              </c:extLst>
            </c:dLbl>
            <c:dLbl>
              <c:idx val="9"/>
              <c:layout>
                <c:manualLayout>
                  <c:x val="-1.436770295954385E-2"/>
                  <c:y val="4.50755014649538E-3"/>
                </c:manualLayout>
              </c:layout>
              <c:numFmt formatCode="#,##0" sourceLinked="0"/>
              <c:spPr>
                <a:noFill/>
                <a:ln>
                  <a:noFill/>
                </a:ln>
                <a:effectLst/>
              </c:spPr>
              <c:txPr>
                <a:bodyPr rot="0" spcFirstLastPara="1" vertOverflow="ellipsis" vert="horz" wrap="square" lIns="0" tIns="0" rIns="0" bIns="0" anchor="ctr" anchorCtr="1">
                  <a:no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8.6120237125531712E-2"/>
                      <c:h val="7.2536774688153838E-2"/>
                    </c:manualLayout>
                  </c15:layout>
                </c:ext>
                <c:ext xmlns:c16="http://schemas.microsoft.com/office/drawing/2014/chart" uri="{C3380CC4-5D6E-409C-BE32-E72D297353CC}">
                  <c16:uniqueId val="{00000013-5BA3-4819-AD0F-C04923F81CE4}"/>
                </c:ext>
              </c:extLst>
            </c:dLbl>
            <c:dLbl>
              <c:idx val="10"/>
              <c:numFmt formatCode="#,##0" sourceLinked="0"/>
              <c:spPr>
                <a:noFill/>
                <a:ln>
                  <a:noFill/>
                </a:ln>
                <a:effectLst/>
              </c:spPr>
              <c:txPr>
                <a:bodyPr rot="0" spcFirstLastPara="1" vertOverflow="ellipsis" vert="horz" wrap="square" lIns="0" tIns="0" rIns="0" bIns="0" anchor="ctr" anchorCtr="1">
                  <a:no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5-5BA3-4819-AD0F-C04923F81CE4}"/>
                </c:ext>
              </c:extLst>
            </c:dLbl>
            <c:numFmt formatCode="#,##0" sourceLinked="0"/>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multiLvlStrRef>
              <c:f>'Chart 3 Comp Cost of Ed Ave'!$A$2:$B$12</c:f>
              <c:multiLvlStrCache>
                <c:ptCount val="11"/>
                <c:lvl>
                  <c:pt idx="0">
                    <c:v>   In-State</c:v>
                  </c:pt>
                  <c:pt idx="1">
                    <c:v>   Out-of-State</c:v>
                  </c:pt>
                  <c:pt idx="2">
                    <c:v>   NEBHE </c:v>
                  </c:pt>
                  <c:pt idx="3">
                    <c:v>   Canadian</c:v>
                  </c:pt>
                  <c:pt idx="4">
                    <c:v>   In-State</c:v>
                  </c:pt>
                  <c:pt idx="5">
                    <c:v>   Out-of-State</c:v>
                  </c:pt>
                  <c:pt idx="6">
                    <c:v>   NEBHE</c:v>
                  </c:pt>
                  <c:pt idx="7">
                    <c:v>   Canadian</c:v>
                  </c:pt>
                  <c:pt idx="8">
                    <c:v>   In-State</c:v>
                  </c:pt>
                  <c:pt idx="9">
                    <c:v>   Out-of-State</c:v>
                  </c:pt>
                  <c:pt idx="10">
                    <c:v>   NEBHE/Canadian </c:v>
                  </c:pt>
                </c:lvl>
                <c:lvl>
                  <c:pt idx="0">
                    <c:v>Undergraduate</c:v>
                  </c:pt>
                  <c:pt idx="4">
                    <c:v>Graduate</c:v>
                  </c:pt>
                  <c:pt idx="8">
                    <c:v>Law School</c:v>
                  </c:pt>
                </c:lvl>
              </c:multiLvlStrCache>
            </c:multiLvlStrRef>
          </c:cat>
          <c:val>
            <c:numRef>
              <c:f>'Chart 3 Comp Cost of Ed Ave'!$C$2:$C$12</c:f>
              <c:numCache>
                <c:formatCode>"$"#,##0</c:formatCode>
                <c:ptCount val="11"/>
                <c:pt idx="0">
                  <c:v>18877</c:v>
                </c:pt>
                <c:pt idx="1">
                  <c:v>29337</c:v>
                </c:pt>
                <c:pt idx="2">
                  <c:v>23979</c:v>
                </c:pt>
                <c:pt idx="3">
                  <c:v>18877</c:v>
                </c:pt>
                <c:pt idx="4">
                  <c:v>18683</c:v>
                </c:pt>
                <c:pt idx="5">
                  <c:v>27251</c:v>
                </c:pt>
                <c:pt idx="6">
                  <c:v>24097</c:v>
                </c:pt>
                <c:pt idx="7">
                  <c:v>18787</c:v>
                </c:pt>
                <c:pt idx="8">
                  <c:v>33310</c:v>
                </c:pt>
                <c:pt idx="9">
                  <c:v>44800</c:v>
                </c:pt>
                <c:pt idx="10">
                  <c:v>41770</c:v>
                </c:pt>
              </c:numCache>
            </c:numRef>
          </c:val>
          <c:extLst>
            <c:ext xmlns:c16="http://schemas.microsoft.com/office/drawing/2014/chart" uri="{C3380CC4-5D6E-409C-BE32-E72D297353CC}">
              <c16:uniqueId val="{00000016-5BA3-4819-AD0F-C04923F81CE4}"/>
            </c:ext>
          </c:extLst>
        </c:ser>
        <c:dLbls>
          <c:showLegendKey val="0"/>
          <c:showVal val="0"/>
          <c:showCatName val="0"/>
          <c:showSerName val="0"/>
          <c:showPercent val="0"/>
          <c:showBubbleSize val="0"/>
        </c:dLbls>
        <c:gapWidth val="219"/>
        <c:overlap val="-27"/>
        <c:axId val="1240815360"/>
        <c:axId val="1233515808"/>
      </c:barChart>
      <c:catAx>
        <c:axId val="124081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33515808"/>
        <c:crosses val="autoZero"/>
        <c:auto val="1"/>
        <c:lblAlgn val="ctr"/>
        <c:lblOffset val="100"/>
        <c:noMultiLvlLbl val="0"/>
      </c:catAx>
      <c:valAx>
        <c:axId val="1233515808"/>
        <c:scaling>
          <c:orientation val="minMax"/>
          <c:min val="100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40815360"/>
        <c:crosses val="autoZero"/>
        <c:crossBetween val="between"/>
        <c:majorUnit val="5000"/>
        <c:minorUnit val="1000"/>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4: Fair Value of MIP Investments by Entity
</a:t>
            </a:r>
            <a:r>
              <a:rPr lang="en-US" sz="1100" b="1">
                <a:solidFill>
                  <a:schemeClr val="tx1">
                    <a:lumMod val="95000"/>
                    <a:lumOff val="5000"/>
                  </a:schemeClr>
                </a:solidFill>
              </a:rPr>
              <a:t>(In millions)</a:t>
            </a:r>
          </a:p>
        </c:rich>
      </c:tx>
      <c:overlay val="0"/>
      <c:spPr>
        <a:noFill/>
        <a:ln>
          <a:noFill/>
        </a:ln>
        <a:effectLst/>
      </c:spPr>
    </c:title>
    <c:autoTitleDeleted val="0"/>
    <c:plotArea>
      <c:layout/>
      <c:barChart>
        <c:barDir val="col"/>
        <c:grouping val="clustered"/>
        <c:varyColors val="0"/>
        <c:ser>
          <c:idx val="0"/>
          <c:order val="0"/>
          <c:tx>
            <c:strRef>
              <c:f>'Report Chart 4 MV of MIP'!$B$3</c:f>
              <c:strCache>
                <c:ptCount val="1"/>
                <c:pt idx="0">
                  <c:v>UMS Endowments</c:v>
                </c:pt>
              </c:strCache>
            </c:strRef>
          </c:tx>
          <c:spPr>
            <a:solidFill>
              <a:srgbClr val="00688D"/>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4 MV of MIP'!$A$4:$A$6</c:f>
              <c:numCache>
                <c:formatCode>General</c:formatCode>
                <c:ptCount val="3"/>
                <c:pt idx="0">
                  <c:v>2019</c:v>
                </c:pt>
                <c:pt idx="1">
                  <c:v>2020</c:v>
                </c:pt>
                <c:pt idx="2">
                  <c:v>2021</c:v>
                </c:pt>
              </c:numCache>
            </c:numRef>
          </c:cat>
          <c:val>
            <c:numRef>
              <c:f>'Report Chart 4 MV of MIP'!$B$4:$B$6</c:f>
              <c:numCache>
                <c:formatCode>_("$"* #,##0_);_("$"* \(#,##0\);_("$"* "-"??_);_(@_)</c:formatCode>
                <c:ptCount val="3"/>
                <c:pt idx="0">
                  <c:v>135</c:v>
                </c:pt>
                <c:pt idx="1">
                  <c:v>135</c:v>
                </c:pt>
                <c:pt idx="2">
                  <c:v>161</c:v>
                </c:pt>
              </c:numCache>
            </c:numRef>
          </c:val>
          <c:extLst>
            <c:ext xmlns:c16="http://schemas.microsoft.com/office/drawing/2014/chart" uri="{C3380CC4-5D6E-409C-BE32-E72D297353CC}">
              <c16:uniqueId val="{00000000-3EFB-4568-AF3C-DBC6D297CD03}"/>
            </c:ext>
          </c:extLst>
        </c:ser>
        <c:ser>
          <c:idx val="5"/>
          <c:order val="1"/>
          <c:tx>
            <c:strRef>
              <c:f>'Report Chart 4 MV of MIP'!$C$3</c:f>
              <c:strCache>
                <c:ptCount val="1"/>
                <c:pt idx="0">
                  <c:v>UMS Affiliates Endowments</c:v>
                </c:pt>
              </c:strCache>
            </c:strRef>
          </c:tx>
          <c:spPr>
            <a:scene3d>
              <a:camera prst="orthographicFront"/>
              <a:lightRig rig="threePt" dir="t"/>
            </a:scene3d>
            <a:sp3d>
              <a:bevelT/>
            </a:sp3d>
          </c:spPr>
          <c:invertIfNegative val="0"/>
          <c:dLbls>
            <c:spPr>
              <a:noFill/>
              <a:ln>
                <a:noFill/>
              </a:ln>
              <a:effectLst/>
            </c:spPr>
            <c:txPr>
              <a:bodyPr wrap="square" lIns="0" tIns="0" rIns="0" bIns="0" anchor="ctr">
                <a:spAutoFit/>
              </a:bodyPr>
              <a:lstStyle/>
              <a:p>
                <a:pPr>
                  <a:defRPr sz="9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'Report Chart 4 MV of MIP'!$C$4:$C$6</c:f>
              <c:numCache>
                <c:formatCode>_("$"* #,##0_);_("$"* \(#,##0\);_("$"* "-"??_);_(@_)</c:formatCode>
                <c:ptCount val="3"/>
                <c:pt idx="0">
                  <c:v>25</c:v>
                </c:pt>
                <c:pt idx="1">
                  <c:v>26</c:v>
                </c:pt>
                <c:pt idx="2">
                  <c:v>35</c:v>
                </c:pt>
              </c:numCache>
            </c:numRef>
          </c:val>
          <c:extLst>
            <c:ext xmlns:c16="http://schemas.microsoft.com/office/drawing/2014/chart" uri="{C3380CC4-5D6E-409C-BE32-E72D297353CC}">
              <c16:uniqueId val="{00000001-3EFB-4568-AF3C-DBC6D297CD03}"/>
            </c:ext>
          </c:extLst>
        </c:ser>
        <c:ser>
          <c:idx val="1"/>
          <c:order val="2"/>
          <c:tx>
            <c:strRef>
              <c:f>'Report Chart 4 MV of MIP'!$D$3</c:f>
              <c:strCache>
                <c:ptCount val="1"/>
                <c:pt idx="0">
                  <c:v>OPEB Trust</c:v>
                </c:pt>
              </c:strCache>
            </c:strRef>
          </c:tx>
          <c:spPr>
            <a:solidFill>
              <a:srgbClr val="F6A800"/>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4 MV of MIP'!$A$4:$A$6</c:f>
              <c:numCache>
                <c:formatCode>General</c:formatCode>
                <c:ptCount val="3"/>
                <c:pt idx="0">
                  <c:v>2019</c:v>
                </c:pt>
                <c:pt idx="1">
                  <c:v>2020</c:v>
                </c:pt>
                <c:pt idx="2">
                  <c:v>2021</c:v>
                </c:pt>
              </c:numCache>
            </c:numRef>
          </c:cat>
          <c:val>
            <c:numRef>
              <c:f>'Report Chart 4 MV of MIP'!$D$4:$D$6</c:f>
              <c:numCache>
                <c:formatCode>_("$"* #,##0_);_("$"* \(#,##0\);_("$"* "-"??_);_(@_)</c:formatCode>
                <c:ptCount val="3"/>
                <c:pt idx="0">
                  <c:v>131</c:v>
                </c:pt>
                <c:pt idx="1">
                  <c:v>137</c:v>
                </c:pt>
                <c:pt idx="2">
                  <c:v>180</c:v>
                </c:pt>
              </c:numCache>
            </c:numRef>
          </c:val>
          <c:extLst>
            <c:ext xmlns:c16="http://schemas.microsoft.com/office/drawing/2014/chart" uri="{C3380CC4-5D6E-409C-BE32-E72D297353CC}">
              <c16:uniqueId val="{00000002-3EFB-4568-AF3C-DBC6D297CD03}"/>
            </c:ext>
          </c:extLst>
        </c:ser>
        <c:ser>
          <c:idx val="2"/>
          <c:order val="3"/>
          <c:tx>
            <c:strRef>
              <c:f>'Report Chart 4 MV of MIP'!$E$3</c:f>
              <c:strCache>
                <c:ptCount val="1"/>
                <c:pt idx="0">
                  <c:v>MMA</c:v>
                </c:pt>
              </c:strCache>
            </c:strRef>
          </c:tx>
          <c:spPr>
            <a:solidFill>
              <a:srgbClr val="791134"/>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4 MV of MIP'!$A$4:$A$6</c:f>
              <c:numCache>
                <c:formatCode>General</c:formatCode>
                <c:ptCount val="3"/>
                <c:pt idx="0">
                  <c:v>2019</c:v>
                </c:pt>
                <c:pt idx="1">
                  <c:v>2020</c:v>
                </c:pt>
                <c:pt idx="2">
                  <c:v>2021</c:v>
                </c:pt>
              </c:numCache>
            </c:numRef>
          </c:cat>
          <c:val>
            <c:numRef>
              <c:f>'Report Chart 4 MV of MIP'!$E$4:$E$6</c:f>
              <c:numCache>
                <c:formatCode>_("$"* #,##0_);_("$"* \(#,##0\);_("$"* "-"??_);_(@_)</c:formatCode>
                <c:ptCount val="3"/>
                <c:pt idx="0">
                  <c:v>49</c:v>
                </c:pt>
                <c:pt idx="1">
                  <c:v>51</c:v>
                </c:pt>
                <c:pt idx="2">
                  <c:v>62</c:v>
                </c:pt>
              </c:numCache>
            </c:numRef>
          </c:val>
          <c:extLst>
            <c:ext xmlns:c16="http://schemas.microsoft.com/office/drawing/2014/chart" uri="{C3380CC4-5D6E-409C-BE32-E72D297353CC}">
              <c16:uniqueId val="{00000003-3EFB-4568-AF3C-DBC6D297CD03}"/>
            </c:ext>
          </c:extLst>
        </c:ser>
        <c:ser>
          <c:idx val="3"/>
          <c:order val="4"/>
          <c:tx>
            <c:strRef>
              <c:f>'Report Chart 4 MV of MIP'!$F$3</c:f>
              <c:strCache>
                <c:ptCount val="1"/>
                <c:pt idx="0">
                  <c:v>University of Maine School of Law Foundation</c:v>
                </c:pt>
              </c:strCache>
            </c:strRef>
          </c:tx>
          <c:spPr>
            <a:solidFill>
              <a:srgbClr val="000066"/>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4 MV of MIP'!$A$4:$A$6</c:f>
              <c:numCache>
                <c:formatCode>General</c:formatCode>
                <c:ptCount val="3"/>
                <c:pt idx="0">
                  <c:v>2019</c:v>
                </c:pt>
                <c:pt idx="1">
                  <c:v>2020</c:v>
                </c:pt>
                <c:pt idx="2">
                  <c:v>2021</c:v>
                </c:pt>
              </c:numCache>
            </c:numRef>
          </c:cat>
          <c:val>
            <c:numRef>
              <c:f>'Report Chart 4 MV of MIP'!$F$4:$F$6</c:f>
              <c:numCache>
                <c:formatCode>_("$"* #,##0_);_("$"* \(#,##0\);_("$"* "-"??_);_(@_)</c:formatCode>
                <c:ptCount val="3"/>
                <c:pt idx="0">
                  <c:v>4</c:v>
                </c:pt>
                <c:pt idx="1">
                  <c:v>4</c:v>
                </c:pt>
                <c:pt idx="2">
                  <c:v>5</c:v>
                </c:pt>
              </c:numCache>
            </c:numRef>
          </c:val>
          <c:extLst>
            <c:ext xmlns:c16="http://schemas.microsoft.com/office/drawing/2014/chart" uri="{C3380CC4-5D6E-409C-BE32-E72D297353CC}">
              <c16:uniqueId val="{00000004-3EFB-4568-AF3C-DBC6D297CD03}"/>
            </c:ext>
          </c:extLst>
        </c:ser>
        <c:dLbls>
          <c:dLblPos val="outEnd"/>
          <c:showLegendKey val="0"/>
          <c:showVal val="1"/>
          <c:showCatName val="0"/>
          <c:showSerName val="0"/>
          <c:showPercent val="0"/>
          <c:showBubbleSize val="0"/>
        </c:dLbls>
        <c:gapWidth val="143"/>
        <c:axId val="1238056320"/>
        <c:axId val="1238056736"/>
      </c:barChart>
      <c:barChart>
        <c:barDir val="col"/>
        <c:grouping val="clustered"/>
        <c:varyColors val="0"/>
        <c:ser>
          <c:idx val="4"/>
          <c:order val="5"/>
          <c:tx>
            <c:strRef>
              <c:f>'Report Chart 4 MV of MIP'!$G$3</c:f>
              <c:strCache>
                <c:ptCount val="1"/>
                <c:pt idx="0">
                  <c:v>Total</c:v>
                </c:pt>
              </c:strCache>
            </c:strRef>
          </c:tx>
          <c:spPr>
            <a:solidFill>
              <a:srgbClr val="8CB8DC">
                <a:alpha val="25000"/>
              </a:srgbClr>
            </a:solidFill>
            <a:ln>
              <a:solidFill>
                <a:srgbClr val="8CB8DC">
                  <a:alpha val="50000"/>
                </a:srgbClr>
              </a:solidFill>
            </a:ln>
            <a:effectLst/>
            <a:scene3d>
              <a:camera prst="orthographicFront"/>
              <a:lightRig rig="threePt" dir="t"/>
            </a:scene3d>
            <a:sp3d>
              <a:bevelT h="50800"/>
            </a:sp3d>
          </c:spPr>
          <c:invertIfNegative val="0"/>
          <c:dPt>
            <c:idx val="0"/>
            <c:invertIfNegative val="0"/>
            <c:bubble3D val="0"/>
            <c:spPr>
              <a:solidFill>
                <a:srgbClr val="8CB8DC">
                  <a:alpha val="25000"/>
                </a:srgbClr>
              </a:solidFill>
              <a:ln>
                <a:solidFill>
                  <a:srgbClr val="8CB8DC">
                    <a:alpha val="58000"/>
                  </a:srgbClr>
                </a:solidFill>
              </a:ln>
              <a:effectLst/>
              <a:scene3d>
                <a:camera prst="orthographicFront"/>
                <a:lightRig rig="threePt" dir="t"/>
              </a:scene3d>
              <a:sp3d>
                <a:bevelT h="50800"/>
              </a:sp3d>
            </c:spPr>
            <c:extLst>
              <c:ext xmlns:c16="http://schemas.microsoft.com/office/drawing/2014/chart" uri="{C3380CC4-5D6E-409C-BE32-E72D297353CC}">
                <c16:uniqueId val="{00000006-3EFB-4568-AF3C-DBC6D297CD03}"/>
              </c:ext>
            </c:extLst>
          </c:dPt>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4 MV of MIP'!$A$4:$A$6</c:f>
              <c:numCache>
                <c:formatCode>General</c:formatCode>
                <c:ptCount val="3"/>
                <c:pt idx="0">
                  <c:v>2019</c:v>
                </c:pt>
                <c:pt idx="1">
                  <c:v>2020</c:v>
                </c:pt>
                <c:pt idx="2">
                  <c:v>2021</c:v>
                </c:pt>
              </c:numCache>
            </c:numRef>
          </c:cat>
          <c:val>
            <c:numRef>
              <c:f>'Report Chart 4 MV of MIP'!$G$4:$G$6</c:f>
              <c:numCache>
                <c:formatCode>_("$"* #,##0_);_("$"* \(#,##0\);_("$"* "-"??_);_(@_)</c:formatCode>
                <c:ptCount val="3"/>
                <c:pt idx="0">
                  <c:v>344</c:v>
                </c:pt>
                <c:pt idx="1">
                  <c:v>353</c:v>
                </c:pt>
                <c:pt idx="2">
                  <c:v>443</c:v>
                </c:pt>
              </c:numCache>
            </c:numRef>
          </c:val>
          <c:extLst>
            <c:ext xmlns:c16="http://schemas.microsoft.com/office/drawing/2014/chart" uri="{C3380CC4-5D6E-409C-BE32-E72D297353CC}">
              <c16:uniqueId val="{00000007-3EFB-4568-AF3C-DBC6D297CD03}"/>
            </c:ext>
          </c:extLst>
        </c:ser>
        <c:dLbls>
          <c:dLblPos val="outEnd"/>
          <c:showLegendKey val="0"/>
          <c:showVal val="1"/>
          <c:showCatName val="0"/>
          <c:showSerName val="0"/>
          <c:showPercent val="0"/>
          <c:showBubbleSize val="0"/>
        </c:dLbls>
        <c:gapWidth val="27"/>
        <c:axId val="1258629568"/>
        <c:axId val="1206044976"/>
      </c:barChart>
      <c:catAx>
        <c:axId val="123805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238056736"/>
        <c:crosses val="autoZero"/>
        <c:auto val="1"/>
        <c:lblAlgn val="ctr"/>
        <c:lblOffset val="100"/>
        <c:noMultiLvlLbl val="0"/>
      </c:catAx>
      <c:valAx>
        <c:axId val="1238056736"/>
        <c:scaling>
          <c:orientation val="minMax"/>
          <c:max val="450"/>
          <c:min val="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38056320"/>
        <c:crosses val="autoZero"/>
        <c:crossBetween val="between"/>
      </c:valAx>
      <c:valAx>
        <c:axId val="1206044976"/>
        <c:scaling>
          <c:orientation val="minMax"/>
        </c:scaling>
        <c:delete val="1"/>
        <c:axPos val="r"/>
        <c:numFmt formatCode="_(&quot;$&quot;* #,##0_);_(&quot;$&quot;* \(#,##0\);_(&quot;$&quot;* &quot;-&quot;??_);_(@_)" sourceLinked="1"/>
        <c:majorTickMark val="out"/>
        <c:minorTickMark val="none"/>
        <c:tickLblPos val="nextTo"/>
        <c:crossAx val="1258629568"/>
        <c:crosses val="max"/>
        <c:crossBetween val="between"/>
      </c:valAx>
      <c:catAx>
        <c:axId val="1258629568"/>
        <c:scaling>
          <c:orientation val="minMax"/>
        </c:scaling>
        <c:delete val="1"/>
        <c:axPos val="b"/>
        <c:numFmt formatCode="General" sourceLinked="1"/>
        <c:majorTickMark val="out"/>
        <c:minorTickMark val="none"/>
        <c:tickLblPos val="nextTo"/>
        <c:crossAx val="1206044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300" b="1" i="0" u="none" strike="noStrike" kern="1200" cap="all" spc="0" normalizeH="0" baseline="0">
                <a:solidFill>
                  <a:schemeClr val="tx1">
                    <a:lumMod val="95000"/>
                    <a:lumOff val="5000"/>
                  </a:schemeClr>
                </a:solidFill>
                <a:latin typeface="+mn-lt"/>
                <a:ea typeface="+mn-ea"/>
                <a:cs typeface="+mn-cs"/>
              </a:defRPr>
            </a:pPr>
            <a:r>
              <a:rPr lang="en-US" sz="1200" b="1" i="0" cap="none" spc="0" baseline="0">
                <a:solidFill>
                  <a:schemeClr val="tx1">
                    <a:lumMod val="95000"/>
                    <a:lumOff val="5000"/>
                  </a:schemeClr>
                </a:solidFill>
                <a:latin typeface="Calibri" panose="020F0502020204030204" pitchFamily="34" charset="0"/>
              </a:rPr>
              <a:t>Chart 5: Asset Allocation Percentages for Managed Investment Pool</a:t>
            </a:r>
          </a:p>
        </c:rich>
      </c:tx>
      <c:layout>
        <c:manualLayout>
          <c:xMode val="edge"/>
          <c:yMode val="edge"/>
          <c:x val="0.17360421293492156"/>
          <c:y val="1.5508373953255845E-2"/>
        </c:manualLayout>
      </c:layout>
      <c:overlay val="1"/>
      <c:spPr>
        <a:noFill/>
        <a:ln>
          <a:noFill/>
        </a:ln>
        <a:effectLst/>
      </c:spPr>
      <c:txPr>
        <a:bodyPr rot="0" spcFirstLastPara="1" vertOverflow="ellipsis" vert="horz" wrap="square" anchor="ctr" anchorCtr="1"/>
        <a:lstStyle/>
        <a:p>
          <a:pPr algn="ctr">
            <a:defRPr sz="1300" b="1" i="0" u="none" strike="noStrike" kern="1200" cap="all" spc="0" normalizeH="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1085646388795995"/>
          <c:y val="0.21401045296733326"/>
          <c:w val="0.83335205876938545"/>
          <c:h val="0.6504989007179941"/>
        </c:manualLayout>
      </c:layout>
      <c:areaChart>
        <c:grouping val="stacked"/>
        <c:varyColors val="0"/>
        <c:ser>
          <c:idx val="7"/>
          <c:order val="0"/>
          <c:tx>
            <c:strRef>
              <c:f>'Report Chart 5 Asset Alloc MIP'!$A$12</c:f>
              <c:strCache>
                <c:ptCount val="1"/>
                <c:pt idx="0">
                  <c:v>Cash</c:v>
                </c:pt>
              </c:strCache>
            </c:strRef>
          </c:tx>
          <c:spPr>
            <a:solidFill>
              <a:schemeClr val="accent2">
                <a:lumMod val="60000"/>
              </a:schemeClr>
            </a:solidFill>
            <a:ln>
              <a:noFill/>
            </a:ln>
            <a:effectLst/>
          </c:spPr>
          <c:dLbls>
            <c:dLbl>
              <c:idx val="0"/>
              <c:layout>
                <c:manualLayout>
                  <c:x val="1.7094017094017096E-2"/>
                  <c:y val="-1.190476190476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6E-413B-8B2B-15C940E0E633}"/>
                </c:ext>
              </c:extLst>
            </c:dLbl>
            <c:dLbl>
              <c:idx val="4"/>
              <c:layout>
                <c:manualLayout>
                  <c:x val="-1.0683760683760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6E-413B-8B2B-15C940E0E633}"/>
                </c:ext>
              </c:extLst>
            </c:dLbl>
            <c:spPr>
              <a:noFill/>
              <a:ln>
                <a:noFill/>
              </a:ln>
              <a:effectLst/>
            </c:spPr>
            <c:txPr>
              <a:bodyPr rot="0" spcFirstLastPara="1" vertOverflow="ellipsis" vert="horz" wrap="square" lIns="0" tIns="0" rIns="0" bIns="0" anchor="b" anchorCtr="1">
                <a:spAutoFit/>
              </a:bodyPr>
              <a:lstStyle/>
              <a:p>
                <a:pPr>
                  <a:defRPr sz="8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2017</c:v>
                </c:pt>
                <c:pt idx="1">
                  <c:v>2018</c:v>
                </c:pt>
                <c:pt idx="2">
                  <c:v>2019</c:v>
                </c:pt>
                <c:pt idx="3">
                  <c:v>2020</c:v>
                </c:pt>
                <c:pt idx="4">
                  <c:v>2021</c:v>
                </c:pt>
              </c:numCache>
            </c:numRef>
          </c:cat>
          <c:val>
            <c:numRef>
              <c:f>'Report Chart 5 Asset Alloc MIP'!$B$12:$F$12</c:f>
              <c:numCache>
                <c:formatCode>0%</c:formatCode>
                <c:ptCount val="5"/>
                <c:pt idx="0">
                  <c:v>0</c:v>
                </c:pt>
                <c:pt idx="1">
                  <c:v>0</c:v>
                </c:pt>
                <c:pt idx="2">
                  <c:v>0</c:v>
                </c:pt>
                <c:pt idx="3">
                  <c:v>0.02</c:v>
                </c:pt>
                <c:pt idx="4">
                  <c:v>0</c:v>
                </c:pt>
              </c:numCache>
            </c:numRef>
          </c:val>
          <c:extLst>
            <c:ext xmlns:c16="http://schemas.microsoft.com/office/drawing/2014/chart" uri="{C3380CC4-5D6E-409C-BE32-E72D297353CC}">
              <c16:uniqueId val="{00000000-B205-4C70-9565-AC8669295ACC}"/>
            </c:ext>
          </c:extLst>
        </c:ser>
        <c:ser>
          <c:idx val="0"/>
          <c:order val="1"/>
          <c:tx>
            <c:strRef>
              <c:f>'Report Chart 5 Asset Alloc MIP'!$A$4</c:f>
              <c:strCache>
                <c:ptCount val="1"/>
                <c:pt idx="0">
                  <c:v>Domestic Equities</c:v>
                </c:pt>
              </c:strCache>
            </c:strRef>
          </c:tx>
          <c:spPr>
            <a:solidFill>
              <a:srgbClr val="63D0CD"/>
            </a:solidFill>
            <a:ln>
              <a:noFill/>
            </a:ln>
            <a:effectLst/>
            <a:scene3d>
              <a:camera prst="orthographicFront"/>
              <a:lightRig rig="threePt" dir="t"/>
            </a:scene3d>
            <a:sp3d>
              <a:bevelT h="50800"/>
            </a:sp3d>
          </c:spPr>
          <c:dLbls>
            <c:dLbl>
              <c:idx val="0"/>
              <c:layout>
                <c:manualLayout>
                  <c:x val="1.4957264957264937E-2"/>
                  <c:y val="-3.968253968253968E-3"/>
                </c:manualLayout>
              </c:layout>
              <c:tx>
                <c:rich>
                  <a:bodyPr/>
                  <a:lstStyle/>
                  <a:p>
                    <a:fld id="{B379B1BC-5995-4A47-9EE4-BE428B5671AE}"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05-4C70-9565-AC8669295ACC}"/>
                </c:ext>
              </c:extLst>
            </c:dLbl>
            <c:dLbl>
              <c:idx val="1"/>
              <c:layout>
                <c:manualLayout>
                  <c:x val="-1.4957264957264958E-2"/>
                  <c:y val="0"/>
                </c:manualLayout>
              </c:layout>
              <c:tx>
                <c:rich>
                  <a:bodyPr/>
                  <a:lstStyle/>
                  <a:p>
                    <a:fld id="{00F42FD8-565B-4796-BD5B-28D0E2F50149}"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205-4C70-9565-AC8669295ACC}"/>
                </c:ext>
              </c:extLst>
            </c:dLbl>
            <c:dLbl>
              <c:idx val="2"/>
              <c:layout>
                <c:manualLayout>
                  <c:x val="-2.18760109042440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05-4C70-9565-AC8669295ACC}"/>
                </c:ext>
              </c:extLst>
            </c:dLbl>
            <c:dLbl>
              <c:idx val="4"/>
              <c:layout>
                <c:manualLayout>
                  <c:x val="-1.49572649572651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6E-413B-8B2B-15C940E0E633}"/>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prstDash val="solid"/>
                      <a:round/>
                    </a:ln>
                    <a:effectLst/>
                  </c:spPr>
                </c15:leaderLines>
              </c:ext>
            </c:extLst>
          </c:dLbls>
          <c:cat>
            <c:numRef>
              <c:f>'Report Chart 5 Asset Alloc MIP'!$B$3:$F$3</c:f>
              <c:numCache>
                <c:formatCode>General</c:formatCode>
                <c:ptCount val="5"/>
                <c:pt idx="0">
                  <c:v>2017</c:v>
                </c:pt>
                <c:pt idx="1">
                  <c:v>2018</c:v>
                </c:pt>
                <c:pt idx="2">
                  <c:v>2019</c:v>
                </c:pt>
                <c:pt idx="3">
                  <c:v>2020</c:v>
                </c:pt>
                <c:pt idx="4">
                  <c:v>2021</c:v>
                </c:pt>
              </c:numCache>
            </c:numRef>
          </c:cat>
          <c:val>
            <c:numRef>
              <c:f>'Report Chart 5 Asset Alloc MIP'!$B$4:$F$4</c:f>
              <c:numCache>
                <c:formatCode>0%</c:formatCode>
                <c:ptCount val="5"/>
                <c:pt idx="0">
                  <c:v>0.24</c:v>
                </c:pt>
                <c:pt idx="1">
                  <c:v>0.25</c:v>
                </c:pt>
                <c:pt idx="2">
                  <c:v>0.3</c:v>
                </c:pt>
                <c:pt idx="3">
                  <c:v>0.24</c:v>
                </c:pt>
                <c:pt idx="4">
                  <c:v>0.28999999999999998</c:v>
                </c:pt>
              </c:numCache>
            </c:numRef>
          </c:val>
          <c:extLst>
            <c:ext xmlns:c16="http://schemas.microsoft.com/office/drawing/2014/chart" uri="{C3380CC4-5D6E-409C-BE32-E72D297353CC}">
              <c16:uniqueId val="{00000004-B205-4C70-9565-AC8669295ACC}"/>
            </c:ext>
          </c:extLst>
        </c:ser>
        <c:ser>
          <c:idx val="6"/>
          <c:order val="2"/>
          <c:tx>
            <c:strRef>
              <c:f>'Report Chart 5 Asset Alloc MIP'!$A$11</c:f>
              <c:strCache>
                <c:ptCount val="1"/>
                <c:pt idx="0">
                  <c:v>Private Equity</c:v>
                </c:pt>
              </c:strCache>
            </c:strRef>
          </c:tx>
          <c:spPr>
            <a:solidFill>
              <a:schemeClr val="accent1">
                <a:lumMod val="60000"/>
              </a:schemeClr>
            </a:solidFill>
            <a:ln>
              <a:noFill/>
            </a:ln>
            <a:effectLst/>
            <a:scene3d>
              <a:camera prst="orthographicFront"/>
              <a:lightRig rig="threePt" dir="t"/>
            </a:scene3d>
            <a:sp3d>
              <a:bevelT h="50800"/>
            </a:sp3d>
          </c:spPr>
          <c:dLbls>
            <c:dLbl>
              <c:idx val="0"/>
              <c:layout>
                <c:manualLayout>
                  <c:x val="1.7094017094017096E-2"/>
                  <c:y val="0"/>
                </c:manualLayout>
              </c:layout>
              <c:tx>
                <c:rich>
                  <a:bodyPr/>
                  <a:lstStyle/>
                  <a:p>
                    <a:fld id="{A6AD7ED0-67E4-4D00-AC77-B003CF16610B}"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205-4C70-9565-AC8669295ACC}"/>
                </c:ext>
              </c:extLst>
            </c:dLbl>
            <c:dLbl>
              <c:idx val="1"/>
              <c:layout>
                <c:manualLayout>
                  <c:x val="-1.282051282051282E-2"/>
                  <c:y val="-1.2652257796790056E-16"/>
                </c:manualLayout>
              </c:layout>
              <c:tx>
                <c:rich>
                  <a:bodyPr/>
                  <a:lstStyle/>
                  <a:p>
                    <a:fld id="{09E4C67C-065C-47E1-AD0A-08A498744B96}"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205-4C70-9565-AC8669295ACC}"/>
                </c:ext>
              </c:extLst>
            </c:dLbl>
            <c:dLbl>
              <c:idx val="2"/>
              <c:layout>
                <c:manualLayout>
                  <c:x val="-1.3125606542546429E-2"/>
                  <c:y val="6.6050988242404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05-4C70-9565-AC8669295ACC}"/>
                </c:ext>
              </c:extLst>
            </c:dLbl>
            <c:dLbl>
              <c:idx val="4"/>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6E-413B-8B2B-15C940E0E633}"/>
                </c:ext>
              </c:extLst>
            </c:dLbl>
            <c:spPr>
              <a:noFill/>
              <a:ln>
                <a:noFill/>
              </a:ln>
              <a:effectLst/>
            </c:spPr>
            <c:txPr>
              <a:bodyPr rot="0" spcFirstLastPara="1" vertOverflow="ellipsis" vert="horz" wrap="square" lIns="0" tIns="0" rIns="0" bIns="0" anchor="t" anchorCtr="0">
                <a:spAutoFit/>
              </a:bodyPr>
              <a:lstStyle/>
              <a:p>
                <a:pPr>
                  <a:defRPr sz="8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2017</c:v>
                </c:pt>
                <c:pt idx="1">
                  <c:v>2018</c:v>
                </c:pt>
                <c:pt idx="2">
                  <c:v>2019</c:v>
                </c:pt>
                <c:pt idx="3">
                  <c:v>2020</c:v>
                </c:pt>
                <c:pt idx="4">
                  <c:v>2021</c:v>
                </c:pt>
              </c:numCache>
            </c:numRef>
          </c:cat>
          <c:val>
            <c:numRef>
              <c:f>'Report Chart 5 Asset Alloc MIP'!$B$11:$F$11</c:f>
              <c:numCache>
                <c:formatCode>0%</c:formatCode>
                <c:ptCount val="5"/>
                <c:pt idx="0">
                  <c:v>0</c:v>
                </c:pt>
                <c:pt idx="1">
                  <c:v>0.01</c:v>
                </c:pt>
                <c:pt idx="2">
                  <c:v>0.01</c:v>
                </c:pt>
                <c:pt idx="3">
                  <c:v>0.01</c:v>
                </c:pt>
                <c:pt idx="4">
                  <c:v>0.01</c:v>
                </c:pt>
              </c:numCache>
            </c:numRef>
          </c:val>
          <c:extLst>
            <c:ext xmlns:c16="http://schemas.microsoft.com/office/drawing/2014/chart" uri="{C3380CC4-5D6E-409C-BE32-E72D297353CC}">
              <c16:uniqueId val="{00000008-B205-4C70-9565-AC8669295ACC}"/>
            </c:ext>
          </c:extLst>
        </c:ser>
        <c:ser>
          <c:idx val="2"/>
          <c:order val="3"/>
          <c:tx>
            <c:strRef>
              <c:f>'Report Chart 5 Asset Alloc MIP'!$A$7</c:f>
              <c:strCache>
                <c:ptCount val="1"/>
                <c:pt idx="0">
                  <c:v>Fixed Income</c:v>
                </c:pt>
              </c:strCache>
            </c:strRef>
          </c:tx>
          <c:spPr>
            <a:solidFill>
              <a:schemeClr val="accent3"/>
            </a:solidFill>
            <a:ln>
              <a:noFill/>
            </a:ln>
            <a:effectLst/>
            <a:scene3d>
              <a:camera prst="orthographicFront"/>
              <a:lightRig rig="threePt" dir="t"/>
            </a:scene3d>
            <a:sp3d>
              <a:bevelT h="50800"/>
            </a:sp3d>
          </c:spPr>
          <c:dLbls>
            <c:dLbl>
              <c:idx val="0"/>
              <c:layout>
                <c:manualLayout>
                  <c:x val="1.4957264957264937E-2"/>
                  <c:y val="3.968253968253968E-3"/>
                </c:manualLayout>
              </c:layout>
              <c:tx>
                <c:rich>
                  <a:bodyPr/>
                  <a:lstStyle/>
                  <a:p>
                    <a:fld id="{C2BE507C-53C3-4FA1-8FE6-550EA3B44D60}"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205-4C70-9565-AC8669295ACC}"/>
                </c:ext>
              </c:extLst>
            </c:dLbl>
            <c:dLbl>
              <c:idx val="1"/>
              <c:layout>
                <c:manualLayout>
                  <c:x val="-1.4957264957264958E-2"/>
                  <c:y val="0"/>
                </c:manualLayout>
              </c:layout>
              <c:tx>
                <c:rich>
                  <a:bodyPr/>
                  <a:lstStyle/>
                  <a:p>
                    <a:fld id="{BA052B49-E18C-4108-AC72-5AC18D0D46C0}"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205-4C70-9565-AC8669295ACC}"/>
                </c:ext>
              </c:extLst>
            </c:dLbl>
            <c:dLbl>
              <c:idx val="2"/>
              <c:layout>
                <c:manualLayout>
                  <c:x val="-2.18760109042440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05-4C70-9565-AC8669295ACC}"/>
                </c:ext>
              </c:extLst>
            </c:dLbl>
            <c:dLbl>
              <c:idx val="4"/>
              <c:layout>
                <c:manualLayout>
                  <c:x val="-1.282051282051282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6E-413B-8B2B-15C940E0E633}"/>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2017</c:v>
                </c:pt>
                <c:pt idx="1">
                  <c:v>2018</c:v>
                </c:pt>
                <c:pt idx="2">
                  <c:v>2019</c:v>
                </c:pt>
                <c:pt idx="3">
                  <c:v>2020</c:v>
                </c:pt>
                <c:pt idx="4">
                  <c:v>2021</c:v>
                </c:pt>
              </c:numCache>
            </c:numRef>
          </c:cat>
          <c:val>
            <c:numRef>
              <c:f>'Report Chart 5 Asset Alloc MIP'!$B$7:$F$7</c:f>
              <c:numCache>
                <c:formatCode>0%</c:formatCode>
                <c:ptCount val="5"/>
                <c:pt idx="0">
                  <c:v>0.18</c:v>
                </c:pt>
                <c:pt idx="1">
                  <c:v>0.21</c:v>
                </c:pt>
                <c:pt idx="2">
                  <c:v>0.23</c:v>
                </c:pt>
                <c:pt idx="3">
                  <c:v>0.22</c:v>
                </c:pt>
                <c:pt idx="4">
                  <c:v>0.25</c:v>
                </c:pt>
              </c:numCache>
            </c:numRef>
          </c:val>
          <c:extLst>
            <c:ext xmlns:c16="http://schemas.microsoft.com/office/drawing/2014/chart" uri="{C3380CC4-5D6E-409C-BE32-E72D297353CC}">
              <c16:uniqueId val="{0000000C-B205-4C70-9565-AC8669295ACC}"/>
            </c:ext>
          </c:extLst>
        </c:ser>
        <c:ser>
          <c:idx val="8"/>
          <c:order val="4"/>
          <c:tx>
            <c:strRef>
              <c:f>'Report Chart 5 Asset Alloc MIP'!$A$6</c:f>
              <c:strCache>
                <c:ptCount val="1"/>
                <c:pt idx="0">
                  <c:v>Global Equities</c:v>
                </c:pt>
              </c:strCache>
            </c:strRef>
          </c:tx>
          <c:spPr>
            <a:solidFill>
              <a:schemeClr val="accent6"/>
            </a:solidFill>
            <a:ln w="25400">
              <a:noFill/>
            </a:ln>
            <a:effectLst/>
            <a:scene3d>
              <a:camera prst="orthographicFront"/>
              <a:lightRig rig="threePt" dir="t"/>
            </a:scene3d>
            <a:sp3d>
              <a:bevelT/>
            </a:sp3d>
          </c:spPr>
          <c:dLbls>
            <c:dLbl>
              <c:idx val="0"/>
              <c:layout>
                <c:manualLayout>
                  <c:x val="1.7094017094017096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6E-413B-8B2B-15C940E0E633}"/>
                </c:ext>
              </c:extLst>
            </c:dLbl>
            <c:dLbl>
              <c:idx val="4"/>
              <c:layout>
                <c:manualLayout>
                  <c:x val="-1.4957264957265114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6E-413B-8B2B-15C940E0E633}"/>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val>
            <c:numRef>
              <c:f>'Report Chart 5 Asset Alloc MIP'!$B$6:$F$6</c:f>
              <c:numCache>
                <c:formatCode>0%</c:formatCode>
                <c:ptCount val="5"/>
                <c:pt idx="0">
                  <c:v>0</c:v>
                </c:pt>
                <c:pt idx="1">
                  <c:v>0</c:v>
                </c:pt>
                <c:pt idx="2">
                  <c:v>0</c:v>
                </c:pt>
                <c:pt idx="3">
                  <c:v>0.09</c:v>
                </c:pt>
                <c:pt idx="4">
                  <c:v>0.1</c:v>
                </c:pt>
              </c:numCache>
            </c:numRef>
          </c:val>
          <c:extLst>
            <c:ext xmlns:c16="http://schemas.microsoft.com/office/drawing/2014/chart" uri="{C3380CC4-5D6E-409C-BE32-E72D297353CC}">
              <c16:uniqueId val="{0000000D-B205-4C70-9565-AC8669295ACC}"/>
            </c:ext>
          </c:extLst>
        </c:ser>
        <c:ser>
          <c:idx val="3"/>
          <c:order val="5"/>
          <c:tx>
            <c:strRef>
              <c:f>'Report Chart 5 Asset Alloc MIP'!$A$8</c:f>
              <c:strCache>
                <c:ptCount val="1"/>
                <c:pt idx="0">
                  <c:v>Global Asset Allocation</c:v>
                </c:pt>
              </c:strCache>
            </c:strRef>
          </c:tx>
          <c:spPr>
            <a:solidFill>
              <a:schemeClr val="accent4"/>
            </a:solidFill>
            <a:ln>
              <a:noFill/>
            </a:ln>
            <a:effectLst/>
            <a:scene3d>
              <a:camera prst="orthographicFront"/>
              <a:lightRig rig="threePt" dir="t"/>
            </a:scene3d>
            <a:sp3d>
              <a:bevelT h="50800"/>
            </a:sp3d>
          </c:spPr>
          <c:dLbls>
            <c:dLbl>
              <c:idx val="0"/>
              <c:layout>
                <c:manualLayout>
                  <c:x val="1.4957264957264937E-2"/>
                  <c:y val="0"/>
                </c:manualLayout>
              </c:layout>
              <c:tx>
                <c:rich>
                  <a:bodyPr/>
                  <a:lstStyle/>
                  <a:p>
                    <a:fld id="{0AE131BB-B74A-45F2-B26E-9F78D5ACD1DF}"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205-4C70-9565-AC8669295ACC}"/>
                </c:ext>
              </c:extLst>
            </c:dLbl>
            <c:dLbl>
              <c:idx val="1"/>
              <c:layout>
                <c:manualLayout>
                  <c:x val="-1.4957264957264958E-2"/>
                  <c:y val="0"/>
                </c:manualLayout>
              </c:layout>
              <c:tx>
                <c:rich>
                  <a:bodyPr/>
                  <a:lstStyle/>
                  <a:p>
                    <a:fld id="{8DDF81DA-B01C-4B71-87F6-11227C0FACEF}"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205-4C70-9565-AC8669295ACC}"/>
                </c:ext>
              </c:extLst>
            </c:dLbl>
            <c:dLbl>
              <c:idx val="2"/>
              <c:layout>
                <c:manualLayout>
                  <c:x val="-2.1876010904244049E-2"/>
                  <c:y val="-3.3025494121202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205-4C70-9565-AC8669295ACC}"/>
                </c:ext>
              </c:extLst>
            </c:dLbl>
            <c:dLbl>
              <c:idx val="4"/>
              <c:layout>
                <c:manualLayout>
                  <c:x val="-1.0683760683760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6E-413B-8B2B-15C940E0E633}"/>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2017</c:v>
                </c:pt>
                <c:pt idx="1">
                  <c:v>2018</c:v>
                </c:pt>
                <c:pt idx="2">
                  <c:v>2019</c:v>
                </c:pt>
                <c:pt idx="3">
                  <c:v>2020</c:v>
                </c:pt>
                <c:pt idx="4">
                  <c:v>2021</c:v>
                </c:pt>
              </c:numCache>
            </c:numRef>
          </c:cat>
          <c:val>
            <c:numRef>
              <c:f>'Report Chart 5 Asset Alloc MIP'!$B$8:$F$8</c:f>
              <c:numCache>
                <c:formatCode>0%</c:formatCode>
                <c:ptCount val="5"/>
                <c:pt idx="0">
                  <c:v>0.23</c:v>
                </c:pt>
                <c:pt idx="1">
                  <c:v>0.23</c:v>
                </c:pt>
                <c:pt idx="2">
                  <c:v>0.15</c:v>
                </c:pt>
                <c:pt idx="3">
                  <c:v>0.14000000000000001</c:v>
                </c:pt>
                <c:pt idx="4">
                  <c:v>7.0000000000000007E-2</c:v>
                </c:pt>
              </c:numCache>
            </c:numRef>
          </c:val>
          <c:extLst>
            <c:ext xmlns:c16="http://schemas.microsoft.com/office/drawing/2014/chart" uri="{C3380CC4-5D6E-409C-BE32-E72D297353CC}">
              <c16:uniqueId val="{00000011-B205-4C70-9565-AC8669295ACC}"/>
            </c:ext>
          </c:extLst>
        </c:ser>
        <c:ser>
          <c:idx val="4"/>
          <c:order val="6"/>
          <c:tx>
            <c:strRef>
              <c:f>'Report Chart 5 Asset Alloc MIP'!$A$9</c:f>
              <c:strCache>
                <c:ptCount val="1"/>
                <c:pt idx="0">
                  <c:v>Hedge Funds</c:v>
                </c:pt>
              </c:strCache>
            </c:strRef>
          </c:tx>
          <c:spPr>
            <a:solidFill>
              <a:schemeClr val="accent5"/>
            </a:solidFill>
            <a:ln>
              <a:noFill/>
            </a:ln>
            <a:effectLst/>
            <a:scene3d>
              <a:camera prst="orthographicFront"/>
              <a:lightRig rig="threePt" dir="t"/>
            </a:scene3d>
            <a:sp3d>
              <a:bevelT h="50800"/>
            </a:sp3d>
          </c:spPr>
          <c:dLbls>
            <c:dLbl>
              <c:idx val="0"/>
              <c:layout>
                <c:manualLayout>
                  <c:x val="1.7094017094017096E-2"/>
                  <c:y val="-7.275048233154282E-17"/>
                </c:manualLayout>
              </c:layout>
              <c:tx>
                <c:rich>
                  <a:bodyPr/>
                  <a:lstStyle/>
                  <a:p>
                    <a:fld id="{E0563275-A21E-45F9-8C45-A95D259E2124}"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205-4C70-9565-AC8669295ACC}"/>
                </c:ext>
              </c:extLst>
            </c:dLbl>
            <c:dLbl>
              <c:idx val="1"/>
              <c:layout>
                <c:manualLayout>
                  <c:x val="-1.282051282051282E-2"/>
                  <c:y val="-6.3261288983950278E-17"/>
                </c:manualLayout>
              </c:layout>
              <c:tx>
                <c:rich>
                  <a:bodyPr/>
                  <a:lstStyle/>
                  <a:p>
                    <a:fld id="{35B9055B-4776-40A8-B81E-BD5BBCB93470}"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B205-4C70-9565-AC8669295ACC}"/>
                </c:ext>
              </c:extLst>
            </c:dLbl>
            <c:dLbl>
              <c:idx val="2"/>
              <c:layout>
                <c:manualLayout>
                  <c:x val="-1.09380054521220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205-4C70-9565-AC8669295ACC}"/>
                </c:ext>
              </c:extLst>
            </c:dLbl>
            <c:dLbl>
              <c:idx val="4"/>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6E-413B-8B2B-15C940E0E633}"/>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2017</c:v>
                </c:pt>
                <c:pt idx="1">
                  <c:v>2018</c:v>
                </c:pt>
                <c:pt idx="2">
                  <c:v>2019</c:v>
                </c:pt>
                <c:pt idx="3">
                  <c:v>2020</c:v>
                </c:pt>
                <c:pt idx="4">
                  <c:v>2021</c:v>
                </c:pt>
              </c:numCache>
            </c:numRef>
          </c:cat>
          <c:val>
            <c:numRef>
              <c:f>'Report Chart 5 Asset Alloc MIP'!$B$9:$F$9</c:f>
              <c:numCache>
                <c:formatCode>0%</c:formatCode>
                <c:ptCount val="5"/>
                <c:pt idx="0">
                  <c:v>0.09</c:v>
                </c:pt>
                <c:pt idx="1">
                  <c:v>0.06</c:v>
                </c:pt>
                <c:pt idx="2">
                  <c:v>0.06</c:v>
                </c:pt>
                <c:pt idx="3">
                  <c:v>0.06</c:v>
                </c:pt>
                <c:pt idx="4">
                  <c:v>7.0000000000000007E-2</c:v>
                </c:pt>
              </c:numCache>
            </c:numRef>
          </c:val>
          <c:extLst>
            <c:ext xmlns:c16="http://schemas.microsoft.com/office/drawing/2014/chart" uri="{C3380CC4-5D6E-409C-BE32-E72D297353CC}">
              <c16:uniqueId val="{00000015-B205-4C70-9565-AC8669295ACC}"/>
            </c:ext>
          </c:extLst>
        </c:ser>
        <c:ser>
          <c:idx val="1"/>
          <c:order val="7"/>
          <c:tx>
            <c:strRef>
              <c:f>'Report Chart 5 Asset Alloc MIP'!$A$5</c:f>
              <c:strCache>
                <c:ptCount val="1"/>
                <c:pt idx="0">
                  <c:v>International Equities</c:v>
                </c:pt>
              </c:strCache>
            </c:strRef>
          </c:tx>
          <c:spPr>
            <a:solidFill>
              <a:schemeClr val="accent2"/>
            </a:solidFill>
            <a:ln>
              <a:noFill/>
            </a:ln>
            <a:effectLst/>
            <a:scene3d>
              <a:camera prst="orthographicFront"/>
              <a:lightRig rig="threePt" dir="t"/>
            </a:scene3d>
            <a:sp3d>
              <a:bevelT h="50800"/>
            </a:sp3d>
          </c:spPr>
          <c:dLbls>
            <c:dLbl>
              <c:idx val="0"/>
              <c:layout>
                <c:manualLayout>
                  <c:x val="1.4957264957264937E-2"/>
                  <c:y val="-7.275048233154282E-17"/>
                </c:manualLayout>
              </c:layout>
              <c:tx>
                <c:rich>
                  <a:bodyPr/>
                  <a:lstStyle/>
                  <a:p>
                    <a:fld id="{DA971F08-BC58-4F51-B993-A7433CCDB546}"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B205-4C70-9565-AC8669295ACC}"/>
                </c:ext>
              </c:extLst>
            </c:dLbl>
            <c:dLbl>
              <c:idx val="1"/>
              <c:layout>
                <c:manualLayout>
                  <c:x val="-1.4957264957264958E-2"/>
                  <c:y val="0"/>
                </c:manualLayout>
              </c:layout>
              <c:tx>
                <c:rich>
                  <a:bodyPr/>
                  <a:lstStyle/>
                  <a:p>
                    <a:fld id="{851BE512-3898-472D-8E74-8E0479BBD7B7}"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B205-4C70-9565-AC8669295ACC}"/>
                </c:ext>
              </c:extLst>
            </c:dLbl>
            <c:dLbl>
              <c:idx val="2"/>
              <c:layout>
                <c:manualLayout>
                  <c:x val="-1.9688409813819644E-2"/>
                  <c:y val="-3.3025494121202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205-4C70-9565-AC8669295ACC}"/>
                </c:ext>
              </c:extLst>
            </c:dLbl>
            <c:dLbl>
              <c:idx val="4"/>
              <c:layout>
                <c:manualLayout>
                  <c:x val="-1.49572649572651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6E-413B-8B2B-15C940E0E633}"/>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2017</c:v>
                </c:pt>
                <c:pt idx="1">
                  <c:v>2018</c:v>
                </c:pt>
                <c:pt idx="2">
                  <c:v>2019</c:v>
                </c:pt>
                <c:pt idx="3">
                  <c:v>2020</c:v>
                </c:pt>
                <c:pt idx="4">
                  <c:v>2021</c:v>
                </c:pt>
              </c:numCache>
            </c:numRef>
          </c:cat>
          <c:val>
            <c:numRef>
              <c:f>'Report Chart 5 Asset Alloc MIP'!$B$5:$F$5</c:f>
              <c:numCache>
                <c:formatCode>0%</c:formatCode>
                <c:ptCount val="5"/>
                <c:pt idx="0">
                  <c:v>0.24</c:v>
                </c:pt>
                <c:pt idx="1">
                  <c:v>0.23</c:v>
                </c:pt>
                <c:pt idx="2">
                  <c:v>0.25</c:v>
                </c:pt>
                <c:pt idx="3">
                  <c:v>0.22</c:v>
                </c:pt>
                <c:pt idx="4">
                  <c:v>0.21</c:v>
                </c:pt>
              </c:numCache>
            </c:numRef>
          </c:val>
          <c:extLst>
            <c:ext xmlns:c16="http://schemas.microsoft.com/office/drawing/2014/chart" uri="{C3380CC4-5D6E-409C-BE32-E72D297353CC}">
              <c16:uniqueId val="{00000019-B205-4C70-9565-AC8669295ACC}"/>
            </c:ext>
          </c:extLst>
        </c:ser>
        <c:ser>
          <c:idx val="5"/>
          <c:order val="8"/>
          <c:tx>
            <c:strRef>
              <c:f>'Report Chart 5 Asset Alloc MIP'!$A$10</c:f>
              <c:strCache>
                <c:ptCount val="1"/>
                <c:pt idx="0">
                  <c:v>Timber</c:v>
                </c:pt>
              </c:strCache>
            </c:strRef>
          </c:tx>
          <c:spPr>
            <a:solidFill>
              <a:schemeClr val="accent6"/>
            </a:solidFill>
            <a:ln>
              <a:noFill/>
            </a:ln>
            <a:effectLst/>
            <a:scene3d>
              <a:camera prst="orthographicFront"/>
              <a:lightRig rig="threePt" dir="t"/>
            </a:scene3d>
            <a:sp3d>
              <a:bevelT h="50800"/>
            </a:sp3d>
          </c:spPr>
          <c:dLbls>
            <c:dLbl>
              <c:idx val="0"/>
              <c:layout>
                <c:manualLayout>
                  <c:x val="1.7094017094017096E-2"/>
                  <c:y val="-3.637524116577141E-17"/>
                </c:manualLayout>
              </c:layout>
              <c:tx>
                <c:rich>
                  <a:bodyPr/>
                  <a:lstStyle/>
                  <a:p>
                    <a:fld id="{CFAAF9E8-90A0-4ED2-B9BF-4DF1A188A40C}"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B205-4C70-9565-AC8669295ACC}"/>
                </c:ext>
              </c:extLst>
            </c:dLbl>
            <c:dLbl>
              <c:idx val="1"/>
              <c:layout>
                <c:manualLayout>
                  <c:x val="-1.282051282051282E-2"/>
                  <c:y val="3.4506556245686363E-3"/>
                </c:manualLayout>
              </c:layout>
              <c:tx>
                <c:rich>
                  <a:bodyPr/>
                  <a:lstStyle/>
                  <a:p>
                    <a:fld id="{5D07BAF6-8A2A-42CA-93B9-BE0F5A82A7CB}"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B205-4C70-9565-AC8669295ACC}"/>
                </c:ext>
              </c:extLst>
            </c:dLbl>
            <c:dLbl>
              <c:idx val="2"/>
              <c:layout>
                <c:manualLayout>
                  <c:x val="-1.4219407087758632E-2"/>
                  <c:y val="-1.6512747060601002E-3"/>
                </c:manualLayout>
              </c:layout>
              <c:tx>
                <c:rich>
                  <a:bodyPr rot="0" spcFirstLastPara="1" vertOverflow="ellipsis" vert="horz" wrap="square" lIns="0" tIns="0" rIns="0" bIns="0" anchor="t" anchorCtr="0">
                    <a:noAutofit/>
                  </a:bodyPr>
                  <a:lstStyle/>
                  <a:p>
                    <a:pPr>
                      <a:defRPr sz="800" b="1" i="0" u="none" strike="noStrike" kern="1200" baseline="0">
                        <a:solidFill>
                          <a:schemeClr val="tx1">
                            <a:lumMod val="95000"/>
                            <a:lumOff val="5000"/>
                          </a:schemeClr>
                        </a:solidFill>
                        <a:latin typeface="+mn-lt"/>
                        <a:ea typeface="+mn-ea"/>
                        <a:cs typeface="+mn-cs"/>
                      </a:defRPr>
                    </a:pPr>
                    <a:fld id="{6A7399D2-27DC-478A-A076-205F9AEFFA5D}" type="VALUE">
                      <a:rPr lang="en-US" sz="800" b="1" baseline="0">
                        <a:solidFill>
                          <a:schemeClr val="tx1">
                            <a:lumMod val="95000"/>
                            <a:lumOff val="5000"/>
                          </a:schemeClr>
                        </a:solidFill>
                      </a:rPr>
                      <a:pPr>
                        <a:defRPr sz="800" b="1">
                          <a:solidFill>
                            <a:schemeClr val="tx1">
                              <a:lumMod val="95000"/>
                              <a:lumOff val="5000"/>
                            </a:schemeClr>
                          </a:solidFill>
                        </a:defRPr>
                      </a:pPr>
                      <a:t>[VALUE]</a:t>
                    </a:fld>
                    <a:endParaRPr lang="en-US"/>
                  </a:p>
                </c:rich>
              </c:tx>
              <c:spPr>
                <a:noFill/>
                <a:ln>
                  <a:noFill/>
                </a:ln>
                <a:effectLst/>
              </c:spPr>
              <c:txPr>
                <a:bodyPr rot="0" spcFirstLastPara="1" vertOverflow="ellipsis" vert="horz" wrap="square" lIns="0" tIns="0" rIns="0" bIns="0" anchor="t" anchorCtr="0">
                  <a:noAutofit/>
                </a:bodyPr>
                <a:lstStyle/>
                <a:p>
                  <a:pPr>
                    <a:defRPr sz="800" b="1"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6.72137851252083E-2"/>
                      <c:h val="3.5866986831929362E-2"/>
                    </c:manualLayout>
                  </c15:layout>
                  <c15:dlblFieldTable/>
                  <c15:showDataLabelsRange val="0"/>
                </c:ext>
                <c:ext xmlns:c16="http://schemas.microsoft.com/office/drawing/2014/chart" uri="{C3380CC4-5D6E-409C-BE32-E72D297353CC}">
                  <c16:uniqueId val="{0000001C-B205-4C70-9565-AC8669295ACC}"/>
                </c:ext>
              </c:extLst>
            </c:dLbl>
            <c:dLbl>
              <c:idx val="4"/>
              <c:layout>
                <c:manualLayout>
                  <c:x val="-1.282051282051282E-2"/>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6E-413B-8B2B-15C940E0E633}"/>
                </c:ext>
              </c:extLst>
            </c:dLbl>
            <c:spPr>
              <a:noFill/>
              <a:ln>
                <a:noFill/>
              </a:ln>
              <a:effectLst/>
            </c:spPr>
            <c:txPr>
              <a:bodyPr rot="0" spcFirstLastPara="1" vertOverflow="ellipsis" vert="horz" wrap="square" lIns="0" tIns="0" rIns="0" bIns="0" anchor="t" anchorCtr="0">
                <a:spAutoFit/>
              </a:bodyPr>
              <a:lstStyle/>
              <a:p>
                <a:pPr>
                  <a:defRPr sz="800" b="1"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2017</c:v>
                </c:pt>
                <c:pt idx="1">
                  <c:v>2018</c:v>
                </c:pt>
                <c:pt idx="2">
                  <c:v>2019</c:v>
                </c:pt>
                <c:pt idx="3">
                  <c:v>2020</c:v>
                </c:pt>
                <c:pt idx="4">
                  <c:v>2021</c:v>
                </c:pt>
              </c:numCache>
            </c:numRef>
          </c:cat>
          <c:val>
            <c:numRef>
              <c:f>'Report Chart 5 Asset Alloc MIP'!$B$10:$F$10</c:f>
              <c:numCache>
                <c:formatCode>0%</c:formatCode>
                <c:ptCount val="5"/>
                <c:pt idx="0">
                  <c:v>0.02</c:v>
                </c:pt>
                <c:pt idx="1">
                  <c:v>0.01</c:v>
                </c:pt>
                <c:pt idx="2">
                  <c:v>0</c:v>
                </c:pt>
                <c:pt idx="3">
                  <c:v>0</c:v>
                </c:pt>
                <c:pt idx="4">
                  <c:v>0</c:v>
                </c:pt>
              </c:numCache>
            </c:numRef>
          </c:val>
          <c:extLst>
            <c:ext xmlns:c16="http://schemas.microsoft.com/office/drawing/2014/chart" uri="{C3380CC4-5D6E-409C-BE32-E72D297353CC}">
              <c16:uniqueId val="{0000001D-B205-4C70-9565-AC8669295ACC}"/>
            </c:ext>
          </c:extLst>
        </c:ser>
        <c:dLbls>
          <c:showLegendKey val="0"/>
          <c:showVal val="1"/>
          <c:showCatName val="0"/>
          <c:showSerName val="0"/>
          <c:showPercent val="0"/>
          <c:showBubbleSize val="0"/>
        </c:dLbls>
        <c:axId val="324119856"/>
        <c:axId val="324120416"/>
      </c:areaChart>
      <c:catAx>
        <c:axId val="32411985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high"/>
        <c:spPr>
          <a:noFill/>
          <a:ln w="9525" cap="flat" cmpd="sng" algn="ctr">
            <a:solidFill>
              <a:schemeClr val="tx1">
                <a:lumMod val="15000"/>
                <a:lumOff val="85000"/>
              </a:schemeClr>
            </a:solidFill>
            <a:prstDash val="solid"/>
            <a:round/>
          </a:ln>
          <a:effectLst/>
        </c:spPr>
        <c:txPr>
          <a:bodyPr rot="-60000000" spcFirstLastPara="1" vertOverflow="ellipsis" vert="horz" wrap="square" anchor="b" anchorCtr="1"/>
          <a:lstStyle/>
          <a:p>
            <a:pPr>
              <a:defRPr sz="800" b="1" i="0" u="none" strike="noStrike" kern="1200" cap="all" spc="0" normalizeH="0" baseline="0">
                <a:solidFill>
                  <a:schemeClr val="tx1">
                    <a:lumMod val="95000"/>
                    <a:lumOff val="5000"/>
                  </a:schemeClr>
                </a:solidFill>
                <a:latin typeface="Calibri" panose="020F0502020204030204" pitchFamily="34" charset="0"/>
                <a:ea typeface="+mn-ea"/>
                <a:cs typeface="+mn-cs"/>
              </a:defRPr>
            </a:pPr>
            <a:endParaRPr lang="en-US"/>
          </a:p>
        </c:txPr>
        <c:crossAx val="324120416"/>
        <c:crosses val="autoZero"/>
        <c:auto val="1"/>
        <c:lblAlgn val="ctr"/>
        <c:lblOffset val="100"/>
        <c:noMultiLvlLbl val="0"/>
      </c:catAx>
      <c:valAx>
        <c:axId val="324120416"/>
        <c:scaling>
          <c:orientation val="minMax"/>
        </c:scaling>
        <c:delete val="1"/>
        <c:axPos val="l"/>
        <c:numFmt formatCode="0%" sourceLinked="1"/>
        <c:majorTickMark val="out"/>
        <c:minorTickMark val="none"/>
        <c:tickLblPos val="nextTo"/>
        <c:crossAx val="324119856"/>
        <c:crosses val="autoZero"/>
        <c:crossBetween val="midCat"/>
      </c:valAx>
      <c:spPr>
        <a:noFill/>
        <a:ln>
          <a:noFill/>
        </a:ln>
        <a:effectLst/>
      </c:spPr>
    </c:plotArea>
    <c:plotVisOnly val="1"/>
    <c:dispBlanksAs val="gap"/>
    <c:showDLblsOverMax val="0"/>
  </c:chart>
  <c:spPr>
    <a:solidFill>
      <a:schemeClr val="lt1"/>
    </a:solidFill>
    <a:ln w="12700" cap="flat" cmpd="sng" algn="ctr">
      <a:noFill/>
      <a:prstDash val="solid"/>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6: Total Return (Net of Fees)</a:t>
            </a:r>
          </a:p>
        </c:rich>
      </c:tx>
      <c:layout>
        <c:manualLayout>
          <c:xMode val="edge"/>
          <c:yMode val="edge"/>
          <c:x val="0.21802077865266845"/>
          <c:y val="0"/>
        </c:manualLayout>
      </c:layout>
      <c:overlay val="0"/>
      <c:spPr>
        <a:noFill/>
        <a:ln>
          <a:noFill/>
        </a:ln>
        <a:effectLst/>
      </c:spPr>
    </c:title>
    <c:autoTitleDeleted val="0"/>
    <c:plotArea>
      <c:layout/>
      <c:lineChart>
        <c:grouping val="standard"/>
        <c:varyColors val="0"/>
        <c:ser>
          <c:idx val="0"/>
          <c:order val="0"/>
          <c:spPr>
            <a:ln w="28575" cap="rnd">
              <a:solidFill>
                <a:srgbClr val="00688D"/>
              </a:solidFill>
              <a:round/>
            </a:ln>
            <a:effectLst/>
          </c:spPr>
          <c:marker>
            <c:symbol val="circle"/>
            <c:size val="5"/>
            <c:spPr>
              <a:solidFill>
                <a:srgbClr val="00688D"/>
              </a:solidFill>
              <a:ln w="9525">
                <a:solidFill>
                  <a:srgbClr val="00688D"/>
                </a:solidFill>
              </a:ln>
              <a:effectLst/>
              <a:scene3d>
                <a:camera prst="orthographicFront"/>
                <a:lightRig rig="threePt" dir="t"/>
              </a:scene3d>
              <a:sp3d>
                <a:bevelT h="50800"/>
              </a:sp3d>
            </c:spPr>
          </c:marker>
          <c:dLbls>
            <c:dLbl>
              <c:idx val="3"/>
              <c:layout>
                <c:manualLayout>
                  <c:x val="-6.286329833770779E-2"/>
                  <c:y val="-4.9623278222297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50-4AF9-9738-6768F3C8CDEE}"/>
                </c:ext>
              </c:extLst>
            </c:dLbl>
            <c:numFmt formatCode="0.0%" sourceLinked="0"/>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'Report Chart 6'!$B$4:$B$8</c:f>
              <c:numCache>
                <c:formatCode>General</c:formatCode>
                <c:ptCount val="5"/>
                <c:pt idx="0">
                  <c:v>2017</c:v>
                </c:pt>
                <c:pt idx="1">
                  <c:v>2018</c:v>
                </c:pt>
                <c:pt idx="2">
                  <c:v>2019</c:v>
                </c:pt>
                <c:pt idx="3">
                  <c:v>2020</c:v>
                </c:pt>
                <c:pt idx="4">
                  <c:v>2021</c:v>
                </c:pt>
              </c:numCache>
            </c:numRef>
          </c:cat>
          <c:val>
            <c:numRef>
              <c:f>'Report Chart 6'!$C$4:$C$8</c:f>
              <c:numCache>
                <c:formatCode>0.0%</c:formatCode>
                <c:ptCount val="5"/>
                <c:pt idx="0">
                  <c:v>0.114</c:v>
                </c:pt>
                <c:pt idx="1">
                  <c:v>6.9000000000000006E-2</c:v>
                </c:pt>
                <c:pt idx="2">
                  <c:v>2.7E-2</c:v>
                </c:pt>
                <c:pt idx="3">
                  <c:v>1.0999999999999999E-2</c:v>
                </c:pt>
                <c:pt idx="4">
                  <c:v>0.27100000000000002</c:v>
                </c:pt>
              </c:numCache>
            </c:numRef>
          </c:val>
          <c:smooth val="0"/>
          <c:extLst>
            <c:ext xmlns:c16="http://schemas.microsoft.com/office/drawing/2014/chart" uri="{C3380CC4-5D6E-409C-BE32-E72D297353CC}">
              <c16:uniqueId val="{00000000-AACA-4C14-BA4E-432A68418757}"/>
            </c:ext>
          </c:extLst>
        </c:ser>
        <c:dLbls>
          <c:dLblPos val="t"/>
          <c:showLegendKey val="0"/>
          <c:showVal val="1"/>
          <c:showCatName val="0"/>
          <c:showSerName val="0"/>
          <c:showPercent val="0"/>
          <c:showBubbleSize val="0"/>
        </c:dLbls>
        <c:marker val="1"/>
        <c:smooth val="0"/>
        <c:axId val="1284479472"/>
        <c:axId val="1284479888"/>
      </c:lineChart>
      <c:catAx>
        <c:axId val="12844794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84479888"/>
        <c:crosses val="autoZero"/>
        <c:auto val="1"/>
        <c:lblAlgn val="ctr"/>
        <c:lblOffset val="100"/>
        <c:noMultiLvlLbl val="0"/>
      </c:catAx>
      <c:valAx>
        <c:axId val="1284479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84479472"/>
        <c:crosses val="autoZero"/>
        <c:crossBetween val="between"/>
        <c:majorUnit val="5.000000000000001E-2"/>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7: Fair Values of UMS and Affiliates Pooled Endowments
</a:t>
            </a:r>
            <a:r>
              <a:rPr lang="en-US" sz="1100" b="1">
                <a:solidFill>
                  <a:schemeClr val="tx1">
                    <a:lumMod val="95000"/>
                    <a:lumOff val="5000"/>
                  </a:schemeClr>
                </a:solidFill>
              </a:rPr>
              <a:t>(In millions)</a:t>
            </a:r>
          </a:p>
        </c:rich>
      </c:tx>
      <c:overlay val="0"/>
      <c:spPr>
        <a:noFill/>
        <a:ln>
          <a:noFill/>
        </a:ln>
        <a:effectLst/>
      </c:spPr>
    </c:title>
    <c:autoTitleDeleted val="0"/>
    <c:plotArea>
      <c:layout>
        <c:manualLayout>
          <c:layoutTarget val="inner"/>
          <c:xMode val="edge"/>
          <c:yMode val="edge"/>
          <c:x val="9.4624936588808758E-2"/>
          <c:y val="0.256390423572744"/>
          <c:w val="0.8773638589293985"/>
          <c:h val="0.58127666362146724"/>
        </c:manualLayout>
      </c:layout>
      <c:barChart>
        <c:barDir val="col"/>
        <c:grouping val="clustered"/>
        <c:varyColors val="0"/>
        <c:ser>
          <c:idx val="0"/>
          <c:order val="0"/>
          <c:tx>
            <c:strRef>
              <c:f>'Chart 7 Market Value Endow Inv'!$B$4</c:f>
              <c:strCache>
                <c:ptCount val="1"/>
                <c:pt idx="0">
                  <c:v>UMS Endowments</c:v>
                </c:pt>
              </c:strCache>
            </c:strRef>
          </c:tx>
          <c:spPr>
            <a:solidFill>
              <a:srgbClr val="00688D"/>
            </a:solidFill>
            <a:ln w="28575" cap="rnd">
              <a:noFill/>
              <a:round/>
            </a:ln>
            <a:effectLst/>
            <a:scene3d>
              <a:camera prst="orthographicFront"/>
              <a:lightRig rig="threePt" dir="t"/>
            </a:scene3d>
            <a:sp3d>
              <a:bevelT h="50800"/>
              <a:bevelB/>
            </a:sp3d>
          </c:spPr>
          <c:invertIfNegative val="0"/>
          <c:dLbls>
            <c:numFmt formatCode="_(&quot;$&quot;* #,##0_);_(&quot;$&quot;* \(#,##0\);_(&quot;$&quot;* &quot;-&quot;_);_(@_)" sourceLinked="0"/>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'Chart 7 Market Value Endow Inv'!$A$5:$A$9</c:f>
              <c:numCache>
                <c:formatCode>General</c:formatCode>
                <c:ptCount val="5"/>
                <c:pt idx="0">
                  <c:v>2017</c:v>
                </c:pt>
                <c:pt idx="1">
                  <c:v>2018</c:v>
                </c:pt>
                <c:pt idx="2">
                  <c:v>2019</c:v>
                </c:pt>
                <c:pt idx="3">
                  <c:v>2020</c:v>
                </c:pt>
                <c:pt idx="4">
                  <c:v>2021</c:v>
                </c:pt>
              </c:numCache>
            </c:numRef>
          </c:cat>
          <c:val>
            <c:numRef>
              <c:f>'Chart 7 Market Value Endow Inv'!$B$5:$B$9</c:f>
              <c:numCache>
                <c:formatCode>_("$"* #,##0_);_("$"* \(#,##0\);_("$"* "-"_);_(@_)</c:formatCode>
                <c:ptCount val="5"/>
                <c:pt idx="0">
                  <c:v>127</c:v>
                </c:pt>
                <c:pt idx="1">
                  <c:v>131</c:v>
                </c:pt>
                <c:pt idx="2">
                  <c:v>135</c:v>
                </c:pt>
                <c:pt idx="3">
                  <c:v>135</c:v>
                </c:pt>
                <c:pt idx="4">
                  <c:v>161</c:v>
                </c:pt>
              </c:numCache>
            </c:numRef>
          </c:val>
          <c:extLst>
            <c:ext xmlns:c16="http://schemas.microsoft.com/office/drawing/2014/chart" uri="{C3380CC4-5D6E-409C-BE32-E72D297353CC}">
              <c16:uniqueId val="{00000000-395B-4462-B4F3-9CB446F52A6F}"/>
            </c:ext>
          </c:extLst>
        </c:ser>
        <c:ser>
          <c:idx val="1"/>
          <c:order val="1"/>
          <c:tx>
            <c:strRef>
              <c:f>'Chart 7 Market Value Endow Inv'!$C$4</c:f>
              <c:strCache>
                <c:ptCount val="1"/>
                <c:pt idx="0">
                  <c:v>Affiliates Endowments</c:v>
                </c:pt>
              </c:strCache>
            </c:strRef>
          </c:tx>
          <c:spPr>
            <a:solidFill>
              <a:schemeClr val="accent6"/>
            </a:solidFill>
            <a:scene3d>
              <a:camera prst="orthographicFront"/>
              <a:lightRig rig="threePt" dir="t"/>
            </a:scene3d>
            <a:sp3d>
              <a:bevelT h="50800"/>
              <a:bevelB/>
            </a:sp3d>
          </c:spPr>
          <c:invertIfNegative val="0"/>
          <c:dLbls>
            <c:numFmt formatCode="_(&quot;$&quot;* #,##0_);_(&quot;$&quot;* \(#,##0\);_(&quot;$&quot;* &quot;-&quot;_);_(@_)" sourceLinked="0"/>
            <c:spPr>
              <a:noFill/>
              <a:ln>
                <a:noFill/>
              </a:ln>
              <a:effectLst/>
            </c:spPr>
            <c:txPr>
              <a:bodyPr wrap="square" lIns="0" tIns="0" rIns="0" bIns="0" anchor="ctr">
                <a:spAutoFit/>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'Chart 7 Market Value Endow Inv'!$A$5:$A$9</c:f>
              <c:numCache>
                <c:formatCode>General</c:formatCode>
                <c:ptCount val="5"/>
                <c:pt idx="0">
                  <c:v>2017</c:v>
                </c:pt>
                <c:pt idx="1">
                  <c:v>2018</c:v>
                </c:pt>
                <c:pt idx="2">
                  <c:v>2019</c:v>
                </c:pt>
                <c:pt idx="3">
                  <c:v>2020</c:v>
                </c:pt>
                <c:pt idx="4">
                  <c:v>2021</c:v>
                </c:pt>
              </c:numCache>
            </c:numRef>
          </c:cat>
          <c:val>
            <c:numRef>
              <c:f>'Chart 7 Market Value Endow Inv'!$C$5:$C$9</c:f>
              <c:numCache>
                <c:formatCode>_("$"* #,##0_);_("$"* \(#,##0\);_("$"* "-"_);_(@_)</c:formatCode>
                <c:ptCount val="5"/>
                <c:pt idx="0">
                  <c:v>17</c:v>
                </c:pt>
                <c:pt idx="1">
                  <c:v>19</c:v>
                </c:pt>
                <c:pt idx="2">
                  <c:v>25</c:v>
                </c:pt>
                <c:pt idx="3">
                  <c:v>26</c:v>
                </c:pt>
                <c:pt idx="4">
                  <c:v>35</c:v>
                </c:pt>
              </c:numCache>
            </c:numRef>
          </c:val>
          <c:extLst>
            <c:ext xmlns:c16="http://schemas.microsoft.com/office/drawing/2014/chart" uri="{C3380CC4-5D6E-409C-BE32-E72D297353CC}">
              <c16:uniqueId val="{00000001-395B-4462-B4F3-9CB446F52A6F}"/>
            </c:ext>
          </c:extLst>
        </c:ser>
        <c:dLbls>
          <c:showLegendKey val="0"/>
          <c:showVal val="1"/>
          <c:showCatName val="0"/>
          <c:showSerName val="0"/>
          <c:showPercent val="0"/>
          <c:showBubbleSize val="0"/>
        </c:dLbls>
        <c:gapWidth val="160"/>
        <c:axId val="1214032784"/>
        <c:axId val="1214034032"/>
      </c:barChart>
      <c:barChart>
        <c:barDir val="col"/>
        <c:grouping val="clustered"/>
        <c:varyColors val="0"/>
        <c:ser>
          <c:idx val="2"/>
          <c:order val="2"/>
          <c:tx>
            <c:strRef>
              <c:f>'Chart 7 Market Value Endow Inv'!$D$4</c:f>
              <c:strCache>
                <c:ptCount val="1"/>
                <c:pt idx="0">
                  <c:v>Total</c:v>
                </c:pt>
              </c:strCache>
            </c:strRef>
          </c:tx>
          <c:spPr>
            <a:solidFill>
              <a:schemeClr val="accent1">
                <a:alpha val="25000"/>
              </a:schemeClr>
            </a:solidFill>
            <a:ln>
              <a:solidFill>
                <a:srgbClr val="8CB8DC"/>
              </a:solidFill>
            </a:ln>
            <a:effectLst/>
            <a:scene3d>
              <a:camera prst="orthographicFront"/>
              <a:lightRig rig="threePt" dir="t"/>
            </a:scene3d>
            <a:sp3d>
              <a:bevelT h="50800"/>
              <a:bevelB/>
            </a:sp3d>
          </c:spPr>
          <c:invertIfNegative val="0"/>
          <c:dPt>
            <c:idx val="0"/>
            <c:invertIfNegative val="0"/>
            <c:bubble3D val="0"/>
            <c:spPr>
              <a:solidFill>
                <a:schemeClr val="accent1">
                  <a:alpha val="25000"/>
                </a:schemeClr>
              </a:solidFill>
              <a:ln>
                <a:solidFill>
                  <a:srgbClr val="8CB8DC"/>
                </a:solidFill>
              </a:ln>
              <a:effectLst/>
              <a:scene3d>
                <a:camera prst="orthographicFront"/>
                <a:lightRig rig="threePt" dir="t"/>
              </a:scene3d>
              <a:sp3d>
                <a:bevelT h="50800"/>
                <a:bevelB/>
              </a:sp3d>
            </c:spPr>
            <c:extLst>
              <c:ext xmlns:c16="http://schemas.microsoft.com/office/drawing/2014/chart" uri="{C3380CC4-5D6E-409C-BE32-E72D297353CC}">
                <c16:uniqueId val="{00000003-395B-4462-B4F3-9CB446F52A6F}"/>
              </c:ext>
            </c:extLst>
          </c:dPt>
          <c:dLbls>
            <c:spPr>
              <a:noFill/>
              <a:ln>
                <a:noFill/>
              </a:ln>
              <a:effectLst/>
            </c:spPr>
            <c:txPr>
              <a:bodyPr wrap="square" lIns="0" tIns="0" rIns="0" bIns="0" anchor="ctr">
                <a:spAutoFit/>
              </a:bodyPr>
              <a:lstStyle/>
              <a:p>
                <a:pPr>
                  <a:defRPr sz="9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'Chart 7 Market Value Endow Inv'!$A$5:$A$9</c:f>
              <c:numCache>
                <c:formatCode>General</c:formatCode>
                <c:ptCount val="5"/>
                <c:pt idx="0">
                  <c:v>2017</c:v>
                </c:pt>
                <c:pt idx="1">
                  <c:v>2018</c:v>
                </c:pt>
                <c:pt idx="2">
                  <c:v>2019</c:v>
                </c:pt>
                <c:pt idx="3">
                  <c:v>2020</c:v>
                </c:pt>
                <c:pt idx="4">
                  <c:v>2021</c:v>
                </c:pt>
              </c:numCache>
            </c:numRef>
          </c:cat>
          <c:val>
            <c:numRef>
              <c:f>'Chart 7 Market Value Endow Inv'!$D$5:$D$9</c:f>
              <c:numCache>
                <c:formatCode>_("$"* #,##0_);_("$"* \(#,##0\);_("$"* "-"_);_(@_)</c:formatCode>
                <c:ptCount val="5"/>
                <c:pt idx="0">
                  <c:v>144</c:v>
                </c:pt>
                <c:pt idx="1">
                  <c:v>150</c:v>
                </c:pt>
                <c:pt idx="2">
                  <c:v>160</c:v>
                </c:pt>
                <c:pt idx="3">
                  <c:v>161</c:v>
                </c:pt>
                <c:pt idx="4">
                  <c:v>196</c:v>
                </c:pt>
              </c:numCache>
            </c:numRef>
          </c:val>
          <c:extLst>
            <c:ext xmlns:c16="http://schemas.microsoft.com/office/drawing/2014/chart" uri="{C3380CC4-5D6E-409C-BE32-E72D297353CC}">
              <c16:uniqueId val="{00000004-395B-4462-B4F3-9CB446F52A6F}"/>
            </c:ext>
          </c:extLst>
        </c:ser>
        <c:dLbls>
          <c:showLegendKey val="0"/>
          <c:showVal val="0"/>
          <c:showCatName val="0"/>
          <c:showSerName val="0"/>
          <c:showPercent val="0"/>
          <c:showBubbleSize val="0"/>
        </c:dLbls>
        <c:gapWidth val="79"/>
        <c:axId val="1762746463"/>
        <c:axId val="1763000959"/>
      </c:barChart>
      <c:catAx>
        <c:axId val="121403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14034032"/>
        <c:crosses val="autoZero"/>
        <c:auto val="1"/>
        <c:lblAlgn val="ctr"/>
        <c:lblOffset val="100"/>
        <c:noMultiLvlLbl val="0"/>
      </c:catAx>
      <c:valAx>
        <c:axId val="12140340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14032784"/>
        <c:crosses val="autoZero"/>
        <c:crossBetween val="between"/>
        <c:majorUnit val="50"/>
      </c:valAx>
      <c:valAx>
        <c:axId val="1763000959"/>
        <c:scaling>
          <c:orientation val="minMax"/>
          <c:max val="200"/>
        </c:scaling>
        <c:delete val="1"/>
        <c:axPos val="r"/>
        <c:numFmt formatCode="_(&quot;$&quot;* #,##0_);_(&quot;$&quot;* \(#,##0\);_(&quot;$&quot;* &quot;-&quot;_);_(@_)" sourceLinked="1"/>
        <c:majorTickMark val="out"/>
        <c:minorTickMark val="none"/>
        <c:tickLblPos val="nextTo"/>
        <c:crossAx val="1762746463"/>
        <c:crosses val="max"/>
        <c:crossBetween val="between"/>
        <c:majorUnit val="50"/>
      </c:valAx>
      <c:catAx>
        <c:axId val="1762746463"/>
        <c:scaling>
          <c:orientation val="minMax"/>
        </c:scaling>
        <c:delete val="1"/>
        <c:axPos val="b"/>
        <c:numFmt formatCode="General" sourceLinked="1"/>
        <c:majorTickMark val="out"/>
        <c:minorTickMark val="none"/>
        <c:tickLblPos val="nextTo"/>
        <c:crossAx val="1763000959"/>
        <c:crosses val="autoZero"/>
        <c:auto val="1"/>
        <c:lblAlgn val="ctr"/>
        <c:lblOffset val="100"/>
        <c:noMultiLvlLbl val="0"/>
      </c:catAx>
      <c:spPr>
        <a:noFill/>
        <a:ln>
          <a:noFill/>
        </a:ln>
        <a:effectLst/>
      </c:spPr>
    </c:plotArea>
    <c:legend>
      <c:legendPos val="b"/>
      <c:overlay val="0"/>
      <c:txPr>
        <a:bodyPr/>
        <a:lstStyle/>
        <a:p>
          <a:pPr>
            <a:defRPr sz="900"/>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400" b="1">
                <a:solidFill>
                  <a:schemeClr val="tx1">
                    <a:lumMod val="95000"/>
                    <a:lumOff val="5000"/>
                  </a:schemeClr>
                </a:solidFill>
              </a:rPr>
              <a:t>Chart 9: Total Financial Aid</a:t>
            </a:r>
          </a:p>
          <a:p>
            <a:pPr>
              <a:defRPr sz="1400" b="1" i="0" u="none" strike="noStrike" kern="1200" spc="0" baseline="0">
                <a:solidFill>
                  <a:schemeClr val="tx1">
                    <a:lumMod val="95000"/>
                    <a:lumOff val="5000"/>
                  </a:schemeClr>
                </a:solidFill>
                <a:latin typeface="+mn-lt"/>
                <a:ea typeface="+mn-ea"/>
                <a:cs typeface="+mn-cs"/>
              </a:defRPr>
            </a:pPr>
            <a:r>
              <a:rPr lang="en-US" sz="1100" b="1">
                <a:solidFill>
                  <a:schemeClr val="tx1">
                    <a:lumMod val="95000"/>
                    <a:lumOff val="5000"/>
                  </a:schemeClr>
                </a:solidFill>
              </a:rPr>
              <a:t>(In</a:t>
            </a:r>
            <a:r>
              <a:rPr lang="en-US" sz="1100" b="1" baseline="0">
                <a:solidFill>
                  <a:schemeClr val="tx1">
                    <a:lumMod val="95000"/>
                    <a:lumOff val="5000"/>
                  </a:schemeClr>
                </a:solidFill>
              </a:rPr>
              <a:t> millions)</a:t>
            </a:r>
            <a:endParaRPr lang="en-US" sz="1100" b="1">
              <a:solidFill>
                <a:schemeClr val="tx1">
                  <a:lumMod val="95000"/>
                  <a:lumOff val="5000"/>
                </a:schemeClr>
              </a:solidFill>
            </a:endParaRPr>
          </a:p>
        </c:rich>
      </c:tx>
      <c:overlay val="0"/>
      <c:spPr>
        <a:noFill/>
        <a:ln>
          <a:noFill/>
        </a:ln>
        <a:effectLst/>
      </c:spPr>
    </c:title>
    <c:autoTitleDeleted val="0"/>
    <c:plotArea>
      <c:layout/>
      <c:lineChart>
        <c:grouping val="standard"/>
        <c:varyColors val="0"/>
        <c:ser>
          <c:idx val="0"/>
          <c:order val="0"/>
          <c:tx>
            <c:strRef>
              <c:f>'Student Financial Aid'!$B$1</c:f>
              <c:strCache>
                <c:ptCount val="1"/>
                <c:pt idx="0">
                  <c:v>Total Financial Aid</c:v>
                </c:pt>
              </c:strCache>
            </c:strRef>
          </c:tx>
          <c:spPr>
            <a:ln w="28575" cap="rnd">
              <a:solidFill>
                <a:srgbClr val="00688D"/>
              </a:solidFill>
              <a:round/>
            </a:ln>
            <a:effectLst/>
          </c:spPr>
          <c:marker>
            <c:symbol val="circle"/>
            <c:size val="5"/>
            <c:spPr>
              <a:solidFill>
                <a:schemeClr val="accent1"/>
              </a:solidFill>
              <a:ln w="9525">
                <a:solidFill>
                  <a:srgbClr val="00688D"/>
                </a:solidFill>
              </a:ln>
              <a:effectLst/>
              <a:scene3d>
                <a:camera prst="orthographicFront"/>
                <a:lightRig rig="threePt" dir="t"/>
              </a:scene3d>
              <a:sp3d>
                <a:bevelT h="50800"/>
              </a:sp3d>
            </c:spPr>
          </c:marker>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'Student Financial Aid'!$A$6:$A$10</c:f>
              <c:numCache>
                <c:formatCode>General</c:formatCode>
                <c:ptCount val="5"/>
                <c:pt idx="0">
                  <c:v>2017</c:v>
                </c:pt>
                <c:pt idx="1">
                  <c:v>2018</c:v>
                </c:pt>
                <c:pt idx="2">
                  <c:v>2019</c:v>
                </c:pt>
                <c:pt idx="3">
                  <c:v>2020</c:v>
                </c:pt>
                <c:pt idx="4">
                  <c:v>2021</c:v>
                </c:pt>
              </c:numCache>
            </c:numRef>
          </c:cat>
          <c:val>
            <c:numRef>
              <c:f>'Student Financial Aid'!$B$6:$B$10</c:f>
              <c:numCache>
                <c:formatCode>_("$"* #,##0_);_("$"* \(#,##0\);_("$"* "-"??_);_(@_)</c:formatCode>
                <c:ptCount val="5"/>
                <c:pt idx="0">
                  <c:v>128</c:v>
                </c:pt>
                <c:pt idx="1">
                  <c:v>141</c:v>
                </c:pt>
                <c:pt idx="2">
                  <c:v>150</c:v>
                </c:pt>
                <c:pt idx="3">
                  <c:v>163</c:v>
                </c:pt>
                <c:pt idx="4">
                  <c:v>162</c:v>
                </c:pt>
              </c:numCache>
            </c:numRef>
          </c:val>
          <c:smooth val="0"/>
          <c:extLst>
            <c:ext xmlns:c16="http://schemas.microsoft.com/office/drawing/2014/chart" uri="{C3380CC4-5D6E-409C-BE32-E72D297353CC}">
              <c16:uniqueId val="{00000000-5F03-4989-97D0-AFB8BBB3F722}"/>
            </c:ext>
          </c:extLst>
        </c:ser>
        <c:dLbls>
          <c:dLblPos val="t"/>
          <c:showLegendKey val="0"/>
          <c:showVal val="1"/>
          <c:showCatName val="0"/>
          <c:showSerName val="0"/>
          <c:showPercent val="0"/>
          <c:showBubbleSize val="0"/>
        </c:dLbls>
        <c:marker val="1"/>
        <c:smooth val="0"/>
        <c:axId val="184141888"/>
        <c:axId val="184142448"/>
      </c:lineChart>
      <c:catAx>
        <c:axId val="18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84142448"/>
        <c:crosses val="autoZero"/>
        <c:auto val="1"/>
        <c:lblAlgn val="ctr"/>
        <c:lblOffset val="100"/>
        <c:noMultiLvlLbl val="0"/>
      </c:catAx>
      <c:valAx>
        <c:axId val="184142448"/>
        <c:scaling>
          <c:orientation val="minMax"/>
          <c:min val="12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84141888"/>
        <c:crosses val="autoZero"/>
        <c:crossBetween val="between"/>
        <c:majorUnit val="5"/>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11: Noncapital State Appropriation</a:t>
            </a:r>
            <a:r>
              <a:rPr lang="en-US" b="1" baseline="0">
                <a:solidFill>
                  <a:schemeClr val="tx1">
                    <a:lumMod val="95000"/>
                    <a:lumOff val="5000"/>
                  </a:schemeClr>
                </a:solidFill>
              </a:rPr>
              <a:t> and Annual Percentage Change</a:t>
            </a:r>
          </a:p>
          <a:p>
            <a:pPr>
              <a:defRPr sz="1400" b="1" i="0" u="none" strike="noStrike" kern="1200" spc="0" baseline="0">
                <a:solidFill>
                  <a:schemeClr val="tx1">
                    <a:lumMod val="95000"/>
                    <a:lumOff val="5000"/>
                  </a:schemeClr>
                </a:solidFill>
                <a:latin typeface="+mn-lt"/>
                <a:ea typeface="+mn-ea"/>
                <a:cs typeface="+mn-cs"/>
              </a:defRPr>
            </a:pPr>
            <a:r>
              <a:rPr lang="en-US" sz="1100" b="1" baseline="0">
                <a:solidFill>
                  <a:schemeClr val="tx1">
                    <a:lumMod val="95000"/>
                    <a:lumOff val="5000"/>
                  </a:schemeClr>
                </a:solidFill>
              </a:rPr>
              <a:t>(In millions)</a:t>
            </a:r>
            <a:endParaRPr lang="en-US" sz="1100" b="1">
              <a:solidFill>
                <a:schemeClr val="tx1">
                  <a:lumMod val="95000"/>
                  <a:lumOff val="5000"/>
                </a:schemeClr>
              </a:solidFill>
            </a:endParaRPr>
          </a:p>
        </c:rich>
      </c:tx>
      <c:overlay val="0"/>
      <c:spPr>
        <a:noFill/>
        <a:ln>
          <a:noFill/>
        </a:ln>
        <a:effectLst/>
      </c:spPr>
    </c:title>
    <c:autoTitleDeleted val="0"/>
    <c:plotArea>
      <c:layout/>
      <c:barChart>
        <c:barDir val="col"/>
        <c:grouping val="clustered"/>
        <c:varyColors val="0"/>
        <c:ser>
          <c:idx val="0"/>
          <c:order val="0"/>
          <c:spPr>
            <a:solidFill>
              <a:srgbClr val="00688D"/>
            </a:solidFill>
            <a:ln>
              <a:noFill/>
            </a:ln>
            <a:effectLst/>
            <a:scene3d>
              <a:camera prst="orthographicFront"/>
              <a:lightRig rig="threePt" dir="t"/>
            </a:scene3d>
            <a:sp3d>
              <a:bevelT h="50800"/>
            </a:sp3d>
          </c:spPr>
          <c:invertIfNegative val="0"/>
          <c:dLbls>
            <c:dLbl>
              <c:idx val="0"/>
              <c:tx>
                <c:rich>
                  <a:bodyPr/>
                  <a:lstStyle/>
                  <a:p>
                    <a:fld id="{CB39097E-21ED-4FFF-9F33-575A639C47AC}" type="VALUE">
                      <a:rPr lang="en-US"/>
                      <a:pPr/>
                      <a:t>[VALUE]</a:t>
                    </a:fld>
                    <a:r>
                      <a:rPr lang="en-US"/>
                      <a:t> </a:t>
                    </a:r>
                  </a:p>
                  <a:p>
                    <a:r>
                      <a:rPr lang="en-US"/>
                      <a:t>Change: 5.5%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86D-4BE6-843A-867636CB4EC6}"/>
                </c:ext>
              </c:extLst>
            </c:dLbl>
            <c:dLbl>
              <c:idx val="1"/>
              <c:tx>
                <c:rich>
                  <a:bodyPr/>
                  <a:lstStyle/>
                  <a:p>
                    <a:fld id="{28EA1716-4905-47E0-AB3C-5BCDE6C72FD2}" type="VALUE">
                      <a:rPr lang="en-US"/>
                      <a:pPr/>
                      <a:t>[VALUE]</a:t>
                    </a:fld>
                    <a:r>
                      <a:rPr lang="en-US"/>
                      <a:t> </a:t>
                    </a:r>
                  </a:p>
                  <a:p>
                    <a:r>
                      <a:rPr lang="en-US"/>
                      <a:t>Change:</a:t>
                    </a:r>
                    <a:r>
                      <a:rPr lang="en-US" baseline="0"/>
                      <a:t> (0.5%)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86D-4BE6-843A-867636CB4EC6}"/>
                </c:ext>
              </c:extLst>
            </c:dLbl>
            <c:dLbl>
              <c:idx val="2"/>
              <c:tx>
                <c:rich>
                  <a:bodyPr/>
                  <a:lstStyle/>
                  <a:p>
                    <a:fld id="{C69C5B44-D5B1-481C-8767-39CD6FAA510F}" type="VALUE">
                      <a:rPr lang="en-US"/>
                      <a:pPr/>
                      <a:t>[VALUE]</a:t>
                    </a:fld>
                    <a:r>
                      <a:rPr lang="en-US"/>
                      <a:t> </a:t>
                    </a:r>
                  </a:p>
                  <a:p>
                    <a:r>
                      <a:rPr lang="en-US"/>
                      <a:t>Change:</a:t>
                    </a:r>
                    <a:r>
                      <a:rPr lang="en-US" baseline="0"/>
                      <a:t> 0.5%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86D-4BE6-843A-867636CB4EC6}"/>
                </c:ext>
              </c:extLst>
            </c:dLbl>
            <c:dLbl>
              <c:idx val="3"/>
              <c:tx>
                <c:rich>
                  <a:bodyPr/>
                  <a:lstStyle/>
                  <a:p>
                    <a:fld id="{78C9CB1C-826D-4AC7-8B16-CD438DF91128}" type="VALUE">
                      <a:rPr lang="en-US"/>
                      <a:pPr/>
                      <a:t>[VALUE]</a:t>
                    </a:fld>
                    <a:r>
                      <a:rPr lang="en-US"/>
                      <a:t> </a:t>
                    </a:r>
                  </a:p>
                  <a:p>
                    <a:r>
                      <a:rPr lang="en-US"/>
                      <a:t>Change: 3.8%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86D-4BE6-843A-867636CB4EC6}"/>
                </c:ext>
              </c:extLst>
            </c:dLbl>
            <c:dLbl>
              <c:idx val="4"/>
              <c:tx>
                <c:rich>
                  <a:bodyPr/>
                  <a:lstStyle/>
                  <a:p>
                    <a:fld id="{B1DE2D50-34EC-4ED9-B161-A94B7E82DAF4}" type="VALUE">
                      <a:rPr lang="en-US"/>
                      <a:pPr/>
                      <a:t>[VALUE]</a:t>
                    </a:fld>
                    <a:r>
                      <a:rPr lang="en-US"/>
                      <a:t> </a:t>
                    </a:r>
                  </a:p>
                  <a:p>
                    <a:r>
                      <a:rPr lang="en-US"/>
                      <a:t>Change:</a:t>
                    </a:r>
                    <a:r>
                      <a:rPr lang="en-US" baseline="0"/>
                      <a:t> (-0.9)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86D-4BE6-843A-867636CB4EC6}"/>
                </c:ext>
              </c:extLst>
            </c:dLbl>
            <c:spPr>
              <a:noFill/>
              <a:ln>
                <a:noFill/>
              </a:ln>
              <a:effectLst/>
            </c:spPr>
            <c:txPr>
              <a:bodyPr wrap="square" lIns="38100" tIns="19050" rIns="38100" bIns="19050" anchor="ctr">
                <a:spAutoFit/>
              </a:bodyPr>
              <a:lstStyle/>
              <a:p>
                <a:pPr>
                  <a:defRPr sz="800" b="0" i="0" baseline="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11'!$A$6:$A$10</c:f>
              <c:strCache>
                <c:ptCount val="5"/>
                <c:pt idx="0">
                  <c:v>FY17</c:v>
                </c:pt>
                <c:pt idx="1">
                  <c:v>FY18</c:v>
                </c:pt>
                <c:pt idx="2">
                  <c:v>FY19</c:v>
                </c:pt>
                <c:pt idx="3">
                  <c:v>FY20</c:v>
                </c:pt>
                <c:pt idx="4">
                  <c:v>FY21</c:v>
                </c:pt>
              </c:strCache>
            </c:strRef>
          </c:cat>
          <c:val>
            <c:numRef>
              <c:f>'Chart 11'!$D$6:$D$10</c:f>
              <c:numCache>
                <c:formatCode>"$"#,##0</c:formatCode>
                <c:ptCount val="5"/>
                <c:pt idx="0">
                  <c:v>212</c:v>
                </c:pt>
                <c:pt idx="1">
                  <c:v>211</c:v>
                </c:pt>
                <c:pt idx="2">
                  <c:v>212</c:v>
                </c:pt>
                <c:pt idx="3">
                  <c:v>220</c:v>
                </c:pt>
                <c:pt idx="4">
                  <c:v>218</c:v>
                </c:pt>
              </c:numCache>
            </c:numRef>
          </c:val>
          <c:extLst>
            <c:ext xmlns:c16="http://schemas.microsoft.com/office/drawing/2014/chart" uri="{C3380CC4-5D6E-409C-BE32-E72D297353CC}">
              <c16:uniqueId val="{00000005-C86D-4BE6-843A-867636CB4EC6}"/>
            </c:ext>
          </c:extLst>
        </c:ser>
        <c:dLbls>
          <c:dLblPos val="outEnd"/>
          <c:showLegendKey val="0"/>
          <c:showVal val="1"/>
          <c:showCatName val="0"/>
          <c:showSerName val="0"/>
          <c:showPercent val="0"/>
          <c:showBubbleSize val="0"/>
        </c:dLbls>
        <c:gapWidth val="219"/>
        <c:overlap val="-27"/>
        <c:axId val="1109976976"/>
        <c:axId val="1109976560"/>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'Chart 11'!$A$6:$A$10</c15:sqref>
                        </c15:formulaRef>
                      </c:ext>
                    </c:extLst>
                    <c:strCache>
                      <c:ptCount val="5"/>
                      <c:pt idx="0">
                        <c:v>FY17</c:v>
                      </c:pt>
                      <c:pt idx="1">
                        <c:v>FY18</c:v>
                      </c:pt>
                      <c:pt idx="2">
                        <c:v>FY19</c:v>
                      </c:pt>
                      <c:pt idx="3">
                        <c:v>FY20</c:v>
                      </c:pt>
                      <c:pt idx="4">
                        <c:v>FY21</c:v>
                      </c:pt>
                    </c:strCache>
                  </c:strRef>
                </c:cat>
                <c:val>
                  <c:numRef>
                    <c:extLst>
                      <c:ext uri="{02D57815-91ED-43cb-92C2-25804820EDAC}">
                        <c15:formulaRef>
                          <c15:sqref>'Chart 11'!$E$6:$E$10</c15:sqref>
                        </c15:formulaRef>
                      </c:ext>
                    </c:extLst>
                    <c:numCache>
                      <c:formatCode>0.0%_);\(0.0%\)</c:formatCode>
                      <c:ptCount val="5"/>
                      <c:pt idx="0">
                        <c:v>5.4726368159203981E-2</c:v>
                      </c:pt>
                      <c:pt idx="1">
                        <c:v>-4.7169811320754715E-3</c:v>
                      </c:pt>
                      <c:pt idx="2">
                        <c:v>4.7393364928909956E-3</c:v>
                      </c:pt>
                      <c:pt idx="3">
                        <c:v>3.7735849056603772E-2</c:v>
                      </c:pt>
                      <c:pt idx="4">
                        <c:v>-9.0909090909090905E-3</c:v>
                      </c:pt>
                    </c:numCache>
                  </c:numRef>
                </c:val>
                <c:extLst>
                  <c:ext xmlns:c16="http://schemas.microsoft.com/office/drawing/2014/chart" uri="{C3380CC4-5D6E-409C-BE32-E72D297353CC}">
                    <c16:uniqueId val="{00000006-C86D-4BE6-843A-867636CB4EC6}"/>
                  </c:ext>
                </c:extLst>
              </c15:ser>
            </c15:filteredBarSeries>
          </c:ext>
        </c:extLst>
      </c:barChart>
      <c:catAx>
        <c:axId val="110997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109976560"/>
        <c:crosses val="autoZero"/>
        <c:auto val="1"/>
        <c:lblAlgn val="ctr"/>
        <c:lblOffset val="100"/>
        <c:noMultiLvlLbl val="0"/>
      </c:catAx>
      <c:valAx>
        <c:axId val="1109976560"/>
        <c:scaling>
          <c:orientation val="minMax"/>
          <c:min val="19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109976976"/>
        <c:crosses val="autoZero"/>
        <c:crossBetween val="between"/>
        <c:majorUnit val="10"/>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cdr:x>
      <cdr:y>0.36692</cdr:y>
    </cdr:from>
    <cdr:to>
      <cdr:x>0.10811</cdr:x>
      <cdr:y>0.44107</cdr:y>
    </cdr:to>
    <cdr:sp macro="" textlink="">
      <cdr:nvSpPr>
        <cdr:cNvPr id="3" name="TextBox 2"/>
        <cdr:cNvSpPr txBox="1"/>
      </cdr:nvSpPr>
      <cdr:spPr>
        <a:xfrm xmlns:a="http://schemas.openxmlformats.org/drawingml/2006/main">
          <a:off x="0" y="1392358"/>
          <a:ext cx="663970" cy="281382"/>
        </a:xfrm>
        <a:prstGeom xmlns:a="http://schemas.openxmlformats.org/drawingml/2006/main" prst="rect">
          <a:avLst/>
        </a:prstGeom>
      </cdr:spPr>
      <cdr:txBody>
        <a:bodyPr xmlns:a="http://schemas.openxmlformats.org/drawingml/2006/main" vertOverflow="clip" wrap="square" lIns="45720" tIns="0" rIns="0" bIns="0" rtlCol="0"/>
        <a:lstStyle xmlns:a="http://schemas.openxmlformats.org/drawingml/2006/main"/>
        <a:p xmlns:a="http://schemas.openxmlformats.org/drawingml/2006/main">
          <a:pPr algn="l"/>
          <a:r>
            <a:rPr lang="en-US" sz="800"/>
            <a:t>International Equities</a:t>
          </a:r>
          <a:endParaRPr lang="en-US" sz="1050"/>
        </a:p>
      </cdr:txBody>
    </cdr:sp>
  </cdr:relSizeAnchor>
  <cdr:relSizeAnchor xmlns:cdr="http://schemas.openxmlformats.org/drawingml/2006/chartDrawing">
    <cdr:from>
      <cdr:x>0</cdr:x>
      <cdr:y>0.52825</cdr:y>
    </cdr:from>
    <cdr:to>
      <cdr:x>0.10794</cdr:x>
      <cdr:y>0.60423</cdr:y>
    </cdr:to>
    <cdr:sp macro="" textlink="">
      <cdr:nvSpPr>
        <cdr:cNvPr id="5" name="TextBox 1"/>
        <cdr:cNvSpPr txBox="1"/>
      </cdr:nvSpPr>
      <cdr:spPr>
        <a:xfrm xmlns:a="http://schemas.openxmlformats.org/drawingml/2006/main">
          <a:off x="0" y="2004597"/>
          <a:ext cx="662940" cy="288326"/>
        </a:xfrm>
        <a:prstGeom xmlns:a="http://schemas.openxmlformats.org/drawingml/2006/main" prst="rect">
          <a:avLst/>
        </a:prstGeom>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t>Global Asset Allocation</a:t>
          </a:r>
        </a:p>
      </cdr:txBody>
    </cdr:sp>
  </cdr:relSizeAnchor>
  <cdr:relSizeAnchor xmlns:cdr="http://schemas.openxmlformats.org/drawingml/2006/chartDrawing">
    <cdr:from>
      <cdr:x>0</cdr:x>
      <cdr:y>0.67307</cdr:y>
    </cdr:from>
    <cdr:to>
      <cdr:x>0.10553</cdr:x>
      <cdr:y>0.71382</cdr:y>
    </cdr:to>
    <cdr:sp macro="" textlink="">
      <cdr:nvSpPr>
        <cdr:cNvPr id="6" name="TextBox 1"/>
        <cdr:cNvSpPr txBox="1"/>
      </cdr:nvSpPr>
      <cdr:spPr>
        <a:xfrm xmlns:a="http://schemas.openxmlformats.org/drawingml/2006/main">
          <a:off x="0" y="2678502"/>
          <a:ext cx="640697" cy="162167"/>
        </a:xfrm>
        <a:prstGeom xmlns:a="http://schemas.openxmlformats.org/drawingml/2006/main" prst="rect">
          <a:avLst/>
        </a:prstGeom>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t>Fixed Income</a:t>
          </a:r>
        </a:p>
      </cdr:txBody>
    </cdr:sp>
  </cdr:relSizeAnchor>
  <cdr:relSizeAnchor xmlns:cdr="http://schemas.openxmlformats.org/drawingml/2006/chartDrawing">
    <cdr:from>
      <cdr:x>0</cdr:x>
      <cdr:y>0.75472</cdr:y>
    </cdr:from>
    <cdr:to>
      <cdr:x>0.10811</cdr:x>
      <cdr:y>0.82554</cdr:y>
    </cdr:to>
    <cdr:sp macro="" textlink="">
      <cdr:nvSpPr>
        <cdr:cNvPr id="7" name="TextBox 1"/>
        <cdr:cNvSpPr txBox="1"/>
      </cdr:nvSpPr>
      <cdr:spPr>
        <a:xfrm xmlns:a="http://schemas.openxmlformats.org/drawingml/2006/main">
          <a:off x="0" y="2863973"/>
          <a:ext cx="663951" cy="268756"/>
        </a:xfrm>
        <a:prstGeom xmlns:a="http://schemas.openxmlformats.org/drawingml/2006/main" prst="rect">
          <a:avLst/>
        </a:prstGeom>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t>Domestic</a:t>
          </a:r>
          <a:r>
            <a:rPr lang="en-US" sz="800" baseline="0"/>
            <a:t> Equities</a:t>
          </a:r>
          <a:endParaRPr lang="en-US" sz="800"/>
        </a:p>
      </cdr:txBody>
    </cdr:sp>
  </cdr:relSizeAnchor>
  <cdr:relSizeAnchor xmlns:cdr="http://schemas.openxmlformats.org/drawingml/2006/chartDrawing">
    <cdr:from>
      <cdr:x>0</cdr:x>
      <cdr:y>0.84612</cdr:y>
    </cdr:from>
    <cdr:to>
      <cdr:x>0.11197</cdr:x>
      <cdr:y>0.8851</cdr:y>
    </cdr:to>
    <cdr:sp macro="" textlink="">
      <cdr:nvSpPr>
        <cdr:cNvPr id="8" name="TextBox 1"/>
        <cdr:cNvSpPr txBox="1"/>
      </cdr:nvSpPr>
      <cdr:spPr>
        <a:xfrm xmlns:a="http://schemas.openxmlformats.org/drawingml/2006/main">
          <a:off x="0" y="3210841"/>
          <a:ext cx="687683" cy="147902"/>
        </a:xfrm>
        <a:prstGeom xmlns:a="http://schemas.openxmlformats.org/drawingml/2006/main" prst="rect">
          <a:avLst/>
        </a:prstGeom>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t>Cash</a:t>
          </a:r>
          <a:endParaRPr lang="en-US" sz="900"/>
        </a:p>
      </cdr:txBody>
    </cdr:sp>
  </cdr:relSizeAnchor>
  <cdr:relSizeAnchor xmlns:cdr="http://schemas.openxmlformats.org/drawingml/2006/chartDrawing">
    <cdr:from>
      <cdr:x>0</cdr:x>
      <cdr:y>0.31219</cdr:y>
    </cdr:from>
    <cdr:to>
      <cdr:x>0.07851</cdr:x>
      <cdr:y>0.34664</cdr:y>
    </cdr:to>
    <cdr:sp macro="" textlink="">
      <cdr:nvSpPr>
        <cdr:cNvPr id="9" name="TextBox 1"/>
        <cdr:cNvSpPr txBox="1"/>
      </cdr:nvSpPr>
      <cdr:spPr>
        <a:xfrm xmlns:a="http://schemas.openxmlformats.org/drawingml/2006/main">
          <a:off x="0" y="1152941"/>
          <a:ext cx="464837" cy="127227"/>
        </a:xfrm>
        <a:prstGeom xmlns:a="http://schemas.openxmlformats.org/drawingml/2006/main" prst="rect">
          <a:avLst/>
        </a:prstGeom>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t>Timber</a:t>
          </a:r>
        </a:p>
      </cdr:txBody>
    </cdr:sp>
  </cdr:relSizeAnchor>
  <cdr:relSizeAnchor xmlns:cdr="http://schemas.openxmlformats.org/drawingml/2006/chartDrawing">
    <cdr:from>
      <cdr:x>0</cdr:x>
      <cdr:y>0.47711</cdr:y>
    </cdr:from>
    <cdr:to>
      <cdr:x>0.1067</cdr:x>
      <cdr:y>0.52008</cdr:y>
    </cdr:to>
    <cdr:sp macro="" textlink="">
      <cdr:nvSpPr>
        <cdr:cNvPr id="10" name="TextBox 1"/>
        <cdr:cNvSpPr txBox="1"/>
      </cdr:nvSpPr>
      <cdr:spPr>
        <a:xfrm xmlns:a="http://schemas.openxmlformats.org/drawingml/2006/main">
          <a:off x="0" y="1810516"/>
          <a:ext cx="655320" cy="163064"/>
        </a:xfrm>
        <a:prstGeom xmlns:a="http://schemas.openxmlformats.org/drawingml/2006/main" prst="rect">
          <a:avLst/>
        </a:prstGeom>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t>Hedge</a:t>
          </a:r>
          <a:r>
            <a:rPr lang="en-US" sz="800" baseline="0"/>
            <a:t> Funds</a:t>
          </a:r>
          <a:endParaRPr lang="en-US" sz="800"/>
        </a:p>
      </cdr:txBody>
    </cdr:sp>
  </cdr:relSizeAnchor>
  <cdr:relSizeAnchor xmlns:cdr="http://schemas.openxmlformats.org/drawingml/2006/chartDrawing">
    <cdr:from>
      <cdr:x>0</cdr:x>
      <cdr:y>0.71065</cdr:y>
    </cdr:from>
    <cdr:to>
      <cdr:x>0.10682</cdr:x>
      <cdr:y>0.74986</cdr:y>
    </cdr:to>
    <cdr:sp macro="" textlink="">
      <cdr:nvSpPr>
        <cdr:cNvPr id="2" name="TextBox 1"/>
        <cdr:cNvSpPr txBox="1"/>
      </cdr:nvSpPr>
      <cdr:spPr>
        <a:xfrm xmlns:a="http://schemas.openxmlformats.org/drawingml/2006/main">
          <a:off x="0" y="2828078"/>
          <a:ext cx="648529" cy="156038"/>
        </a:xfrm>
        <a:prstGeom xmlns:a="http://schemas.openxmlformats.org/drawingml/2006/main" prst="rect">
          <a:avLst/>
        </a:prstGeom>
      </cdr:spPr>
      <cdr:txBody>
        <a:bodyPr xmlns:a="http://schemas.openxmlformats.org/drawingml/2006/main" vertOverflow="clip" wrap="square" lIns="45720" tIns="0" rIns="0" bIns="0" rtlCol="0"/>
        <a:lstStyle xmlns:a="http://schemas.openxmlformats.org/drawingml/2006/main"/>
        <a:p xmlns:a="http://schemas.openxmlformats.org/drawingml/2006/main">
          <a:pPr algn="l"/>
          <a:r>
            <a:rPr lang="en-US" sz="800"/>
            <a:t>Private Equity</a:t>
          </a:r>
        </a:p>
      </cdr:txBody>
    </cdr:sp>
  </cdr:relSizeAnchor>
  <cdr:relSizeAnchor xmlns:cdr="http://schemas.openxmlformats.org/drawingml/2006/chartDrawing">
    <cdr:from>
      <cdr:x>0</cdr:x>
      <cdr:y>0.61537</cdr:y>
    </cdr:from>
    <cdr:to>
      <cdr:x>0.11538</cdr:x>
      <cdr:y>0.65714</cdr:y>
    </cdr:to>
    <cdr:sp macro="" textlink="">
      <cdr:nvSpPr>
        <cdr:cNvPr id="4" name="TextBox 3"/>
        <cdr:cNvSpPr txBox="1"/>
      </cdr:nvSpPr>
      <cdr:spPr>
        <a:xfrm xmlns:a="http://schemas.openxmlformats.org/drawingml/2006/main">
          <a:off x="0" y="1969445"/>
          <a:ext cx="685800" cy="133675"/>
        </a:xfrm>
        <a:prstGeom xmlns:a="http://schemas.openxmlformats.org/drawingml/2006/main" prst="rect">
          <a:avLst/>
        </a:prstGeom>
      </cdr:spPr>
      <cdr:txBody>
        <a:bodyPr xmlns:a="http://schemas.openxmlformats.org/drawingml/2006/main" vertOverflow="clip" wrap="square" lIns="45720" tIns="0" rIns="0" bIns="0" rtlCol="0"/>
        <a:lstStyle xmlns:a="http://schemas.openxmlformats.org/drawingml/2006/main"/>
        <a:p xmlns:a="http://schemas.openxmlformats.org/drawingml/2006/main">
          <a:pPr algn="l"/>
          <a:r>
            <a:rPr lang="en-US" sz="800"/>
            <a:t>Global</a:t>
          </a:r>
          <a:r>
            <a:rPr lang="en-US" sz="800" baseline="0"/>
            <a:t> Equities</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7E5D1-1D43-40DC-AC3A-43147012D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111</Pages>
  <Words>24022</Words>
  <Characters>136930</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160631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Bragg</dc:creator>
  <cp:keywords/>
  <dc:description/>
  <cp:lastModifiedBy>Emily Bragg</cp:lastModifiedBy>
  <cp:revision>11</cp:revision>
  <cp:lastPrinted>2021-10-21T13:56:00Z</cp:lastPrinted>
  <dcterms:created xsi:type="dcterms:W3CDTF">2021-12-03T14:14:00Z</dcterms:created>
  <dcterms:modified xsi:type="dcterms:W3CDTF">2021-12-08T18:50:00Z</dcterms:modified>
</cp:coreProperties>
</file>