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5CC8" w14:textId="77777777" w:rsidR="005256DA" w:rsidRPr="00B772DF" w:rsidRDefault="005256DA" w:rsidP="00B772DF">
      <w:pPr>
        <w:pStyle w:val="Heading1"/>
      </w:pPr>
      <w:r w:rsidRPr="00B772DF">
        <w:t>University of Maine System</w:t>
      </w:r>
    </w:p>
    <w:p w14:paraId="179A2F83" w14:textId="77777777" w:rsidR="005256DA" w:rsidRPr="00B772DF" w:rsidRDefault="005256DA" w:rsidP="00B772DF">
      <w:pPr>
        <w:pStyle w:val="Heading1"/>
      </w:pPr>
    </w:p>
    <w:p w14:paraId="111D79AD" w14:textId="77777777" w:rsidR="005256DA" w:rsidRPr="00B772DF" w:rsidRDefault="005256DA" w:rsidP="00B772DF">
      <w:pPr>
        <w:pStyle w:val="Heading1"/>
      </w:pPr>
      <w:r w:rsidRPr="00B772DF">
        <w:t>Response to Public Law</w:t>
      </w:r>
      <w:r w:rsidR="006962DD" w:rsidRPr="00B772DF">
        <w:t xml:space="preserve"> 2013, Chapter</w:t>
      </w:r>
      <w:r w:rsidRPr="00B772DF">
        <w:t xml:space="preserve"> 166, 126th Maine Legislature</w:t>
      </w:r>
    </w:p>
    <w:p w14:paraId="32D1A775" w14:textId="77777777" w:rsidR="005256DA" w:rsidRPr="00B772DF" w:rsidRDefault="005256DA" w:rsidP="00B772DF">
      <w:pPr>
        <w:pStyle w:val="Heading1"/>
      </w:pPr>
      <w:r w:rsidRPr="00B772DF">
        <w:t xml:space="preserve">“An Act Regarding Enrollment and Graduation Rates of </w:t>
      </w:r>
    </w:p>
    <w:p w14:paraId="3E1E2B95" w14:textId="420DC6D1" w:rsidR="005256DA" w:rsidRPr="00B772DF" w:rsidRDefault="005256DA" w:rsidP="00B772DF">
      <w:pPr>
        <w:pStyle w:val="Heading1"/>
      </w:pPr>
      <w:r w:rsidRPr="00B772DF">
        <w:t>First-Generation Higher Education Students”</w:t>
      </w:r>
    </w:p>
    <w:p w14:paraId="267ACF4B" w14:textId="0EE93255" w:rsidR="005256DA" w:rsidRPr="00B772DF" w:rsidRDefault="00540408" w:rsidP="00B772DF">
      <w:pPr>
        <w:pStyle w:val="Heading1"/>
      </w:pPr>
      <w:r w:rsidRPr="00B772DF">
        <w:t>January 15, 2022</w:t>
      </w:r>
    </w:p>
    <w:p w14:paraId="506F33C1" w14:textId="77777777" w:rsidR="004E6669" w:rsidRPr="0061483E" w:rsidRDefault="004E6669" w:rsidP="00117D4D">
      <w:pPr>
        <w:spacing w:after="0"/>
        <w:rPr>
          <w:sz w:val="24"/>
          <w:szCs w:val="24"/>
        </w:rPr>
      </w:pPr>
    </w:p>
    <w:p w14:paraId="55216634" w14:textId="77777777" w:rsidR="007470D4" w:rsidRPr="00B772DF" w:rsidRDefault="007470D4" w:rsidP="00B772DF">
      <w:pPr>
        <w:pStyle w:val="Heading2"/>
      </w:pPr>
      <w:r w:rsidRPr="00B772DF">
        <w:t>Overview of the Legislation</w:t>
      </w:r>
      <w:r w:rsidR="008A47B8" w:rsidRPr="00B772DF">
        <w:t xml:space="preserve"> and Data Collection</w:t>
      </w:r>
    </w:p>
    <w:p w14:paraId="7D5AB2BA" w14:textId="77777777" w:rsidR="007470D4" w:rsidRPr="0061483E" w:rsidRDefault="007470D4" w:rsidP="007470D4">
      <w:pPr>
        <w:spacing w:after="0"/>
        <w:rPr>
          <w:sz w:val="24"/>
          <w:szCs w:val="24"/>
          <w:u w:val="single"/>
        </w:rPr>
      </w:pPr>
    </w:p>
    <w:p w14:paraId="1B87819C" w14:textId="7122BF95" w:rsidR="007470D4" w:rsidRPr="0061483E" w:rsidRDefault="00764DB8" w:rsidP="007470D4">
      <w:pPr>
        <w:spacing w:after="0"/>
        <w:rPr>
          <w:sz w:val="24"/>
          <w:szCs w:val="24"/>
        </w:rPr>
      </w:pPr>
      <w:r>
        <w:rPr>
          <w:sz w:val="24"/>
          <w:szCs w:val="24"/>
        </w:rPr>
        <w:t>Public law Chapter 166 requires</w:t>
      </w:r>
      <w:r w:rsidR="007470D4" w:rsidRPr="0061483E">
        <w:rPr>
          <w:sz w:val="24"/>
          <w:szCs w:val="24"/>
        </w:rPr>
        <w:t xml:space="preserve"> the University of Maine System (UMS), Maine Community College System (MCCS) and Maine Maritime Academy (MMA) to provide the following information about first-generation college students by January 15</w:t>
      </w:r>
      <w:r w:rsidR="007470D4" w:rsidRPr="0061483E">
        <w:rPr>
          <w:sz w:val="24"/>
          <w:szCs w:val="24"/>
          <w:vertAlign w:val="superscript"/>
        </w:rPr>
        <w:t>th</w:t>
      </w:r>
      <w:r w:rsidR="007470D4" w:rsidRPr="0061483E">
        <w:rPr>
          <w:sz w:val="24"/>
          <w:szCs w:val="24"/>
        </w:rPr>
        <w:t xml:space="preserve"> of each year:</w:t>
      </w:r>
    </w:p>
    <w:p w14:paraId="3883F0D9" w14:textId="77777777" w:rsidR="00323E55" w:rsidRPr="00323E55" w:rsidRDefault="007470D4" w:rsidP="00323E55">
      <w:pPr>
        <w:pStyle w:val="ListParagraph"/>
        <w:numPr>
          <w:ilvl w:val="0"/>
          <w:numId w:val="6"/>
        </w:numPr>
        <w:spacing w:after="0"/>
        <w:rPr>
          <w:sz w:val="24"/>
          <w:szCs w:val="24"/>
        </w:rPr>
      </w:pPr>
      <w:r w:rsidRPr="00323E55">
        <w:rPr>
          <w:sz w:val="24"/>
          <w:szCs w:val="24"/>
        </w:rPr>
        <w:t xml:space="preserve">Data regarding enrollment of first-generation college students and educational </w:t>
      </w:r>
    </w:p>
    <w:p w14:paraId="38BB90FF" w14:textId="77777777" w:rsidR="00323E55" w:rsidRDefault="00323E55" w:rsidP="007470D4">
      <w:pPr>
        <w:spacing w:after="0"/>
        <w:rPr>
          <w:sz w:val="24"/>
          <w:szCs w:val="24"/>
        </w:rPr>
      </w:pPr>
      <w:r>
        <w:rPr>
          <w:sz w:val="24"/>
          <w:szCs w:val="24"/>
        </w:rPr>
        <w:tab/>
      </w:r>
      <w:r w:rsidR="007470D4" w:rsidRPr="0061483E">
        <w:rPr>
          <w:sz w:val="24"/>
          <w:szCs w:val="24"/>
        </w:rPr>
        <w:t>outcomes, including graduation rates for first generation college students compared</w:t>
      </w:r>
    </w:p>
    <w:p w14:paraId="0EB64A27" w14:textId="77777777" w:rsidR="007470D4" w:rsidRPr="0061483E" w:rsidRDefault="007470D4" w:rsidP="00323E55">
      <w:pPr>
        <w:spacing w:after="0"/>
        <w:ind w:firstLine="720"/>
        <w:rPr>
          <w:sz w:val="24"/>
          <w:szCs w:val="24"/>
        </w:rPr>
      </w:pPr>
      <w:r w:rsidRPr="0061483E">
        <w:rPr>
          <w:sz w:val="24"/>
          <w:szCs w:val="24"/>
        </w:rPr>
        <w:t xml:space="preserve">with other college </w:t>
      </w:r>
      <w:proofErr w:type="gramStart"/>
      <w:r w:rsidRPr="0061483E">
        <w:rPr>
          <w:sz w:val="24"/>
          <w:szCs w:val="24"/>
        </w:rPr>
        <w:t>students;</w:t>
      </w:r>
      <w:proofErr w:type="gramEnd"/>
    </w:p>
    <w:p w14:paraId="02476089" w14:textId="77777777" w:rsidR="007470D4" w:rsidRPr="00323E55" w:rsidRDefault="007470D4" w:rsidP="00DB3193">
      <w:pPr>
        <w:pStyle w:val="ListParagraph"/>
        <w:numPr>
          <w:ilvl w:val="0"/>
          <w:numId w:val="6"/>
        </w:numPr>
        <w:spacing w:after="0"/>
        <w:rPr>
          <w:sz w:val="24"/>
          <w:szCs w:val="24"/>
        </w:rPr>
      </w:pPr>
      <w:r w:rsidRPr="00323E55">
        <w:rPr>
          <w:sz w:val="24"/>
          <w:szCs w:val="24"/>
        </w:rPr>
        <w:t xml:space="preserve">A summary of strategies </w:t>
      </w:r>
      <w:proofErr w:type="gramStart"/>
      <w:r w:rsidRPr="00323E55">
        <w:rPr>
          <w:sz w:val="24"/>
          <w:szCs w:val="24"/>
        </w:rPr>
        <w:t>used</w:t>
      </w:r>
      <w:proofErr w:type="gramEnd"/>
      <w:r w:rsidRPr="00323E55">
        <w:rPr>
          <w:sz w:val="24"/>
          <w:szCs w:val="24"/>
        </w:rPr>
        <w:t xml:space="preserve"> and activities undertaken to increase enrollment and graduation rates of first-generation college students and any available data indicating the effect of these strategies and activities; </w:t>
      </w:r>
      <w:r w:rsidRPr="00323E55">
        <w:rPr>
          <w:sz w:val="24"/>
          <w:szCs w:val="24"/>
        </w:rPr>
        <w:tab/>
        <w:t>and</w:t>
      </w:r>
    </w:p>
    <w:p w14:paraId="074F1B40" w14:textId="77777777" w:rsidR="007470D4" w:rsidRPr="00323E55" w:rsidRDefault="007470D4" w:rsidP="00DB3193">
      <w:pPr>
        <w:pStyle w:val="ListParagraph"/>
        <w:numPr>
          <w:ilvl w:val="0"/>
          <w:numId w:val="6"/>
        </w:numPr>
        <w:spacing w:after="0"/>
        <w:rPr>
          <w:sz w:val="24"/>
          <w:szCs w:val="24"/>
        </w:rPr>
      </w:pPr>
      <w:r w:rsidRPr="00323E55">
        <w:rPr>
          <w:sz w:val="24"/>
          <w:szCs w:val="24"/>
        </w:rPr>
        <w:t>Plans for or recommendations regarding new strategies or actions designed to increase enrollment and graduation rates of first-generation college students.</w:t>
      </w:r>
    </w:p>
    <w:p w14:paraId="00D51191" w14:textId="77777777" w:rsidR="007470D4" w:rsidRPr="0061483E" w:rsidRDefault="007470D4" w:rsidP="007470D4">
      <w:pPr>
        <w:spacing w:after="0"/>
        <w:rPr>
          <w:sz w:val="24"/>
          <w:szCs w:val="24"/>
        </w:rPr>
      </w:pPr>
    </w:p>
    <w:p w14:paraId="090F8B56" w14:textId="77777777" w:rsidR="007470D4" w:rsidRPr="0061483E" w:rsidRDefault="007470D4" w:rsidP="007470D4">
      <w:pPr>
        <w:spacing w:after="0"/>
        <w:rPr>
          <w:sz w:val="24"/>
          <w:szCs w:val="24"/>
        </w:rPr>
      </w:pPr>
      <w:proofErr w:type="gramStart"/>
      <w:r w:rsidRPr="0061483E">
        <w:rPr>
          <w:sz w:val="24"/>
          <w:szCs w:val="24"/>
        </w:rPr>
        <w:t>In order to</w:t>
      </w:r>
      <w:proofErr w:type="gramEnd"/>
      <w:r w:rsidRPr="0061483E">
        <w:rPr>
          <w:sz w:val="24"/>
          <w:szCs w:val="24"/>
        </w:rPr>
        <w:t xml:space="preserve"> meet the requirements of the legislation in a consistent way, </w:t>
      </w:r>
      <w:r w:rsidR="008E030D" w:rsidRPr="0061483E">
        <w:rPr>
          <w:sz w:val="24"/>
          <w:szCs w:val="24"/>
        </w:rPr>
        <w:t xml:space="preserve">between July and November of 2013, </w:t>
      </w:r>
      <w:r w:rsidRPr="0061483E">
        <w:rPr>
          <w:sz w:val="24"/>
          <w:szCs w:val="24"/>
        </w:rPr>
        <w:t xml:space="preserve">the University </w:t>
      </w:r>
      <w:r w:rsidR="008E030D" w:rsidRPr="0061483E">
        <w:rPr>
          <w:sz w:val="24"/>
          <w:szCs w:val="24"/>
        </w:rPr>
        <w:t>of Maine System worked</w:t>
      </w:r>
      <w:r w:rsidRPr="0061483E">
        <w:rPr>
          <w:sz w:val="24"/>
          <w:szCs w:val="24"/>
        </w:rPr>
        <w:t xml:space="preserve"> with the Maine Community College System and Maine Maritime to coordinate data collection and reporting in order to ensure that our reporting of enrollment and outcomes are presented in a similar</w:t>
      </w:r>
      <w:r w:rsidR="00792036" w:rsidRPr="0061483E">
        <w:rPr>
          <w:sz w:val="24"/>
          <w:szCs w:val="24"/>
        </w:rPr>
        <w:t xml:space="preserve"> manner and</w:t>
      </w:r>
      <w:r w:rsidRPr="0061483E">
        <w:rPr>
          <w:sz w:val="24"/>
          <w:szCs w:val="24"/>
        </w:rPr>
        <w:t xml:space="preserve"> format across all campuses.</w:t>
      </w:r>
    </w:p>
    <w:p w14:paraId="34611825" w14:textId="77777777" w:rsidR="007470D4" w:rsidRPr="0061483E" w:rsidRDefault="007470D4" w:rsidP="007470D4">
      <w:pPr>
        <w:spacing w:after="0"/>
        <w:rPr>
          <w:sz w:val="24"/>
          <w:szCs w:val="24"/>
        </w:rPr>
      </w:pPr>
    </w:p>
    <w:p w14:paraId="0BE820D5" w14:textId="25AE5159" w:rsidR="00D22CF1" w:rsidRDefault="007470D4" w:rsidP="00D22CF1">
      <w:pPr>
        <w:spacing w:after="0"/>
        <w:rPr>
          <w:sz w:val="24"/>
          <w:szCs w:val="24"/>
        </w:rPr>
      </w:pPr>
      <w:r w:rsidRPr="0061483E">
        <w:rPr>
          <w:sz w:val="24"/>
          <w:szCs w:val="24"/>
        </w:rPr>
        <w:t xml:space="preserve">Collectively, we agreed that our definition, for the purpose of this report, would be that for a student to be a first-generation student, neither parent would have </w:t>
      </w:r>
      <w:r w:rsidRPr="0061483E">
        <w:rPr>
          <w:i/>
          <w:sz w:val="24"/>
          <w:szCs w:val="24"/>
        </w:rPr>
        <w:t>completed</w:t>
      </w:r>
      <w:r w:rsidRPr="0061483E">
        <w:rPr>
          <w:sz w:val="24"/>
          <w:szCs w:val="24"/>
        </w:rPr>
        <w:t xml:space="preserve"> a college degree. Each institution determined what level of degree was most appropriate to its mission; in the case of the UMS, a first-generation college student is a student </w:t>
      </w:r>
      <w:r w:rsidRPr="00323E55">
        <w:rPr>
          <w:i/>
          <w:sz w:val="24"/>
          <w:szCs w:val="24"/>
        </w:rPr>
        <w:t>neither of whose parents has earned a bachelor’s degree</w:t>
      </w:r>
      <w:r w:rsidRPr="0061483E">
        <w:rPr>
          <w:sz w:val="24"/>
          <w:szCs w:val="24"/>
        </w:rPr>
        <w:t>.</w:t>
      </w:r>
      <w:r w:rsidR="00EC4E82" w:rsidRPr="0061483E">
        <w:rPr>
          <w:sz w:val="24"/>
          <w:szCs w:val="24"/>
        </w:rPr>
        <w:t xml:space="preserve"> Further, we will repor</w:t>
      </w:r>
      <w:r w:rsidR="00B73D8F">
        <w:rPr>
          <w:sz w:val="24"/>
          <w:szCs w:val="24"/>
        </w:rPr>
        <w:t>t on both first time and transfer</w:t>
      </w:r>
      <w:r w:rsidR="00EC4E82" w:rsidRPr="0061483E">
        <w:rPr>
          <w:sz w:val="24"/>
          <w:szCs w:val="24"/>
        </w:rPr>
        <w:t xml:space="preserve"> degree seeking students</w:t>
      </w:r>
      <w:r w:rsidR="00F32CBE">
        <w:rPr>
          <w:sz w:val="24"/>
          <w:szCs w:val="24"/>
        </w:rPr>
        <w:t>, beginning with the Fall 2014 cohort</w:t>
      </w:r>
      <w:r w:rsidR="00EC4E82" w:rsidRPr="0061483E">
        <w:rPr>
          <w:sz w:val="24"/>
          <w:szCs w:val="24"/>
        </w:rPr>
        <w:t>.</w:t>
      </w:r>
      <w:r w:rsidR="008E030D" w:rsidRPr="0061483E">
        <w:rPr>
          <w:sz w:val="24"/>
          <w:szCs w:val="24"/>
        </w:rPr>
        <w:t xml:space="preserve"> Finally, when reporting graduation, we will report graduation up to the 150% standard (up to six years).</w:t>
      </w:r>
      <w:r w:rsidR="000D4FA0">
        <w:rPr>
          <w:sz w:val="24"/>
          <w:szCs w:val="24"/>
        </w:rPr>
        <w:t xml:space="preserve"> </w:t>
      </w:r>
      <w:r w:rsidR="00D22CF1">
        <w:rPr>
          <w:sz w:val="24"/>
          <w:szCs w:val="24"/>
        </w:rPr>
        <w:t>The first cohort for which we would provide this additional information would be the 2014 cohort</w:t>
      </w:r>
      <w:r w:rsidR="00113331">
        <w:rPr>
          <w:sz w:val="24"/>
          <w:szCs w:val="24"/>
        </w:rPr>
        <w:t>, provided with last year’s report</w:t>
      </w:r>
      <w:r w:rsidR="00B3318F">
        <w:rPr>
          <w:sz w:val="24"/>
          <w:szCs w:val="24"/>
        </w:rPr>
        <w:t>.</w:t>
      </w:r>
      <w:r w:rsidR="00D22CF1">
        <w:rPr>
          <w:sz w:val="24"/>
          <w:szCs w:val="24"/>
        </w:rPr>
        <w:t xml:space="preserve"> </w:t>
      </w:r>
    </w:p>
    <w:p w14:paraId="634052B5" w14:textId="77777777" w:rsidR="007470D4" w:rsidRDefault="007470D4" w:rsidP="007470D4">
      <w:pPr>
        <w:spacing w:after="0"/>
        <w:rPr>
          <w:sz w:val="24"/>
          <w:szCs w:val="24"/>
        </w:rPr>
      </w:pPr>
    </w:p>
    <w:p w14:paraId="35B1E6F6" w14:textId="77777777" w:rsidR="00D22CF1" w:rsidRPr="0061483E" w:rsidRDefault="00D22CF1" w:rsidP="007470D4">
      <w:pPr>
        <w:spacing w:after="0"/>
        <w:rPr>
          <w:sz w:val="24"/>
          <w:szCs w:val="24"/>
        </w:rPr>
      </w:pPr>
    </w:p>
    <w:p w14:paraId="04F632DA" w14:textId="77777777" w:rsidR="007470D4" w:rsidRDefault="007470D4" w:rsidP="007470D4">
      <w:pPr>
        <w:spacing w:after="0"/>
        <w:rPr>
          <w:sz w:val="24"/>
          <w:szCs w:val="24"/>
        </w:rPr>
      </w:pPr>
      <w:r w:rsidRPr="0061483E">
        <w:rPr>
          <w:sz w:val="24"/>
          <w:szCs w:val="24"/>
        </w:rPr>
        <w:lastRenderedPageBreak/>
        <w:t>We also worked together to determine how best to collect information related to first-generation status going forward and agreed that the admissions applications were the appropriate venue for this. Our a</w:t>
      </w:r>
      <w:r w:rsidR="00B73D8F">
        <w:rPr>
          <w:sz w:val="24"/>
          <w:szCs w:val="24"/>
        </w:rPr>
        <w:t>dmissions applications were</w:t>
      </w:r>
      <w:r w:rsidRPr="0061483E">
        <w:rPr>
          <w:sz w:val="24"/>
          <w:szCs w:val="24"/>
        </w:rPr>
        <w:t xml:space="preserve"> revised to incorporate questions that are more specific about the degree l</w:t>
      </w:r>
      <w:r w:rsidR="00B73D8F">
        <w:rPr>
          <w:sz w:val="24"/>
          <w:szCs w:val="24"/>
        </w:rPr>
        <w:t xml:space="preserve">evel completed by each </w:t>
      </w:r>
      <w:proofErr w:type="gramStart"/>
      <w:r w:rsidR="00B73D8F">
        <w:rPr>
          <w:sz w:val="24"/>
          <w:szCs w:val="24"/>
        </w:rPr>
        <w:t>parent</w:t>
      </w:r>
      <w:proofErr w:type="gramEnd"/>
      <w:r w:rsidR="00B73D8F">
        <w:rPr>
          <w:sz w:val="24"/>
          <w:szCs w:val="24"/>
        </w:rPr>
        <w:t xml:space="preserve"> but t</w:t>
      </w:r>
      <w:r w:rsidRPr="0061483E">
        <w:rPr>
          <w:sz w:val="24"/>
          <w:szCs w:val="24"/>
        </w:rPr>
        <w:t>hese cha</w:t>
      </w:r>
      <w:r w:rsidR="00B73D8F">
        <w:rPr>
          <w:sz w:val="24"/>
          <w:szCs w:val="24"/>
        </w:rPr>
        <w:t>nges did not go</w:t>
      </w:r>
      <w:r w:rsidRPr="0061483E">
        <w:rPr>
          <w:sz w:val="24"/>
          <w:szCs w:val="24"/>
        </w:rPr>
        <w:t xml:space="preserve"> in</w:t>
      </w:r>
      <w:r w:rsidR="00B73D8F">
        <w:rPr>
          <w:sz w:val="24"/>
          <w:szCs w:val="24"/>
        </w:rPr>
        <w:t>to</w:t>
      </w:r>
      <w:r w:rsidRPr="0061483E">
        <w:rPr>
          <w:sz w:val="24"/>
          <w:szCs w:val="24"/>
        </w:rPr>
        <w:t xml:space="preserve"> effect</w:t>
      </w:r>
      <w:r w:rsidR="00B73D8F">
        <w:rPr>
          <w:sz w:val="24"/>
          <w:szCs w:val="24"/>
        </w:rPr>
        <w:t xml:space="preserve"> until February 2014, </w:t>
      </w:r>
      <w:r w:rsidRPr="0061483E">
        <w:rPr>
          <w:sz w:val="24"/>
          <w:szCs w:val="24"/>
        </w:rPr>
        <w:t>for the class entering</w:t>
      </w:r>
      <w:r w:rsidR="0085331F" w:rsidRPr="0061483E">
        <w:rPr>
          <w:sz w:val="24"/>
          <w:szCs w:val="24"/>
        </w:rPr>
        <w:t xml:space="preserve"> Fall</w:t>
      </w:r>
      <w:r w:rsidRPr="0061483E">
        <w:rPr>
          <w:sz w:val="24"/>
          <w:szCs w:val="24"/>
        </w:rPr>
        <w:t xml:space="preserve"> 2014. </w:t>
      </w:r>
    </w:p>
    <w:p w14:paraId="7409939C" w14:textId="77777777" w:rsidR="00FF4CED" w:rsidRDefault="00FF4CED" w:rsidP="007470D4">
      <w:pPr>
        <w:spacing w:after="0"/>
        <w:rPr>
          <w:sz w:val="24"/>
          <w:szCs w:val="24"/>
        </w:rPr>
      </w:pPr>
    </w:p>
    <w:p w14:paraId="2E70AD47" w14:textId="06C60413" w:rsidR="00FF4CED" w:rsidRPr="00B772DF" w:rsidRDefault="00113331" w:rsidP="00B772DF">
      <w:pPr>
        <w:pStyle w:val="Heading3"/>
      </w:pPr>
      <w:r w:rsidRPr="00B772DF">
        <w:t>2021</w:t>
      </w:r>
      <w:r w:rsidR="00FF4CED" w:rsidRPr="00B772DF">
        <w:t xml:space="preserve"> Cohort Enrollment</w:t>
      </w:r>
    </w:p>
    <w:p w14:paraId="33B43BF5" w14:textId="77777777" w:rsidR="00D9457D" w:rsidRPr="00C86071" w:rsidRDefault="00D9457D" w:rsidP="007470D4">
      <w:pPr>
        <w:spacing w:after="0"/>
        <w:rPr>
          <w:b/>
          <w:i/>
          <w:sz w:val="24"/>
          <w:szCs w:val="24"/>
        </w:rPr>
      </w:pPr>
    </w:p>
    <w:p w14:paraId="246D0491" w14:textId="6C8E9BA2" w:rsidR="00D9457D" w:rsidRDefault="00A0229C" w:rsidP="00D9457D">
      <w:pPr>
        <w:spacing w:after="0"/>
        <w:rPr>
          <w:sz w:val="24"/>
          <w:szCs w:val="24"/>
        </w:rPr>
      </w:pPr>
      <w:r>
        <w:rPr>
          <w:sz w:val="24"/>
          <w:szCs w:val="24"/>
        </w:rPr>
        <w:t>For 20</w:t>
      </w:r>
      <w:r w:rsidR="00113331">
        <w:rPr>
          <w:sz w:val="24"/>
          <w:szCs w:val="24"/>
        </w:rPr>
        <w:t>21</w:t>
      </w:r>
      <w:r w:rsidR="00D9457D">
        <w:rPr>
          <w:sz w:val="24"/>
          <w:szCs w:val="24"/>
        </w:rPr>
        <w:t xml:space="preserve">, we are providing statistics for students who entered one </w:t>
      </w:r>
      <w:r w:rsidR="007E3525">
        <w:rPr>
          <w:sz w:val="24"/>
          <w:szCs w:val="24"/>
        </w:rPr>
        <w:t>of our institutions in Fal</w:t>
      </w:r>
      <w:r>
        <w:rPr>
          <w:sz w:val="24"/>
          <w:szCs w:val="24"/>
        </w:rPr>
        <w:t>l 20</w:t>
      </w:r>
      <w:r w:rsidR="00712BA8">
        <w:rPr>
          <w:sz w:val="24"/>
          <w:szCs w:val="24"/>
        </w:rPr>
        <w:t>21</w:t>
      </w:r>
      <w:r w:rsidR="00D9457D">
        <w:rPr>
          <w:sz w:val="24"/>
          <w:szCs w:val="24"/>
        </w:rPr>
        <w:t xml:space="preserve"> divided by campus and first-time or transfer status, and additionally are providing data for the entire cohort as well as those who are attending full time (Table 1). We are also providing corresponding information for the s</w:t>
      </w:r>
      <w:r w:rsidR="007E3525">
        <w:rPr>
          <w:sz w:val="24"/>
          <w:szCs w:val="24"/>
        </w:rPr>
        <w:t>tudents who entered in Fa</w:t>
      </w:r>
      <w:r w:rsidR="00113331">
        <w:rPr>
          <w:sz w:val="24"/>
          <w:szCs w:val="24"/>
        </w:rPr>
        <w:t>ll 2020 and Fall 2019</w:t>
      </w:r>
      <w:r w:rsidR="00D9457D">
        <w:rPr>
          <w:sz w:val="24"/>
          <w:szCs w:val="24"/>
        </w:rPr>
        <w:t xml:space="preserve"> (Table 2</w:t>
      </w:r>
      <w:r w:rsidR="007E3525">
        <w:rPr>
          <w:sz w:val="24"/>
          <w:szCs w:val="24"/>
        </w:rPr>
        <w:t xml:space="preserve"> and 3</w:t>
      </w:r>
      <w:r w:rsidR="00D9457D">
        <w:rPr>
          <w:sz w:val="24"/>
          <w:szCs w:val="24"/>
        </w:rPr>
        <w:t xml:space="preserve">).  </w:t>
      </w:r>
      <w:r w:rsidR="00712BA8">
        <w:rPr>
          <w:sz w:val="24"/>
          <w:szCs w:val="24"/>
        </w:rPr>
        <w:t>While o</w:t>
      </w:r>
      <w:r w:rsidR="00D9457D">
        <w:rPr>
          <w:sz w:val="24"/>
          <w:szCs w:val="24"/>
        </w:rPr>
        <w:t>ur percent</w:t>
      </w:r>
      <w:r w:rsidR="00712BA8">
        <w:rPr>
          <w:sz w:val="24"/>
          <w:szCs w:val="24"/>
        </w:rPr>
        <w:t>age</w:t>
      </w:r>
      <w:r w:rsidR="00E312CF">
        <w:rPr>
          <w:sz w:val="24"/>
          <w:szCs w:val="24"/>
        </w:rPr>
        <w:t xml:space="preserve"> of first-</w:t>
      </w:r>
      <w:r w:rsidR="00D9457D">
        <w:rPr>
          <w:sz w:val="24"/>
          <w:szCs w:val="24"/>
        </w:rPr>
        <w:t>gene</w:t>
      </w:r>
      <w:r w:rsidR="00DB3193">
        <w:rPr>
          <w:sz w:val="24"/>
          <w:szCs w:val="24"/>
        </w:rPr>
        <w:t>ration students</w:t>
      </w:r>
      <w:r w:rsidR="00712BA8">
        <w:rPr>
          <w:sz w:val="24"/>
          <w:szCs w:val="24"/>
        </w:rPr>
        <w:t xml:space="preserve"> increased slightly versus Fall 2020, both Fall 2021 and Fall 2020 saw a decline versus Fall 2019</w:t>
      </w:r>
      <w:r w:rsidR="00804B62">
        <w:rPr>
          <w:sz w:val="24"/>
          <w:szCs w:val="24"/>
        </w:rPr>
        <w:t xml:space="preserve">, in all likelihood reflecting the national trend that saw fewer </w:t>
      </w:r>
      <w:proofErr w:type="gramStart"/>
      <w:r w:rsidR="00804B62">
        <w:rPr>
          <w:sz w:val="24"/>
          <w:szCs w:val="24"/>
        </w:rPr>
        <w:t>first generation</w:t>
      </w:r>
      <w:proofErr w:type="gramEnd"/>
      <w:r w:rsidR="00804B62">
        <w:rPr>
          <w:sz w:val="24"/>
          <w:szCs w:val="24"/>
        </w:rPr>
        <w:t xml:space="preserve"> students attending college in the Fall 2020 </w:t>
      </w:r>
      <w:r w:rsidR="00113331">
        <w:rPr>
          <w:sz w:val="24"/>
          <w:szCs w:val="24"/>
        </w:rPr>
        <w:t xml:space="preserve">and Fall 2021 </w:t>
      </w:r>
      <w:r w:rsidR="00804B62">
        <w:rPr>
          <w:sz w:val="24"/>
          <w:szCs w:val="24"/>
        </w:rPr>
        <w:t>semester</w:t>
      </w:r>
      <w:r w:rsidR="00113331">
        <w:rPr>
          <w:sz w:val="24"/>
          <w:szCs w:val="24"/>
        </w:rPr>
        <w:t>s</w:t>
      </w:r>
      <w:r w:rsidR="006623B7">
        <w:rPr>
          <w:rStyle w:val="FootnoteReference"/>
          <w:sz w:val="24"/>
          <w:szCs w:val="24"/>
        </w:rPr>
        <w:footnoteReference w:id="1"/>
      </w:r>
      <w:r w:rsidR="00D9457D">
        <w:rPr>
          <w:sz w:val="24"/>
          <w:szCs w:val="24"/>
        </w:rPr>
        <w:t>:</w:t>
      </w:r>
    </w:p>
    <w:p w14:paraId="0554EAFF" w14:textId="77777777" w:rsidR="00D9457D" w:rsidRDefault="00D9457D" w:rsidP="00D9457D">
      <w:pPr>
        <w:spacing w:after="0"/>
        <w:rPr>
          <w:sz w:val="24"/>
          <w:szCs w:val="24"/>
        </w:rPr>
      </w:pPr>
    </w:p>
    <w:tbl>
      <w:tblPr>
        <w:tblStyle w:val="GridTable4-Accent11"/>
        <w:tblW w:w="0" w:type="auto"/>
        <w:tblLook w:val="04A0" w:firstRow="1" w:lastRow="0" w:firstColumn="1" w:lastColumn="0" w:noHBand="0" w:noVBand="1"/>
      </w:tblPr>
      <w:tblGrid>
        <w:gridCol w:w="3519"/>
        <w:gridCol w:w="1976"/>
        <w:gridCol w:w="1981"/>
        <w:gridCol w:w="1874"/>
      </w:tblGrid>
      <w:tr w:rsidR="00B772DF" w14:paraId="1D74696C" w14:textId="03838909" w:rsidTr="00B77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9" w:type="dxa"/>
            <w:vAlign w:val="center"/>
          </w:tcPr>
          <w:p w14:paraId="66451CCA" w14:textId="1E8DE541" w:rsidR="00B772DF" w:rsidRPr="001D3D1A" w:rsidRDefault="00B772DF" w:rsidP="00A5074C"/>
        </w:tc>
        <w:tc>
          <w:tcPr>
            <w:tcW w:w="1976" w:type="dxa"/>
            <w:vAlign w:val="center"/>
          </w:tcPr>
          <w:p w14:paraId="046E5E8F" w14:textId="31F344E6" w:rsidR="00B772DF" w:rsidRPr="001D3D1A" w:rsidRDefault="00B772DF" w:rsidP="00A5074C">
            <w:pPr>
              <w:jc w:val="center"/>
              <w:cnfStyle w:val="100000000000" w:firstRow="1" w:lastRow="0" w:firstColumn="0" w:lastColumn="0" w:oddVBand="0" w:evenVBand="0" w:oddHBand="0" w:evenHBand="0" w:firstRowFirstColumn="0" w:firstRowLastColumn="0" w:lastRowFirstColumn="0" w:lastRowLastColumn="0"/>
            </w:pPr>
            <w:r>
              <w:t>Fall 2019</w:t>
            </w:r>
          </w:p>
        </w:tc>
        <w:tc>
          <w:tcPr>
            <w:tcW w:w="1981" w:type="dxa"/>
            <w:vAlign w:val="center"/>
          </w:tcPr>
          <w:p w14:paraId="192E3A04" w14:textId="312FCA26" w:rsidR="00B772DF" w:rsidRPr="001D3D1A" w:rsidRDefault="00B772DF" w:rsidP="00A5074C">
            <w:pPr>
              <w:jc w:val="center"/>
              <w:cnfStyle w:val="100000000000" w:firstRow="1" w:lastRow="0" w:firstColumn="0" w:lastColumn="0" w:oddVBand="0" w:evenVBand="0" w:oddHBand="0" w:evenHBand="0" w:firstRowFirstColumn="0" w:firstRowLastColumn="0" w:lastRowFirstColumn="0" w:lastRowLastColumn="0"/>
            </w:pPr>
            <w:r>
              <w:t>Fall 2020</w:t>
            </w:r>
          </w:p>
        </w:tc>
        <w:tc>
          <w:tcPr>
            <w:tcW w:w="1874" w:type="dxa"/>
          </w:tcPr>
          <w:p w14:paraId="682CD3FE" w14:textId="2E93831E" w:rsidR="00B772DF" w:rsidRDefault="00B772DF" w:rsidP="00A5074C">
            <w:pPr>
              <w:jc w:val="center"/>
              <w:cnfStyle w:val="100000000000" w:firstRow="1" w:lastRow="0" w:firstColumn="0" w:lastColumn="0" w:oddVBand="0" w:evenVBand="0" w:oddHBand="0" w:evenHBand="0" w:firstRowFirstColumn="0" w:firstRowLastColumn="0" w:lastRowFirstColumn="0" w:lastRowLastColumn="0"/>
            </w:pPr>
            <w:r>
              <w:t>Fall 2021</w:t>
            </w:r>
          </w:p>
        </w:tc>
      </w:tr>
      <w:tr w:rsidR="00B772DF" w14:paraId="433D58A9" w14:textId="1ACD9A2E" w:rsidTr="00B77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9" w:type="dxa"/>
            <w:vAlign w:val="center"/>
          </w:tcPr>
          <w:p w14:paraId="15FD1008" w14:textId="244CF8FC" w:rsidR="00B772DF" w:rsidRPr="00B772DF" w:rsidRDefault="00B772DF" w:rsidP="00B772DF">
            <w:pPr>
              <w:rPr>
                <w:b w:val="0"/>
                <w:bCs w:val="0"/>
              </w:rPr>
            </w:pPr>
            <w:r w:rsidRPr="00B772DF">
              <w:rPr>
                <w:b w:val="0"/>
                <w:bCs w:val="0"/>
                <w:sz w:val="24"/>
                <w:szCs w:val="24"/>
              </w:rPr>
              <w:t>Neither parent has a bachelor’s degree (all students):</w:t>
            </w:r>
          </w:p>
        </w:tc>
        <w:tc>
          <w:tcPr>
            <w:tcW w:w="1976" w:type="dxa"/>
            <w:vAlign w:val="center"/>
          </w:tcPr>
          <w:p w14:paraId="285CB470" w14:textId="6F2309C1" w:rsidR="00B772DF" w:rsidRDefault="00B772DF" w:rsidP="00B772DF">
            <w:pPr>
              <w:jc w:val="center"/>
              <w:cnfStyle w:val="000000100000" w:firstRow="0" w:lastRow="0" w:firstColumn="0" w:lastColumn="0" w:oddVBand="0" w:evenVBand="0" w:oddHBand="1" w:evenHBand="0" w:firstRowFirstColumn="0" w:firstRowLastColumn="0" w:lastRowFirstColumn="0" w:lastRowLastColumn="0"/>
              <w:rPr>
                <w:b/>
                <w:bCs/>
              </w:rPr>
            </w:pPr>
            <w:r>
              <w:rPr>
                <w:sz w:val="24"/>
                <w:szCs w:val="24"/>
              </w:rPr>
              <w:t>42.4%</w:t>
            </w:r>
          </w:p>
        </w:tc>
        <w:tc>
          <w:tcPr>
            <w:tcW w:w="1981" w:type="dxa"/>
            <w:vAlign w:val="center"/>
          </w:tcPr>
          <w:p w14:paraId="0782E2A4" w14:textId="73CE6098" w:rsidR="00B772DF" w:rsidRDefault="00B772DF" w:rsidP="00B772DF">
            <w:pPr>
              <w:jc w:val="center"/>
              <w:cnfStyle w:val="000000100000" w:firstRow="0" w:lastRow="0" w:firstColumn="0" w:lastColumn="0" w:oddVBand="0" w:evenVBand="0" w:oddHBand="1" w:evenHBand="0" w:firstRowFirstColumn="0" w:firstRowLastColumn="0" w:lastRowFirstColumn="0" w:lastRowLastColumn="0"/>
              <w:rPr>
                <w:b/>
                <w:bCs/>
              </w:rPr>
            </w:pPr>
            <w:r>
              <w:rPr>
                <w:sz w:val="24"/>
                <w:szCs w:val="24"/>
              </w:rPr>
              <w:t>40.5%</w:t>
            </w:r>
          </w:p>
        </w:tc>
        <w:tc>
          <w:tcPr>
            <w:tcW w:w="1874" w:type="dxa"/>
            <w:vAlign w:val="center"/>
          </w:tcPr>
          <w:p w14:paraId="5CA0A78F" w14:textId="4F5C9BA8" w:rsidR="00B772DF" w:rsidRDefault="00B772DF" w:rsidP="00B772D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sz w:val="24"/>
                <w:szCs w:val="24"/>
              </w:rPr>
              <w:t>40.7%</w:t>
            </w:r>
          </w:p>
        </w:tc>
      </w:tr>
      <w:tr w:rsidR="00B772DF" w14:paraId="49DEF3CD" w14:textId="1A48F26B" w:rsidTr="00B772DF">
        <w:tc>
          <w:tcPr>
            <w:cnfStyle w:val="001000000000" w:firstRow="0" w:lastRow="0" w:firstColumn="1" w:lastColumn="0" w:oddVBand="0" w:evenVBand="0" w:oddHBand="0" w:evenHBand="0" w:firstRowFirstColumn="0" w:firstRowLastColumn="0" w:lastRowFirstColumn="0" w:lastRowLastColumn="0"/>
            <w:tcW w:w="3519" w:type="dxa"/>
            <w:vAlign w:val="center"/>
          </w:tcPr>
          <w:p w14:paraId="237F363F" w14:textId="6FEAB10E" w:rsidR="00B772DF" w:rsidRPr="00B772DF" w:rsidRDefault="00B772DF" w:rsidP="00B772DF">
            <w:pPr>
              <w:rPr>
                <w:b w:val="0"/>
                <w:bCs w:val="0"/>
              </w:rPr>
            </w:pPr>
            <w:r w:rsidRPr="00B772DF">
              <w:rPr>
                <w:b w:val="0"/>
                <w:bCs w:val="0"/>
                <w:sz w:val="24"/>
                <w:szCs w:val="24"/>
              </w:rPr>
              <w:t>Neither parent has a bachelor’s degree (full time students):</w:t>
            </w:r>
          </w:p>
        </w:tc>
        <w:tc>
          <w:tcPr>
            <w:tcW w:w="1976" w:type="dxa"/>
            <w:vAlign w:val="center"/>
          </w:tcPr>
          <w:p w14:paraId="6250C31C" w14:textId="2ECC605D" w:rsidR="00B772DF" w:rsidRDefault="00B772DF" w:rsidP="00B772DF">
            <w:pPr>
              <w:jc w:val="center"/>
              <w:cnfStyle w:val="000000000000" w:firstRow="0" w:lastRow="0" w:firstColumn="0" w:lastColumn="0" w:oddVBand="0" w:evenVBand="0" w:oddHBand="0" w:evenHBand="0" w:firstRowFirstColumn="0" w:firstRowLastColumn="0" w:lastRowFirstColumn="0" w:lastRowLastColumn="0"/>
              <w:rPr>
                <w:b/>
                <w:bCs/>
              </w:rPr>
            </w:pPr>
            <w:r>
              <w:rPr>
                <w:sz w:val="24"/>
                <w:szCs w:val="24"/>
              </w:rPr>
              <w:t>39.6%</w:t>
            </w:r>
          </w:p>
        </w:tc>
        <w:tc>
          <w:tcPr>
            <w:tcW w:w="1981" w:type="dxa"/>
            <w:vAlign w:val="center"/>
          </w:tcPr>
          <w:p w14:paraId="4F59FA2A" w14:textId="71998B93" w:rsidR="00B772DF" w:rsidRDefault="00B772DF" w:rsidP="00B772DF">
            <w:pPr>
              <w:jc w:val="center"/>
              <w:cnfStyle w:val="000000000000" w:firstRow="0" w:lastRow="0" w:firstColumn="0" w:lastColumn="0" w:oddVBand="0" w:evenVBand="0" w:oddHBand="0" w:evenHBand="0" w:firstRowFirstColumn="0" w:firstRowLastColumn="0" w:lastRowFirstColumn="0" w:lastRowLastColumn="0"/>
              <w:rPr>
                <w:b/>
                <w:bCs/>
              </w:rPr>
            </w:pPr>
            <w:r>
              <w:rPr>
                <w:sz w:val="24"/>
                <w:szCs w:val="24"/>
              </w:rPr>
              <w:t>38.0%</w:t>
            </w:r>
          </w:p>
        </w:tc>
        <w:tc>
          <w:tcPr>
            <w:tcW w:w="1874" w:type="dxa"/>
            <w:vAlign w:val="center"/>
          </w:tcPr>
          <w:p w14:paraId="7B88A1B3" w14:textId="413044DB" w:rsidR="00B772DF" w:rsidRDefault="00B772DF" w:rsidP="00B772D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sz w:val="24"/>
                <w:szCs w:val="24"/>
              </w:rPr>
              <w:t>38.4%</w:t>
            </w:r>
          </w:p>
        </w:tc>
      </w:tr>
    </w:tbl>
    <w:p w14:paraId="3021E715" w14:textId="500E88CC" w:rsidR="00B3318F" w:rsidRDefault="00B3318F" w:rsidP="00D9457D">
      <w:pPr>
        <w:spacing w:after="0"/>
        <w:rPr>
          <w:sz w:val="24"/>
          <w:szCs w:val="24"/>
        </w:rPr>
      </w:pPr>
    </w:p>
    <w:p w14:paraId="58A2D42C" w14:textId="0E970A1C" w:rsidR="00E312CF" w:rsidRDefault="00E312CF" w:rsidP="00D9457D">
      <w:pPr>
        <w:spacing w:after="0"/>
        <w:rPr>
          <w:sz w:val="24"/>
          <w:szCs w:val="24"/>
        </w:rPr>
      </w:pPr>
      <w:r>
        <w:rPr>
          <w:sz w:val="24"/>
          <w:szCs w:val="24"/>
        </w:rPr>
        <w:t xml:space="preserve">When we look at the percentage of </w:t>
      </w:r>
      <w:proofErr w:type="gramStart"/>
      <w:r>
        <w:rPr>
          <w:sz w:val="24"/>
          <w:szCs w:val="24"/>
        </w:rPr>
        <w:t>all of</w:t>
      </w:r>
      <w:proofErr w:type="gramEnd"/>
      <w:r>
        <w:rPr>
          <w:sz w:val="24"/>
          <w:szCs w:val="24"/>
        </w:rPr>
        <w:t xml:space="preserve"> our undergraduates who are first-generation (so, both new and continuing students), we see a similar decline since 2019, with the percentage of all first-generation degree/certificate-seeking undergraduates falling to 41.2% in 2021 (from 43.8% in 2019).</w:t>
      </w:r>
    </w:p>
    <w:p w14:paraId="39B8117F" w14:textId="77777777" w:rsidR="00E312CF" w:rsidRDefault="00E312CF" w:rsidP="00D9457D">
      <w:pPr>
        <w:spacing w:after="0"/>
        <w:rPr>
          <w:sz w:val="24"/>
          <w:szCs w:val="24"/>
        </w:rPr>
      </w:pPr>
    </w:p>
    <w:p w14:paraId="1FAAE512" w14:textId="5CB6475D" w:rsidR="00FF4CED" w:rsidRDefault="00712BA8" w:rsidP="00B772DF">
      <w:pPr>
        <w:pStyle w:val="Heading3"/>
      </w:pPr>
      <w:r>
        <w:t>2015</w:t>
      </w:r>
      <w:r w:rsidR="00FF4CED" w:rsidRPr="00C86071">
        <w:t xml:space="preserve"> Cohort Graduation</w:t>
      </w:r>
    </w:p>
    <w:p w14:paraId="7A229F11" w14:textId="20FB041E" w:rsidR="00B3318F" w:rsidRDefault="00712BA8" w:rsidP="00D9457D">
      <w:pPr>
        <w:spacing w:after="0"/>
        <w:rPr>
          <w:sz w:val="24"/>
          <w:szCs w:val="24"/>
        </w:rPr>
      </w:pPr>
      <w:r>
        <w:rPr>
          <w:sz w:val="24"/>
          <w:szCs w:val="24"/>
        </w:rPr>
        <w:t xml:space="preserve">As referenced in the introduction to this report, these data reflect the 150% of time standard for graduation. </w:t>
      </w:r>
      <w:r w:rsidR="00B3318F">
        <w:rPr>
          <w:sz w:val="24"/>
          <w:szCs w:val="24"/>
        </w:rPr>
        <w:t xml:space="preserve">These data reflect completion at the original institution as well as any other institutions and reflect the </w:t>
      </w:r>
      <w:proofErr w:type="gramStart"/>
      <w:r w:rsidR="00B3318F">
        <w:rPr>
          <w:sz w:val="24"/>
          <w:szCs w:val="24"/>
        </w:rPr>
        <w:t>all too common</w:t>
      </w:r>
      <w:proofErr w:type="gramEnd"/>
      <w:r w:rsidR="00B3318F">
        <w:rPr>
          <w:sz w:val="24"/>
          <w:szCs w:val="24"/>
        </w:rPr>
        <w:t xml:space="preserve"> national concern for first generation students that their completion rates significantly lag that of their non-first generation peers:</w:t>
      </w:r>
    </w:p>
    <w:p w14:paraId="58D9B881" w14:textId="49ABB206" w:rsidR="00E312CF" w:rsidRDefault="00E312CF" w:rsidP="00D9457D">
      <w:pPr>
        <w:spacing w:after="0"/>
        <w:rPr>
          <w:sz w:val="24"/>
          <w:szCs w:val="24"/>
        </w:rPr>
      </w:pPr>
    </w:p>
    <w:p w14:paraId="5AD971BC" w14:textId="77777777" w:rsidR="00E312CF" w:rsidRDefault="00E312CF" w:rsidP="00D9457D">
      <w:pPr>
        <w:spacing w:after="0"/>
        <w:rPr>
          <w:sz w:val="24"/>
          <w:szCs w:val="24"/>
        </w:rPr>
      </w:pPr>
    </w:p>
    <w:p w14:paraId="1D3D483A" w14:textId="1BB02222" w:rsidR="00B3318F" w:rsidRDefault="00B3318F" w:rsidP="00B772DF">
      <w:pPr>
        <w:pStyle w:val="Heading1"/>
      </w:pPr>
      <w:r>
        <w:lastRenderedPageBreak/>
        <w:t>Year 6 Outcomes for Full-Time, First-Time, Bac</w:t>
      </w:r>
      <w:r w:rsidR="006D4C4A">
        <w:t>helor’s Degree-Seeking Fall 2015</w:t>
      </w:r>
      <w:r>
        <w:t xml:space="preserve"> Entering Cohort</w:t>
      </w:r>
    </w:p>
    <w:tbl>
      <w:tblPr>
        <w:tblStyle w:val="GridTable4-Accent11"/>
        <w:tblW w:w="0" w:type="auto"/>
        <w:tblLook w:val="04A0" w:firstRow="1" w:lastRow="0" w:firstColumn="1" w:lastColumn="0" w:noHBand="0" w:noVBand="1"/>
      </w:tblPr>
      <w:tblGrid>
        <w:gridCol w:w="3974"/>
        <w:gridCol w:w="2189"/>
        <w:gridCol w:w="2195"/>
      </w:tblGrid>
      <w:tr w:rsidR="006D4C4A" w14:paraId="2C29530E" w14:textId="77777777" w:rsidTr="00712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4" w:type="dxa"/>
            <w:vAlign w:val="center"/>
          </w:tcPr>
          <w:p w14:paraId="44993F33" w14:textId="77777777" w:rsidR="006D4C4A" w:rsidRPr="001D3D1A" w:rsidRDefault="006D4C4A" w:rsidP="00712BA8">
            <w:r w:rsidRPr="001D3D1A">
              <w:t xml:space="preserve">Year </w:t>
            </w:r>
            <w:r>
              <w:t>6</w:t>
            </w:r>
            <w:r w:rsidRPr="001D3D1A">
              <w:t xml:space="preserve"> Outcome</w:t>
            </w:r>
          </w:p>
        </w:tc>
        <w:tc>
          <w:tcPr>
            <w:tcW w:w="2189" w:type="dxa"/>
            <w:vAlign w:val="center"/>
          </w:tcPr>
          <w:p w14:paraId="461A632A" w14:textId="77777777" w:rsidR="006D4C4A" w:rsidRPr="001D3D1A" w:rsidRDefault="006D4C4A" w:rsidP="00712BA8">
            <w:pPr>
              <w:jc w:val="center"/>
              <w:cnfStyle w:val="100000000000" w:firstRow="1" w:lastRow="0" w:firstColumn="0" w:lastColumn="0" w:oddVBand="0" w:evenVBand="0" w:oddHBand="0" w:evenHBand="0" w:firstRowFirstColumn="0" w:firstRowLastColumn="0" w:lastRowFirstColumn="0" w:lastRowLastColumn="0"/>
            </w:pPr>
            <w:r w:rsidRPr="001D3D1A">
              <w:t>First</w:t>
            </w:r>
            <w:r>
              <w:t>-</w:t>
            </w:r>
            <w:r w:rsidRPr="001D3D1A">
              <w:t>Generation</w:t>
            </w:r>
          </w:p>
        </w:tc>
        <w:tc>
          <w:tcPr>
            <w:tcW w:w="2195" w:type="dxa"/>
            <w:vAlign w:val="center"/>
          </w:tcPr>
          <w:p w14:paraId="7D5B21B7" w14:textId="77777777" w:rsidR="006D4C4A" w:rsidRPr="001D3D1A" w:rsidRDefault="006D4C4A" w:rsidP="00712BA8">
            <w:pPr>
              <w:jc w:val="center"/>
              <w:cnfStyle w:val="100000000000" w:firstRow="1" w:lastRow="0" w:firstColumn="0" w:lastColumn="0" w:oddVBand="0" w:evenVBand="0" w:oddHBand="0" w:evenHBand="0" w:firstRowFirstColumn="0" w:firstRowLastColumn="0" w:lastRowFirstColumn="0" w:lastRowLastColumn="0"/>
            </w:pPr>
            <w:r w:rsidRPr="001D3D1A">
              <w:t>Not First</w:t>
            </w:r>
            <w:r>
              <w:t>-</w:t>
            </w:r>
            <w:r w:rsidRPr="001D3D1A">
              <w:t>Generation</w:t>
            </w:r>
          </w:p>
        </w:tc>
      </w:tr>
      <w:tr w:rsidR="006D4C4A" w14:paraId="7E973E55" w14:textId="77777777" w:rsidTr="00712BA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974" w:type="dxa"/>
            <w:vAlign w:val="center"/>
          </w:tcPr>
          <w:p w14:paraId="48641761" w14:textId="77777777" w:rsidR="006D4C4A" w:rsidRPr="001D3D1A" w:rsidRDefault="006D4C4A" w:rsidP="00712BA8">
            <w:pPr>
              <w:rPr>
                <w:b w:val="0"/>
                <w:bCs w:val="0"/>
              </w:rPr>
            </w:pPr>
            <w:r w:rsidRPr="001D3D1A">
              <w:rPr>
                <w:rFonts w:ascii="Calibri" w:hAnsi="Calibri" w:cs="Calibri"/>
                <w:b w:val="0"/>
                <w:bCs w:val="0"/>
                <w:color w:val="000000"/>
              </w:rPr>
              <w:t>Graduated from Starting</w:t>
            </w:r>
            <w:r>
              <w:rPr>
                <w:rFonts w:ascii="Calibri" w:hAnsi="Calibri" w:cs="Calibri"/>
                <w:b w:val="0"/>
                <w:bCs w:val="0"/>
                <w:color w:val="000000"/>
              </w:rPr>
              <w:t xml:space="preserve"> UMS</w:t>
            </w:r>
            <w:r w:rsidRPr="001D3D1A">
              <w:rPr>
                <w:rFonts w:ascii="Calibri" w:hAnsi="Calibri" w:cs="Calibri"/>
                <w:b w:val="0"/>
                <w:bCs w:val="0"/>
                <w:color w:val="000000"/>
              </w:rPr>
              <w:t xml:space="preserve"> Institution</w:t>
            </w:r>
          </w:p>
        </w:tc>
        <w:tc>
          <w:tcPr>
            <w:tcW w:w="2189" w:type="dxa"/>
          </w:tcPr>
          <w:p w14:paraId="42E1AF2B" w14:textId="77777777" w:rsidR="006D4C4A" w:rsidRPr="00F163A6" w:rsidRDefault="006D4C4A" w:rsidP="00712BA8">
            <w:pPr>
              <w:jc w:val="center"/>
              <w:cnfStyle w:val="000000100000" w:firstRow="0" w:lastRow="0" w:firstColumn="0" w:lastColumn="0" w:oddVBand="0" w:evenVBand="0" w:oddHBand="1" w:evenHBand="0" w:firstRowFirstColumn="0" w:firstRowLastColumn="0" w:lastRowFirstColumn="0" w:lastRowLastColumn="0"/>
              <w:rPr>
                <w:b/>
                <w:bCs/>
              </w:rPr>
            </w:pPr>
            <w:r w:rsidRPr="00432DFF">
              <w:t>38.5%</w:t>
            </w:r>
          </w:p>
        </w:tc>
        <w:tc>
          <w:tcPr>
            <w:tcW w:w="2195" w:type="dxa"/>
          </w:tcPr>
          <w:p w14:paraId="6709D0AC" w14:textId="77777777" w:rsidR="006D4C4A" w:rsidRPr="00F163A6" w:rsidRDefault="006D4C4A" w:rsidP="00712BA8">
            <w:pPr>
              <w:jc w:val="center"/>
              <w:cnfStyle w:val="000000100000" w:firstRow="0" w:lastRow="0" w:firstColumn="0" w:lastColumn="0" w:oddVBand="0" w:evenVBand="0" w:oddHBand="1" w:evenHBand="0" w:firstRowFirstColumn="0" w:firstRowLastColumn="0" w:lastRowFirstColumn="0" w:lastRowLastColumn="0"/>
              <w:rPr>
                <w:b/>
                <w:bCs/>
              </w:rPr>
            </w:pPr>
            <w:r w:rsidRPr="00432DFF">
              <w:t>57.8%</w:t>
            </w:r>
          </w:p>
        </w:tc>
      </w:tr>
      <w:tr w:rsidR="006D4C4A" w14:paraId="0FD7E35B" w14:textId="77777777" w:rsidTr="00712BA8">
        <w:tc>
          <w:tcPr>
            <w:cnfStyle w:val="001000000000" w:firstRow="0" w:lastRow="0" w:firstColumn="1" w:lastColumn="0" w:oddVBand="0" w:evenVBand="0" w:oddHBand="0" w:evenHBand="0" w:firstRowFirstColumn="0" w:firstRowLastColumn="0" w:lastRowFirstColumn="0" w:lastRowLastColumn="0"/>
            <w:tcW w:w="3974" w:type="dxa"/>
            <w:vAlign w:val="center"/>
          </w:tcPr>
          <w:p w14:paraId="0B3F39A5" w14:textId="77777777" w:rsidR="006D4C4A" w:rsidRPr="001D3D1A" w:rsidRDefault="006D4C4A" w:rsidP="00712BA8">
            <w:pPr>
              <w:rPr>
                <w:b w:val="0"/>
                <w:bCs w:val="0"/>
              </w:rPr>
            </w:pPr>
            <w:r w:rsidRPr="001D3D1A">
              <w:rPr>
                <w:rFonts w:ascii="Calibri" w:hAnsi="Calibri" w:cs="Calibri"/>
                <w:b w:val="0"/>
                <w:bCs w:val="0"/>
                <w:color w:val="000000"/>
              </w:rPr>
              <w:t>Graduated from Other Institution</w:t>
            </w:r>
          </w:p>
        </w:tc>
        <w:tc>
          <w:tcPr>
            <w:tcW w:w="2189" w:type="dxa"/>
          </w:tcPr>
          <w:p w14:paraId="13931EAC" w14:textId="77777777" w:rsidR="006D4C4A" w:rsidRPr="00F163A6" w:rsidRDefault="006D4C4A" w:rsidP="00712BA8">
            <w:pPr>
              <w:jc w:val="center"/>
              <w:cnfStyle w:val="000000000000" w:firstRow="0" w:lastRow="0" w:firstColumn="0" w:lastColumn="0" w:oddVBand="0" w:evenVBand="0" w:oddHBand="0" w:evenHBand="0" w:firstRowFirstColumn="0" w:firstRowLastColumn="0" w:lastRowFirstColumn="0" w:lastRowLastColumn="0"/>
              <w:rPr>
                <w:b/>
                <w:bCs/>
              </w:rPr>
            </w:pPr>
            <w:r w:rsidRPr="00432DFF">
              <w:t>11.0%</w:t>
            </w:r>
          </w:p>
        </w:tc>
        <w:tc>
          <w:tcPr>
            <w:tcW w:w="2195" w:type="dxa"/>
          </w:tcPr>
          <w:p w14:paraId="0E0C7B03" w14:textId="77777777" w:rsidR="006D4C4A" w:rsidRPr="00F163A6" w:rsidRDefault="006D4C4A" w:rsidP="00712BA8">
            <w:pPr>
              <w:jc w:val="center"/>
              <w:cnfStyle w:val="000000000000" w:firstRow="0" w:lastRow="0" w:firstColumn="0" w:lastColumn="0" w:oddVBand="0" w:evenVBand="0" w:oddHBand="0" w:evenHBand="0" w:firstRowFirstColumn="0" w:firstRowLastColumn="0" w:lastRowFirstColumn="0" w:lastRowLastColumn="0"/>
              <w:rPr>
                <w:b/>
                <w:bCs/>
              </w:rPr>
            </w:pPr>
            <w:r w:rsidRPr="00432DFF">
              <w:t>12.1%</w:t>
            </w:r>
          </w:p>
        </w:tc>
      </w:tr>
      <w:tr w:rsidR="006D4C4A" w14:paraId="3CB1CCF9" w14:textId="77777777" w:rsidTr="00712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4" w:type="dxa"/>
            <w:vAlign w:val="center"/>
          </w:tcPr>
          <w:p w14:paraId="6839D58D" w14:textId="77777777" w:rsidR="006D4C4A" w:rsidRPr="001D3D1A" w:rsidRDefault="006D4C4A" w:rsidP="00712BA8">
            <w:pPr>
              <w:rPr>
                <w:b w:val="0"/>
                <w:bCs w:val="0"/>
              </w:rPr>
            </w:pPr>
            <w:r w:rsidRPr="001D3D1A">
              <w:rPr>
                <w:rFonts w:ascii="Calibri" w:hAnsi="Calibri" w:cs="Calibri"/>
                <w:b w:val="0"/>
                <w:bCs w:val="0"/>
                <w:color w:val="000000"/>
              </w:rPr>
              <w:t xml:space="preserve">Enrolled at Starting </w:t>
            </w:r>
            <w:r>
              <w:rPr>
                <w:rFonts w:ascii="Calibri" w:hAnsi="Calibri" w:cs="Calibri"/>
                <w:b w:val="0"/>
                <w:bCs w:val="0"/>
                <w:color w:val="000000"/>
              </w:rPr>
              <w:t xml:space="preserve">UMS </w:t>
            </w:r>
            <w:r w:rsidRPr="001D3D1A">
              <w:rPr>
                <w:rFonts w:ascii="Calibri" w:hAnsi="Calibri" w:cs="Calibri"/>
                <w:b w:val="0"/>
                <w:bCs w:val="0"/>
                <w:color w:val="000000"/>
              </w:rPr>
              <w:t>Institution</w:t>
            </w:r>
          </w:p>
        </w:tc>
        <w:tc>
          <w:tcPr>
            <w:tcW w:w="2189" w:type="dxa"/>
          </w:tcPr>
          <w:p w14:paraId="0DC2649B" w14:textId="77777777" w:rsidR="006D4C4A" w:rsidRPr="00F163A6" w:rsidRDefault="006D4C4A" w:rsidP="00712BA8">
            <w:pPr>
              <w:jc w:val="center"/>
              <w:cnfStyle w:val="000000100000" w:firstRow="0" w:lastRow="0" w:firstColumn="0" w:lastColumn="0" w:oddVBand="0" w:evenVBand="0" w:oddHBand="1" w:evenHBand="0" w:firstRowFirstColumn="0" w:firstRowLastColumn="0" w:lastRowFirstColumn="0" w:lastRowLastColumn="0"/>
              <w:rPr>
                <w:b/>
                <w:bCs/>
              </w:rPr>
            </w:pPr>
            <w:r w:rsidRPr="00432DFF">
              <w:t>3.9%</w:t>
            </w:r>
          </w:p>
        </w:tc>
        <w:tc>
          <w:tcPr>
            <w:tcW w:w="2195" w:type="dxa"/>
          </w:tcPr>
          <w:p w14:paraId="759A54BD" w14:textId="77777777" w:rsidR="006D4C4A" w:rsidRPr="00F163A6" w:rsidRDefault="006D4C4A" w:rsidP="00712BA8">
            <w:pPr>
              <w:jc w:val="center"/>
              <w:cnfStyle w:val="000000100000" w:firstRow="0" w:lastRow="0" w:firstColumn="0" w:lastColumn="0" w:oddVBand="0" w:evenVBand="0" w:oddHBand="1" w:evenHBand="0" w:firstRowFirstColumn="0" w:firstRowLastColumn="0" w:lastRowFirstColumn="0" w:lastRowLastColumn="0"/>
              <w:rPr>
                <w:b/>
                <w:bCs/>
              </w:rPr>
            </w:pPr>
            <w:r w:rsidRPr="00432DFF">
              <w:t>2.9%</w:t>
            </w:r>
          </w:p>
        </w:tc>
      </w:tr>
      <w:tr w:rsidR="006D4C4A" w14:paraId="5574E79E" w14:textId="77777777" w:rsidTr="00712BA8">
        <w:tc>
          <w:tcPr>
            <w:cnfStyle w:val="001000000000" w:firstRow="0" w:lastRow="0" w:firstColumn="1" w:lastColumn="0" w:oddVBand="0" w:evenVBand="0" w:oddHBand="0" w:evenHBand="0" w:firstRowFirstColumn="0" w:firstRowLastColumn="0" w:lastRowFirstColumn="0" w:lastRowLastColumn="0"/>
            <w:tcW w:w="3974" w:type="dxa"/>
            <w:vAlign w:val="center"/>
          </w:tcPr>
          <w:p w14:paraId="0C113F1B" w14:textId="77777777" w:rsidR="006D4C4A" w:rsidRPr="001D3D1A" w:rsidRDefault="006D4C4A" w:rsidP="00712BA8">
            <w:pPr>
              <w:rPr>
                <w:b w:val="0"/>
                <w:bCs w:val="0"/>
              </w:rPr>
            </w:pPr>
            <w:r w:rsidRPr="001D3D1A">
              <w:rPr>
                <w:rFonts w:ascii="Calibri" w:hAnsi="Calibri" w:cs="Calibri"/>
                <w:b w:val="0"/>
                <w:bCs w:val="0"/>
                <w:color w:val="000000"/>
              </w:rPr>
              <w:t>Enrolled at Other Institution</w:t>
            </w:r>
          </w:p>
        </w:tc>
        <w:tc>
          <w:tcPr>
            <w:tcW w:w="2189" w:type="dxa"/>
          </w:tcPr>
          <w:p w14:paraId="0CAEAFB3" w14:textId="77777777" w:rsidR="006D4C4A" w:rsidRPr="00F163A6" w:rsidRDefault="006D4C4A" w:rsidP="00712BA8">
            <w:pPr>
              <w:jc w:val="center"/>
              <w:cnfStyle w:val="000000000000" w:firstRow="0" w:lastRow="0" w:firstColumn="0" w:lastColumn="0" w:oddVBand="0" w:evenVBand="0" w:oddHBand="0" w:evenHBand="0" w:firstRowFirstColumn="0" w:firstRowLastColumn="0" w:lastRowFirstColumn="0" w:lastRowLastColumn="0"/>
              <w:rPr>
                <w:b/>
                <w:bCs/>
              </w:rPr>
            </w:pPr>
            <w:r w:rsidRPr="00432DFF">
              <w:t>5.8%</w:t>
            </w:r>
          </w:p>
        </w:tc>
        <w:tc>
          <w:tcPr>
            <w:tcW w:w="2195" w:type="dxa"/>
          </w:tcPr>
          <w:p w14:paraId="2497250B" w14:textId="77777777" w:rsidR="006D4C4A" w:rsidRPr="00F163A6" w:rsidRDefault="006D4C4A" w:rsidP="00712BA8">
            <w:pPr>
              <w:jc w:val="center"/>
              <w:cnfStyle w:val="000000000000" w:firstRow="0" w:lastRow="0" w:firstColumn="0" w:lastColumn="0" w:oddVBand="0" w:evenVBand="0" w:oddHBand="0" w:evenHBand="0" w:firstRowFirstColumn="0" w:firstRowLastColumn="0" w:lastRowFirstColumn="0" w:lastRowLastColumn="0"/>
              <w:rPr>
                <w:b/>
                <w:bCs/>
              </w:rPr>
            </w:pPr>
            <w:r w:rsidRPr="00432DFF">
              <w:t>4.5%</w:t>
            </w:r>
          </w:p>
        </w:tc>
      </w:tr>
      <w:tr w:rsidR="006D4C4A" w14:paraId="582B9886" w14:textId="77777777" w:rsidTr="00712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4" w:type="dxa"/>
            <w:vAlign w:val="center"/>
          </w:tcPr>
          <w:p w14:paraId="00E68353" w14:textId="77777777" w:rsidR="006D4C4A" w:rsidRPr="001D3D1A" w:rsidRDefault="006D4C4A" w:rsidP="00712BA8">
            <w:pPr>
              <w:rPr>
                <w:b w:val="0"/>
                <w:bCs w:val="0"/>
              </w:rPr>
            </w:pPr>
            <w:r w:rsidRPr="001D3D1A">
              <w:rPr>
                <w:rFonts w:ascii="Calibri" w:hAnsi="Calibri" w:cs="Calibri"/>
                <w:b w:val="0"/>
                <w:bCs w:val="0"/>
                <w:color w:val="000000"/>
              </w:rPr>
              <w:t>Not Enrolled; Did Not Complete</w:t>
            </w:r>
          </w:p>
        </w:tc>
        <w:tc>
          <w:tcPr>
            <w:tcW w:w="2189" w:type="dxa"/>
          </w:tcPr>
          <w:p w14:paraId="2648C259" w14:textId="77777777" w:rsidR="006D4C4A" w:rsidRPr="00F163A6" w:rsidRDefault="006D4C4A" w:rsidP="00712BA8">
            <w:pPr>
              <w:jc w:val="center"/>
              <w:cnfStyle w:val="000000100000" w:firstRow="0" w:lastRow="0" w:firstColumn="0" w:lastColumn="0" w:oddVBand="0" w:evenVBand="0" w:oddHBand="1" w:evenHBand="0" w:firstRowFirstColumn="0" w:firstRowLastColumn="0" w:lastRowFirstColumn="0" w:lastRowLastColumn="0"/>
              <w:rPr>
                <w:b/>
                <w:bCs/>
              </w:rPr>
            </w:pPr>
            <w:r w:rsidRPr="00432DFF">
              <w:t>40.9%</w:t>
            </w:r>
          </w:p>
        </w:tc>
        <w:tc>
          <w:tcPr>
            <w:tcW w:w="2195" w:type="dxa"/>
          </w:tcPr>
          <w:p w14:paraId="505496D7" w14:textId="77777777" w:rsidR="006D4C4A" w:rsidRPr="00F163A6" w:rsidRDefault="006D4C4A" w:rsidP="00712BA8">
            <w:pPr>
              <w:jc w:val="center"/>
              <w:cnfStyle w:val="000000100000" w:firstRow="0" w:lastRow="0" w:firstColumn="0" w:lastColumn="0" w:oddVBand="0" w:evenVBand="0" w:oddHBand="1" w:evenHBand="0" w:firstRowFirstColumn="0" w:firstRowLastColumn="0" w:lastRowFirstColumn="0" w:lastRowLastColumn="0"/>
              <w:rPr>
                <w:b/>
                <w:bCs/>
              </w:rPr>
            </w:pPr>
            <w:r w:rsidRPr="00432DFF">
              <w:t>22.7%</w:t>
            </w:r>
          </w:p>
        </w:tc>
      </w:tr>
      <w:tr w:rsidR="006D4C4A" w14:paraId="7F595CEA" w14:textId="77777777" w:rsidTr="00712BA8">
        <w:tc>
          <w:tcPr>
            <w:cnfStyle w:val="001000000000" w:firstRow="0" w:lastRow="0" w:firstColumn="1" w:lastColumn="0" w:oddVBand="0" w:evenVBand="0" w:oddHBand="0" w:evenHBand="0" w:firstRowFirstColumn="0" w:firstRowLastColumn="0" w:lastRowFirstColumn="0" w:lastRowLastColumn="0"/>
            <w:tcW w:w="3974" w:type="dxa"/>
            <w:vAlign w:val="center"/>
          </w:tcPr>
          <w:p w14:paraId="1B8729BE" w14:textId="77777777" w:rsidR="006D4C4A" w:rsidRPr="001D3D1A" w:rsidRDefault="006D4C4A" w:rsidP="00712BA8">
            <w:pPr>
              <w:rPr>
                <w:i/>
                <w:iCs/>
              </w:rPr>
            </w:pPr>
            <w:r w:rsidRPr="001D3D1A">
              <w:rPr>
                <w:rFonts w:ascii="Calibri" w:hAnsi="Calibri" w:cs="Calibri"/>
                <w:i/>
                <w:iCs/>
                <w:color w:val="000000"/>
              </w:rPr>
              <w:t>Total</w:t>
            </w:r>
          </w:p>
        </w:tc>
        <w:tc>
          <w:tcPr>
            <w:tcW w:w="2189" w:type="dxa"/>
          </w:tcPr>
          <w:p w14:paraId="2B59286E" w14:textId="77777777" w:rsidR="006D4C4A" w:rsidRPr="00E8496C" w:rsidRDefault="006D4C4A" w:rsidP="00712BA8">
            <w:pPr>
              <w:jc w:val="center"/>
              <w:cnfStyle w:val="000000000000" w:firstRow="0" w:lastRow="0" w:firstColumn="0" w:lastColumn="0" w:oddVBand="0" w:evenVBand="0" w:oddHBand="0" w:evenHBand="0" w:firstRowFirstColumn="0" w:firstRowLastColumn="0" w:lastRowFirstColumn="0" w:lastRowLastColumn="0"/>
              <w:rPr>
                <w:b/>
                <w:bCs/>
                <w:i/>
                <w:iCs/>
              </w:rPr>
            </w:pPr>
            <w:r w:rsidRPr="00E8496C">
              <w:rPr>
                <w:b/>
                <w:bCs/>
                <w:i/>
                <w:iCs/>
              </w:rPr>
              <w:t>100.0%</w:t>
            </w:r>
          </w:p>
        </w:tc>
        <w:tc>
          <w:tcPr>
            <w:tcW w:w="2195" w:type="dxa"/>
          </w:tcPr>
          <w:p w14:paraId="1670C59A" w14:textId="77777777" w:rsidR="006D4C4A" w:rsidRPr="00E8496C" w:rsidRDefault="006D4C4A" w:rsidP="00712BA8">
            <w:pPr>
              <w:jc w:val="center"/>
              <w:cnfStyle w:val="000000000000" w:firstRow="0" w:lastRow="0" w:firstColumn="0" w:lastColumn="0" w:oddVBand="0" w:evenVBand="0" w:oddHBand="0" w:evenHBand="0" w:firstRowFirstColumn="0" w:firstRowLastColumn="0" w:lastRowFirstColumn="0" w:lastRowLastColumn="0"/>
              <w:rPr>
                <w:b/>
                <w:bCs/>
                <w:i/>
                <w:iCs/>
              </w:rPr>
            </w:pPr>
            <w:r w:rsidRPr="00E8496C">
              <w:rPr>
                <w:b/>
                <w:bCs/>
                <w:i/>
                <w:iCs/>
              </w:rPr>
              <w:t>100.0%</w:t>
            </w:r>
          </w:p>
        </w:tc>
      </w:tr>
    </w:tbl>
    <w:p w14:paraId="583563E3" w14:textId="77777777" w:rsidR="006D4C4A" w:rsidRPr="006D4C4A" w:rsidRDefault="006D4C4A" w:rsidP="006D4C4A"/>
    <w:p w14:paraId="77EF20B0" w14:textId="0D84E74B" w:rsidR="00FF4CED" w:rsidRDefault="00FF4CED" w:rsidP="00B772DF">
      <w:pPr>
        <w:pStyle w:val="Heading1"/>
      </w:pPr>
      <w:r>
        <w:t>Year 6 Outcomes for aLL First-Time &amp; Transfer, Bac</w:t>
      </w:r>
      <w:r w:rsidR="00542FDA">
        <w:t>helor’s Degree-Seeking Fall 2015</w:t>
      </w:r>
      <w:r>
        <w:t xml:space="preserve"> Entering Cohort</w:t>
      </w:r>
    </w:p>
    <w:tbl>
      <w:tblPr>
        <w:tblStyle w:val="GridTable4-Accent11"/>
        <w:tblW w:w="0" w:type="auto"/>
        <w:tblLook w:val="04A0" w:firstRow="1" w:lastRow="0" w:firstColumn="1" w:lastColumn="0" w:noHBand="0" w:noVBand="1"/>
      </w:tblPr>
      <w:tblGrid>
        <w:gridCol w:w="3974"/>
        <w:gridCol w:w="2189"/>
        <w:gridCol w:w="2195"/>
      </w:tblGrid>
      <w:tr w:rsidR="00542FDA" w14:paraId="22F9D859" w14:textId="77777777" w:rsidTr="00712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4" w:type="dxa"/>
            <w:vAlign w:val="center"/>
          </w:tcPr>
          <w:p w14:paraId="37BADCDA" w14:textId="77777777" w:rsidR="00542FDA" w:rsidRPr="001D3D1A" w:rsidRDefault="00542FDA" w:rsidP="00712BA8">
            <w:r w:rsidRPr="001D3D1A">
              <w:t xml:space="preserve">Year </w:t>
            </w:r>
            <w:r>
              <w:t>6</w:t>
            </w:r>
            <w:r w:rsidRPr="001D3D1A">
              <w:t xml:space="preserve"> Outcome</w:t>
            </w:r>
          </w:p>
        </w:tc>
        <w:tc>
          <w:tcPr>
            <w:tcW w:w="2189" w:type="dxa"/>
            <w:vAlign w:val="center"/>
          </w:tcPr>
          <w:p w14:paraId="16B76F64" w14:textId="77777777" w:rsidR="00542FDA" w:rsidRPr="001D3D1A" w:rsidRDefault="00542FDA" w:rsidP="00712BA8">
            <w:pPr>
              <w:jc w:val="center"/>
              <w:cnfStyle w:val="100000000000" w:firstRow="1" w:lastRow="0" w:firstColumn="0" w:lastColumn="0" w:oddVBand="0" w:evenVBand="0" w:oddHBand="0" w:evenHBand="0" w:firstRowFirstColumn="0" w:firstRowLastColumn="0" w:lastRowFirstColumn="0" w:lastRowLastColumn="0"/>
            </w:pPr>
            <w:r w:rsidRPr="001D3D1A">
              <w:t>First</w:t>
            </w:r>
            <w:r>
              <w:t>-</w:t>
            </w:r>
            <w:r w:rsidRPr="001D3D1A">
              <w:t>Generation</w:t>
            </w:r>
          </w:p>
        </w:tc>
        <w:tc>
          <w:tcPr>
            <w:tcW w:w="2195" w:type="dxa"/>
            <w:vAlign w:val="center"/>
          </w:tcPr>
          <w:p w14:paraId="1638FACA" w14:textId="77777777" w:rsidR="00542FDA" w:rsidRPr="001D3D1A" w:rsidRDefault="00542FDA" w:rsidP="00712BA8">
            <w:pPr>
              <w:jc w:val="center"/>
              <w:cnfStyle w:val="100000000000" w:firstRow="1" w:lastRow="0" w:firstColumn="0" w:lastColumn="0" w:oddVBand="0" w:evenVBand="0" w:oddHBand="0" w:evenHBand="0" w:firstRowFirstColumn="0" w:firstRowLastColumn="0" w:lastRowFirstColumn="0" w:lastRowLastColumn="0"/>
            </w:pPr>
            <w:r w:rsidRPr="001D3D1A">
              <w:t>Not First</w:t>
            </w:r>
            <w:r>
              <w:t>-</w:t>
            </w:r>
            <w:r w:rsidRPr="001D3D1A">
              <w:t>Generation</w:t>
            </w:r>
          </w:p>
        </w:tc>
      </w:tr>
      <w:tr w:rsidR="00542FDA" w14:paraId="4178DEBA" w14:textId="77777777" w:rsidTr="00712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4" w:type="dxa"/>
            <w:vAlign w:val="center"/>
          </w:tcPr>
          <w:p w14:paraId="65ED9450" w14:textId="77777777" w:rsidR="00542FDA" w:rsidRPr="001D3D1A" w:rsidRDefault="00542FDA" w:rsidP="00712BA8">
            <w:pPr>
              <w:rPr>
                <w:b w:val="0"/>
                <w:bCs w:val="0"/>
              </w:rPr>
            </w:pPr>
            <w:r w:rsidRPr="001D3D1A">
              <w:rPr>
                <w:rFonts w:ascii="Calibri" w:hAnsi="Calibri" w:cs="Calibri"/>
                <w:b w:val="0"/>
                <w:bCs w:val="0"/>
                <w:color w:val="000000"/>
              </w:rPr>
              <w:t>Graduated from Starting</w:t>
            </w:r>
            <w:r>
              <w:rPr>
                <w:rFonts w:ascii="Calibri" w:hAnsi="Calibri" w:cs="Calibri"/>
                <w:b w:val="0"/>
                <w:bCs w:val="0"/>
                <w:color w:val="000000"/>
              </w:rPr>
              <w:t xml:space="preserve"> UMS</w:t>
            </w:r>
            <w:r w:rsidRPr="001D3D1A">
              <w:rPr>
                <w:rFonts w:ascii="Calibri" w:hAnsi="Calibri" w:cs="Calibri"/>
                <w:b w:val="0"/>
                <w:bCs w:val="0"/>
                <w:color w:val="000000"/>
              </w:rPr>
              <w:t xml:space="preserve"> Institution</w:t>
            </w:r>
          </w:p>
        </w:tc>
        <w:tc>
          <w:tcPr>
            <w:tcW w:w="2189" w:type="dxa"/>
            <w:vAlign w:val="center"/>
          </w:tcPr>
          <w:p w14:paraId="665FB3ED" w14:textId="77777777" w:rsidR="00542FDA" w:rsidRDefault="00542FDA" w:rsidP="00712BA8">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color w:val="000000"/>
              </w:rPr>
              <w:t>40.9%</w:t>
            </w:r>
          </w:p>
        </w:tc>
        <w:tc>
          <w:tcPr>
            <w:tcW w:w="2195" w:type="dxa"/>
            <w:vAlign w:val="center"/>
          </w:tcPr>
          <w:p w14:paraId="00867666" w14:textId="77777777" w:rsidR="00542FDA" w:rsidRDefault="00542FDA" w:rsidP="00712BA8">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color w:val="000000"/>
              </w:rPr>
              <w:t>54.2%</w:t>
            </w:r>
          </w:p>
        </w:tc>
      </w:tr>
      <w:tr w:rsidR="00542FDA" w14:paraId="642FD5AA" w14:textId="77777777" w:rsidTr="00712BA8">
        <w:tc>
          <w:tcPr>
            <w:cnfStyle w:val="001000000000" w:firstRow="0" w:lastRow="0" w:firstColumn="1" w:lastColumn="0" w:oddVBand="0" w:evenVBand="0" w:oddHBand="0" w:evenHBand="0" w:firstRowFirstColumn="0" w:firstRowLastColumn="0" w:lastRowFirstColumn="0" w:lastRowLastColumn="0"/>
            <w:tcW w:w="3974" w:type="dxa"/>
            <w:vAlign w:val="center"/>
          </w:tcPr>
          <w:p w14:paraId="55055DD6" w14:textId="77777777" w:rsidR="00542FDA" w:rsidRPr="001D3D1A" w:rsidRDefault="00542FDA" w:rsidP="00712BA8">
            <w:pPr>
              <w:rPr>
                <w:b w:val="0"/>
                <w:bCs w:val="0"/>
              </w:rPr>
            </w:pPr>
            <w:r w:rsidRPr="001D3D1A">
              <w:rPr>
                <w:rFonts w:ascii="Calibri" w:hAnsi="Calibri" w:cs="Calibri"/>
                <w:b w:val="0"/>
                <w:bCs w:val="0"/>
                <w:color w:val="000000"/>
              </w:rPr>
              <w:t>Graduated from Other Institution</w:t>
            </w:r>
          </w:p>
        </w:tc>
        <w:tc>
          <w:tcPr>
            <w:tcW w:w="2189" w:type="dxa"/>
            <w:vAlign w:val="center"/>
          </w:tcPr>
          <w:p w14:paraId="49EDBEFF" w14:textId="77777777" w:rsidR="00542FDA" w:rsidRDefault="00542FDA" w:rsidP="00712BA8">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10.2%</w:t>
            </w:r>
          </w:p>
        </w:tc>
        <w:tc>
          <w:tcPr>
            <w:tcW w:w="2195" w:type="dxa"/>
            <w:vAlign w:val="center"/>
          </w:tcPr>
          <w:p w14:paraId="40C517D3" w14:textId="77777777" w:rsidR="00542FDA" w:rsidRDefault="00542FDA" w:rsidP="00712BA8">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10.9%</w:t>
            </w:r>
          </w:p>
        </w:tc>
      </w:tr>
      <w:tr w:rsidR="00542FDA" w14:paraId="68701044" w14:textId="77777777" w:rsidTr="00712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4" w:type="dxa"/>
            <w:vAlign w:val="center"/>
          </w:tcPr>
          <w:p w14:paraId="1A24B6B3" w14:textId="77777777" w:rsidR="00542FDA" w:rsidRPr="001D3D1A" w:rsidRDefault="00542FDA" w:rsidP="00712BA8">
            <w:pPr>
              <w:rPr>
                <w:b w:val="0"/>
                <w:bCs w:val="0"/>
              </w:rPr>
            </w:pPr>
            <w:r w:rsidRPr="001D3D1A">
              <w:rPr>
                <w:rFonts w:ascii="Calibri" w:hAnsi="Calibri" w:cs="Calibri"/>
                <w:b w:val="0"/>
                <w:bCs w:val="0"/>
                <w:color w:val="000000"/>
              </w:rPr>
              <w:t xml:space="preserve">Enrolled at Starting </w:t>
            </w:r>
            <w:r>
              <w:rPr>
                <w:rFonts w:ascii="Calibri" w:hAnsi="Calibri" w:cs="Calibri"/>
                <w:b w:val="0"/>
                <w:bCs w:val="0"/>
                <w:color w:val="000000"/>
              </w:rPr>
              <w:t xml:space="preserve">UMS </w:t>
            </w:r>
            <w:r w:rsidRPr="001D3D1A">
              <w:rPr>
                <w:rFonts w:ascii="Calibri" w:hAnsi="Calibri" w:cs="Calibri"/>
                <w:b w:val="0"/>
                <w:bCs w:val="0"/>
                <w:color w:val="000000"/>
              </w:rPr>
              <w:t>Institution</w:t>
            </w:r>
          </w:p>
        </w:tc>
        <w:tc>
          <w:tcPr>
            <w:tcW w:w="2189" w:type="dxa"/>
            <w:vAlign w:val="center"/>
          </w:tcPr>
          <w:p w14:paraId="0D819FA3" w14:textId="77777777" w:rsidR="00542FDA" w:rsidRDefault="00542FDA" w:rsidP="00712BA8">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color w:val="000000"/>
              </w:rPr>
              <w:t>3.9%</w:t>
            </w:r>
          </w:p>
        </w:tc>
        <w:tc>
          <w:tcPr>
            <w:tcW w:w="2195" w:type="dxa"/>
            <w:vAlign w:val="center"/>
          </w:tcPr>
          <w:p w14:paraId="40D5E2F1" w14:textId="77777777" w:rsidR="00542FDA" w:rsidRDefault="00542FDA" w:rsidP="00712BA8">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color w:val="000000"/>
              </w:rPr>
              <w:t>3.1%</w:t>
            </w:r>
          </w:p>
        </w:tc>
      </w:tr>
      <w:tr w:rsidR="00542FDA" w14:paraId="55E51ECD" w14:textId="77777777" w:rsidTr="00712BA8">
        <w:tc>
          <w:tcPr>
            <w:cnfStyle w:val="001000000000" w:firstRow="0" w:lastRow="0" w:firstColumn="1" w:lastColumn="0" w:oddVBand="0" w:evenVBand="0" w:oddHBand="0" w:evenHBand="0" w:firstRowFirstColumn="0" w:firstRowLastColumn="0" w:lastRowFirstColumn="0" w:lastRowLastColumn="0"/>
            <w:tcW w:w="3974" w:type="dxa"/>
            <w:vAlign w:val="center"/>
          </w:tcPr>
          <w:p w14:paraId="2E2CDCF1" w14:textId="77777777" w:rsidR="00542FDA" w:rsidRPr="001D3D1A" w:rsidRDefault="00542FDA" w:rsidP="00712BA8">
            <w:pPr>
              <w:rPr>
                <w:b w:val="0"/>
                <w:bCs w:val="0"/>
              </w:rPr>
            </w:pPr>
            <w:r w:rsidRPr="001D3D1A">
              <w:rPr>
                <w:rFonts w:ascii="Calibri" w:hAnsi="Calibri" w:cs="Calibri"/>
                <w:b w:val="0"/>
                <w:bCs w:val="0"/>
                <w:color w:val="000000"/>
              </w:rPr>
              <w:t>Enrolled at Other Institution</w:t>
            </w:r>
          </w:p>
        </w:tc>
        <w:tc>
          <w:tcPr>
            <w:tcW w:w="2189" w:type="dxa"/>
            <w:vAlign w:val="center"/>
          </w:tcPr>
          <w:p w14:paraId="0A24D408" w14:textId="77777777" w:rsidR="00542FDA" w:rsidRDefault="00542FDA" w:rsidP="00712BA8">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5.0%</w:t>
            </w:r>
          </w:p>
        </w:tc>
        <w:tc>
          <w:tcPr>
            <w:tcW w:w="2195" w:type="dxa"/>
            <w:vAlign w:val="center"/>
          </w:tcPr>
          <w:p w14:paraId="41E6FF83" w14:textId="77777777" w:rsidR="00542FDA" w:rsidRDefault="00542FDA" w:rsidP="00712BA8">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4.7%</w:t>
            </w:r>
          </w:p>
        </w:tc>
      </w:tr>
      <w:tr w:rsidR="00542FDA" w14:paraId="65849D6C" w14:textId="77777777" w:rsidTr="00712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4" w:type="dxa"/>
            <w:vAlign w:val="center"/>
          </w:tcPr>
          <w:p w14:paraId="51DB92FC" w14:textId="77777777" w:rsidR="00542FDA" w:rsidRPr="001D3D1A" w:rsidRDefault="00542FDA" w:rsidP="00712BA8">
            <w:pPr>
              <w:rPr>
                <w:b w:val="0"/>
                <w:bCs w:val="0"/>
              </w:rPr>
            </w:pPr>
            <w:r w:rsidRPr="001D3D1A">
              <w:rPr>
                <w:rFonts w:ascii="Calibri" w:hAnsi="Calibri" w:cs="Calibri"/>
                <w:b w:val="0"/>
                <w:bCs w:val="0"/>
                <w:color w:val="000000"/>
              </w:rPr>
              <w:t>Not Enrolled; Did Not Complete</w:t>
            </w:r>
          </w:p>
        </w:tc>
        <w:tc>
          <w:tcPr>
            <w:tcW w:w="2189" w:type="dxa"/>
            <w:vAlign w:val="center"/>
          </w:tcPr>
          <w:p w14:paraId="6FA2B8B1" w14:textId="77777777" w:rsidR="00542FDA" w:rsidRDefault="00542FDA" w:rsidP="00712BA8">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color w:val="000000"/>
              </w:rPr>
              <w:t>40.0%</w:t>
            </w:r>
          </w:p>
        </w:tc>
        <w:tc>
          <w:tcPr>
            <w:tcW w:w="2195" w:type="dxa"/>
            <w:vAlign w:val="center"/>
          </w:tcPr>
          <w:p w14:paraId="509454C3" w14:textId="77777777" w:rsidR="00542FDA" w:rsidRDefault="00542FDA" w:rsidP="00712BA8">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color w:val="000000"/>
              </w:rPr>
              <w:t>27.1%</w:t>
            </w:r>
          </w:p>
        </w:tc>
      </w:tr>
      <w:tr w:rsidR="00542FDA" w14:paraId="2B7F0BF7" w14:textId="77777777" w:rsidTr="00712BA8">
        <w:tc>
          <w:tcPr>
            <w:cnfStyle w:val="001000000000" w:firstRow="0" w:lastRow="0" w:firstColumn="1" w:lastColumn="0" w:oddVBand="0" w:evenVBand="0" w:oddHBand="0" w:evenHBand="0" w:firstRowFirstColumn="0" w:firstRowLastColumn="0" w:lastRowFirstColumn="0" w:lastRowLastColumn="0"/>
            <w:tcW w:w="3974" w:type="dxa"/>
            <w:vAlign w:val="center"/>
          </w:tcPr>
          <w:p w14:paraId="2B98173F" w14:textId="77777777" w:rsidR="00542FDA" w:rsidRPr="001D3D1A" w:rsidRDefault="00542FDA" w:rsidP="00712BA8">
            <w:pPr>
              <w:rPr>
                <w:i/>
                <w:iCs/>
              </w:rPr>
            </w:pPr>
            <w:r w:rsidRPr="001D3D1A">
              <w:rPr>
                <w:rFonts w:ascii="Calibri" w:hAnsi="Calibri" w:cs="Calibri"/>
                <w:i/>
                <w:iCs/>
                <w:color w:val="000000"/>
              </w:rPr>
              <w:t>Total</w:t>
            </w:r>
          </w:p>
        </w:tc>
        <w:tc>
          <w:tcPr>
            <w:tcW w:w="2189" w:type="dxa"/>
            <w:vAlign w:val="center"/>
          </w:tcPr>
          <w:p w14:paraId="04C08BA8" w14:textId="77777777" w:rsidR="00542FDA" w:rsidRPr="00787C33" w:rsidRDefault="00542FDA" w:rsidP="00712BA8">
            <w:pPr>
              <w:jc w:val="center"/>
              <w:cnfStyle w:val="000000000000" w:firstRow="0" w:lastRow="0" w:firstColumn="0" w:lastColumn="0" w:oddVBand="0" w:evenVBand="0" w:oddHBand="0" w:evenHBand="0" w:firstRowFirstColumn="0" w:firstRowLastColumn="0" w:lastRowFirstColumn="0" w:lastRowLastColumn="0"/>
              <w:rPr>
                <w:b/>
                <w:bCs/>
                <w:i/>
                <w:iCs/>
              </w:rPr>
            </w:pPr>
            <w:r w:rsidRPr="00787C33">
              <w:rPr>
                <w:rFonts w:ascii="Calibri" w:hAnsi="Calibri" w:cs="Calibri"/>
                <w:b/>
                <w:bCs/>
                <w:i/>
                <w:iCs/>
                <w:color w:val="000000"/>
              </w:rPr>
              <w:t>100.0%</w:t>
            </w:r>
          </w:p>
        </w:tc>
        <w:tc>
          <w:tcPr>
            <w:tcW w:w="2195" w:type="dxa"/>
            <w:vAlign w:val="center"/>
          </w:tcPr>
          <w:p w14:paraId="69BA4F3F" w14:textId="77777777" w:rsidR="00542FDA" w:rsidRPr="00787C33" w:rsidRDefault="00542FDA" w:rsidP="00712BA8">
            <w:pPr>
              <w:jc w:val="center"/>
              <w:cnfStyle w:val="000000000000" w:firstRow="0" w:lastRow="0" w:firstColumn="0" w:lastColumn="0" w:oddVBand="0" w:evenVBand="0" w:oddHBand="0" w:evenHBand="0" w:firstRowFirstColumn="0" w:firstRowLastColumn="0" w:lastRowFirstColumn="0" w:lastRowLastColumn="0"/>
              <w:rPr>
                <w:b/>
                <w:bCs/>
                <w:i/>
                <w:iCs/>
              </w:rPr>
            </w:pPr>
            <w:r w:rsidRPr="00787C33">
              <w:rPr>
                <w:rFonts w:ascii="Calibri" w:hAnsi="Calibri" w:cs="Calibri"/>
                <w:b/>
                <w:bCs/>
                <w:i/>
                <w:iCs/>
                <w:color w:val="000000"/>
              </w:rPr>
              <w:t>100.0%</w:t>
            </w:r>
          </w:p>
        </w:tc>
      </w:tr>
    </w:tbl>
    <w:p w14:paraId="43C3B77A" w14:textId="352BE841" w:rsidR="00542FDA" w:rsidRPr="001D3D1A" w:rsidRDefault="00542FDA" w:rsidP="00542FDA"/>
    <w:p w14:paraId="5BB01765" w14:textId="2DA224D7" w:rsidR="00117D4D" w:rsidRPr="0061483E" w:rsidRDefault="00BE1E8C" w:rsidP="00B772DF">
      <w:pPr>
        <w:pStyle w:val="Heading2"/>
      </w:pPr>
      <w:r>
        <w:t xml:space="preserve">A </w:t>
      </w:r>
      <w:r w:rsidR="00117D4D" w:rsidRPr="0061483E">
        <w:t>Summary of Strategies Used and Activities Undertaken to Recruit, Retain and Graduate First-Generation College Students</w:t>
      </w:r>
    </w:p>
    <w:p w14:paraId="0D7E5BCE" w14:textId="77777777" w:rsidR="00117D4D" w:rsidRPr="0061483E" w:rsidRDefault="00117D4D" w:rsidP="00117D4D">
      <w:pPr>
        <w:spacing w:after="0"/>
        <w:rPr>
          <w:sz w:val="24"/>
          <w:szCs w:val="24"/>
        </w:rPr>
      </w:pPr>
    </w:p>
    <w:p w14:paraId="4394A6B5" w14:textId="32ED5934" w:rsidR="007136A2" w:rsidRDefault="00117D4D" w:rsidP="001C721D">
      <w:pPr>
        <w:spacing w:after="0"/>
        <w:rPr>
          <w:sz w:val="24"/>
          <w:szCs w:val="24"/>
        </w:rPr>
      </w:pPr>
      <w:r w:rsidRPr="0061483E">
        <w:rPr>
          <w:sz w:val="24"/>
          <w:szCs w:val="24"/>
        </w:rPr>
        <w:t>First-Generation students are present at all universities within the University of Maine System</w:t>
      </w:r>
      <w:r w:rsidR="00A0229C">
        <w:rPr>
          <w:sz w:val="24"/>
          <w:szCs w:val="24"/>
        </w:rPr>
        <w:t>, representing approximately 4</w:t>
      </w:r>
      <w:r w:rsidR="00712BA8">
        <w:rPr>
          <w:sz w:val="24"/>
          <w:szCs w:val="24"/>
        </w:rPr>
        <w:t>0.7</w:t>
      </w:r>
      <w:r w:rsidR="00683AC9">
        <w:rPr>
          <w:sz w:val="24"/>
          <w:szCs w:val="24"/>
        </w:rPr>
        <w:t>% of</w:t>
      </w:r>
      <w:r w:rsidR="00323E55">
        <w:rPr>
          <w:sz w:val="24"/>
          <w:szCs w:val="24"/>
        </w:rPr>
        <w:t xml:space="preserve"> the </w:t>
      </w:r>
      <w:r w:rsidR="007518A0">
        <w:rPr>
          <w:sz w:val="24"/>
          <w:szCs w:val="24"/>
        </w:rPr>
        <w:t xml:space="preserve">entire </w:t>
      </w:r>
      <w:r w:rsidR="00323E55">
        <w:rPr>
          <w:sz w:val="24"/>
          <w:szCs w:val="24"/>
        </w:rPr>
        <w:t>entering class</w:t>
      </w:r>
      <w:r w:rsidR="00A0229C">
        <w:rPr>
          <w:sz w:val="24"/>
          <w:szCs w:val="24"/>
        </w:rPr>
        <w:t xml:space="preserve"> (3</w:t>
      </w:r>
      <w:r w:rsidR="00712BA8">
        <w:rPr>
          <w:sz w:val="24"/>
          <w:szCs w:val="24"/>
        </w:rPr>
        <w:t>8.4</w:t>
      </w:r>
      <w:r w:rsidR="00ED7FB0">
        <w:rPr>
          <w:sz w:val="24"/>
          <w:szCs w:val="24"/>
        </w:rPr>
        <w:t>% of those attending full time)</w:t>
      </w:r>
      <w:r w:rsidR="00A0229C">
        <w:rPr>
          <w:sz w:val="24"/>
          <w:szCs w:val="24"/>
        </w:rPr>
        <w:t xml:space="preserve"> in Fall 20</w:t>
      </w:r>
      <w:r w:rsidR="00712BA8">
        <w:rPr>
          <w:sz w:val="24"/>
          <w:szCs w:val="24"/>
        </w:rPr>
        <w:t>21</w:t>
      </w:r>
      <w:r w:rsidRPr="0061483E">
        <w:rPr>
          <w:sz w:val="24"/>
          <w:szCs w:val="24"/>
        </w:rPr>
        <w:t xml:space="preserve">. While these students come from all demographic groups, research indicates that they are more likely to be from </w:t>
      </w:r>
      <w:proofErr w:type="gramStart"/>
      <w:r w:rsidRPr="0061483E">
        <w:rPr>
          <w:sz w:val="24"/>
          <w:szCs w:val="24"/>
        </w:rPr>
        <w:t>low income</w:t>
      </w:r>
      <w:proofErr w:type="gramEnd"/>
      <w:r w:rsidRPr="0061483E">
        <w:rPr>
          <w:sz w:val="24"/>
          <w:szCs w:val="24"/>
        </w:rPr>
        <w:t xml:space="preserve"> families, and may be female, older and with dependent children. Typically, they are academically less well prepared, lack essential learning skills, have lower aspirations for success and often perceive a lack of support from their family, friends or “significant others.” When considering attending college, they can find the application process </w:t>
      </w:r>
      <w:proofErr w:type="gramStart"/>
      <w:r w:rsidRPr="0061483E">
        <w:rPr>
          <w:sz w:val="24"/>
          <w:szCs w:val="24"/>
        </w:rPr>
        <w:t>overwhelming</w:t>
      </w:r>
      <w:proofErr w:type="gramEnd"/>
      <w:r w:rsidRPr="0061483E">
        <w:rPr>
          <w:sz w:val="24"/>
          <w:szCs w:val="24"/>
        </w:rPr>
        <w:t xml:space="preserve"> and many times view a bachelor’s degree as too ambitious a goal. Once they do enroll, they tend to achieve lower first semester GPAs, are more likely to drop or stop out, are more likely to commute, attend part-time and work full-time, have difficulty integrating into the academic culture and have lower self</w:t>
      </w:r>
      <w:r w:rsidR="003428BE">
        <w:rPr>
          <w:sz w:val="24"/>
          <w:szCs w:val="24"/>
        </w:rPr>
        <w:t>-</w:t>
      </w:r>
      <w:r w:rsidRPr="0061483E">
        <w:rPr>
          <w:sz w:val="24"/>
          <w:szCs w:val="24"/>
        </w:rPr>
        <w:t>esteem.</w:t>
      </w:r>
      <w:r w:rsidRPr="0061483E">
        <w:rPr>
          <w:rStyle w:val="FootnoteReference"/>
          <w:sz w:val="24"/>
          <w:szCs w:val="24"/>
        </w:rPr>
        <w:footnoteReference w:id="2"/>
      </w:r>
      <w:r w:rsidRPr="0061483E">
        <w:rPr>
          <w:sz w:val="24"/>
          <w:szCs w:val="24"/>
        </w:rPr>
        <w:t xml:space="preserve"> </w:t>
      </w:r>
    </w:p>
    <w:p w14:paraId="38CC426C" w14:textId="77777777" w:rsidR="007136A2" w:rsidRDefault="007136A2" w:rsidP="001C721D">
      <w:pPr>
        <w:spacing w:after="0"/>
        <w:rPr>
          <w:sz w:val="24"/>
          <w:szCs w:val="24"/>
        </w:rPr>
      </w:pPr>
    </w:p>
    <w:p w14:paraId="01F9B08D" w14:textId="77777777" w:rsidR="00E312CF" w:rsidRDefault="007136A2" w:rsidP="00877FC5">
      <w:pPr>
        <w:spacing w:after="0"/>
        <w:rPr>
          <w:sz w:val="24"/>
          <w:szCs w:val="24"/>
        </w:rPr>
      </w:pPr>
      <w:r>
        <w:rPr>
          <w:sz w:val="24"/>
          <w:szCs w:val="24"/>
        </w:rPr>
        <w:t xml:space="preserve">The </w:t>
      </w:r>
      <w:r w:rsidR="00712BA8">
        <w:rPr>
          <w:sz w:val="24"/>
          <w:szCs w:val="24"/>
        </w:rPr>
        <w:t xml:space="preserve">ongoing </w:t>
      </w:r>
      <w:r>
        <w:rPr>
          <w:sz w:val="24"/>
          <w:szCs w:val="24"/>
        </w:rPr>
        <w:t xml:space="preserve">impact of the pandemic has further impacted the success of these students – many may be responsible for </w:t>
      </w:r>
      <w:proofErr w:type="gramStart"/>
      <w:r>
        <w:rPr>
          <w:sz w:val="24"/>
          <w:szCs w:val="24"/>
        </w:rPr>
        <w:t>child care</w:t>
      </w:r>
      <w:proofErr w:type="gramEnd"/>
      <w:r>
        <w:rPr>
          <w:sz w:val="24"/>
          <w:szCs w:val="24"/>
        </w:rPr>
        <w:t>, many may live in a home</w:t>
      </w:r>
      <w:r w:rsidR="00337022">
        <w:rPr>
          <w:sz w:val="24"/>
          <w:szCs w:val="24"/>
        </w:rPr>
        <w:t xml:space="preserve"> where younger students</w:t>
      </w:r>
      <w:r w:rsidR="00712BA8">
        <w:rPr>
          <w:sz w:val="24"/>
          <w:szCs w:val="24"/>
        </w:rPr>
        <w:t xml:space="preserve"> may </w:t>
      </w:r>
      <w:r w:rsidR="00712BA8">
        <w:rPr>
          <w:sz w:val="24"/>
          <w:szCs w:val="24"/>
        </w:rPr>
        <w:lastRenderedPageBreak/>
        <w:t>be still</w:t>
      </w:r>
      <w:r>
        <w:rPr>
          <w:sz w:val="24"/>
          <w:szCs w:val="24"/>
        </w:rPr>
        <w:t xml:space="preserve"> learning remotely and many may have a learning environment at home that is not conducive to studying (broadband issues, multiple learners, lack of awareness of the needs of college students</w:t>
      </w:r>
      <w:r w:rsidR="00712BA8">
        <w:rPr>
          <w:sz w:val="24"/>
          <w:szCs w:val="24"/>
        </w:rPr>
        <w:t xml:space="preserve"> in the home environment, etc.). Although we were able to safely return students to in-person learning on our campuses, there were obvious limitations</w:t>
      </w:r>
      <w:r w:rsidR="00337022">
        <w:rPr>
          <w:sz w:val="24"/>
          <w:szCs w:val="24"/>
        </w:rPr>
        <w:t xml:space="preserve"> given covid protocols</w:t>
      </w:r>
      <w:r w:rsidR="00712BA8">
        <w:rPr>
          <w:sz w:val="24"/>
          <w:szCs w:val="24"/>
        </w:rPr>
        <w:t xml:space="preserve"> to the kind of direct, in-person peer and faculty </w:t>
      </w:r>
      <w:r>
        <w:rPr>
          <w:sz w:val="24"/>
          <w:szCs w:val="24"/>
        </w:rPr>
        <w:t>interaction and engagement so critical in persistence.</w:t>
      </w:r>
      <w:r w:rsidR="00032C30">
        <w:rPr>
          <w:sz w:val="24"/>
          <w:szCs w:val="24"/>
        </w:rPr>
        <w:t xml:space="preserve"> In recent surveying, 60% of our </w:t>
      </w:r>
      <w:proofErr w:type="gramStart"/>
      <w:r w:rsidR="00032C30">
        <w:rPr>
          <w:sz w:val="24"/>
          <w:szCs w:val="24"/>
        </w:rPr>
        <w:t>first generation</w:t>
      </w:r>
      <w:proofErr w:type="gramEnd"/>
      <w:r w:rsidR="00032C30">
        <w:rPr>
          <w:sz w:val="24"/>
          <w:szCs w:val="24"/>
        </w:rPr>
        <w:t xml:space="preserve"> students who responded reported that covid</w:t>
      </w:r>
      <w:r w:rsidR="00543CC2">
        <w:rPr>
          <w:sz w:val="24"/>
          <w:szCs w:val="24"/>
        </w:rPr>
        <w:t xml:space="preserve"> at some point</w:t>
      </w:r>
      <w:r w:rsidR="00032C30">
        <w:rPr>
          <w:sz w:val="24"/>
          <w:szCs w:val="24"/>
        </w:rPr>
        <w:t xml:space="preserve"> negatively impacted some element of their education, most specifically as it pertained to interaction and engagement.</w:t>
      </w:r>
      <w:r w:rsidR="00032C30">
        <w:rPr>
          <w:rStyle w:val="FootnoteReference"/>
          <w:sz w:val="24"/>
          <w:szCs w:val="24"/>
        </w:rPr>
        <w:footnoteReference w:id="3"/>
      </w:r>
      <w:r>
        <w:rPr>
          <w:sz w:val="24"/>
          <w:szCs w:val="24"/>
        </w:rPr>
        <w:t xml:space="preserve"> </w:t>
      </w:r>
    </w:p>
    <w:p w14:paraId="0BBADF58" w14:textId="77777777" w:rsidR="00E312CF" w:rsidRDefault="00E312CF" w:rsidP="00877FC5">
      <w:pPr>
        <w:spacing w:after="0"/>
        <w:rPr>
          <w:sz w:val="24"/>
          <w:szCs w:val="24"/>
        </w:rPr>
      </w:pPr>
    </w:p>
    <w:p w14:paraId="0F1D0CD1" w14:textId="72477D60" w:rsidR="007136A2" w:rsidRDefault="00D63AC4" w:rsidP="00877FC5">
      <w:pPr>
        <w:spacing w:after="0"/>
        <w:rPr>
          <w:sz w:val="24"/>
          <w:szCs w:val="24"/>
        </w:rPr>
      </w:pPr>
      <w:r>
        <w:rPr>
          <w:sz w:val="24"/>
          <w:szCs w:val="24"/>
        </w:rPr>
        <w:t xml:space="preserve">For a population already worried about their readiness for college, </w:t>
      </w:r>
      <w:r w:rsidR="00712BA8">
        <w:rPr>
          <w:sz w:val="24"/>
          <w:szCs w:val="24"/>
        </w:rPr>
        <w:t xml:space="preserve">adapting to sometimes changeable </w:t>
      </w:r>
      <w:r>
        <w:rPr>
          <w:sz w:val="24"/>
          <w:szCs w:val="24"/>
        </w:rPr>
        <w:t>learning environment</w:t>
      </w:r>
      <w:r w:rsidR="00712BA8">
        <w:rPr>
          <w:sz w:val="24"/>
          <w:szCs w:val="24"/>
        </w:rPr>
        <w:t>s</w:t>
      </w:r>
      <w:r w:rsidR="004362B2">
        <w:rPr>
          <w:sz w:val="24"/>
          <w:szCs w:val="24"/>
        </w:rPr>
        <w:t xml:space="preserve"> presented issues </w:t>
      </w:r>
      <w:r>
        <w:rPr>
          <w:sz w:val="24"/>
          <w:szCs w:val="24"/>
        </w:rPr>
        <w:t xml:space="preserve">from the </w:t>
      </w:r>
      <w:r w:rsidR="004362B2">
        <w:rPr>
          <w:sz w:val="24"/>
          <w:szCs w:val="24"/>
        </w:rPr>
        <w:t xml:space="preserve">perspective of </w:t>
      </w:r>
      <w:r>
        <w:rPr>
          <w:sz w:val="24"/>
          <w:szCs w:val="24"/>
        </w:rPr>
        <w:t xml:space="preserve">academic preparation and engagement. </w:t>
      </w:r>
      <w:r w:rsidR="007136A2">
        <w:rPr>
          <w:sz w:val="24"/>
          <w:szCs w:val="24"/>
        </w:rPr>
        <w:t>Loneliness and anxiety, already an issue for fi</w:t>
      </w:r>
      <w:r w:rsidR="00637A2F">
        <w:rPr>
          <w:sz w:val="24"/>
          <w:szCs w:val="24"/>
        </w:rPr>
        <w:t>rst generation students, became</w:t>
      </w:r>
      <w:r w:rsidR="007136A2">
        <w:rPr>
          <w:sz w:val="24"/>
          <w:szCs w:val="24"/>
        </w:rPr>
        <w:t xml:space="preserve"> more prevalent, and concerns around financing their education became an issue</w:t>
      </w:r>
      <w:r w:rsidR="004362B2">
        <w:rPr>
          <w:sz w:val="24"/>
          <w:szCs w:val="24"/>
        </w:rPr>
        <w:t xml:space="preserve"> for many. </w:t>
      </w:r>
      <w:r w:rsidR="00032C30">
        <w:rPr>
          <w:sz w:val="24"/>
          <w:szCs w:val="24"/>
        </w:rPr>
        <w:t xml:space="preserve">In the “flash” survey referenced earlier, 70% of </w:t>
      </w:r>
      <w:proofErr w:type="gramStart"/>
      <w:r w:rsidR="00032C30">
        <w:rPr>
          <w:sz w:val="24"/>
          <w:szCs w:val="24"/>
        </w:rPr>
        <w:t>first generation</w:t>
      </w:r>
      <w:proofErr w:type="gramEnd"/>
      <w:r w:rsidR="00032C30">
        <w:rPr>
          <w:sz w:val="24"/>
          <w:szCs w:val="24"/>
        </w:rPr>
        <w:t xml:space="preserve"> students who responded reported that they experienced a negative financial impact </w:t>
      </w:r>
      <w:r w:rsidR="00543CC2">
        <w:rPr>
          <w:sz w:val="24"/>
          <w:szCs w:val="24"/>
        </w:rPr>
        <w:t xml:space="preserve">at some point </w:t>
      </w:r>
      <w:r w:rsidR="00032C30">
        <w:rPr>
          <w:sz w:val="24"/>
          <w:szCs w:val="24"/>
        </w:rPr>
        <w:t xml:space="preserve">during the pandemic, as compared to 57% of non-first generation students. </w:t>
      </w:r>
      <w:r w:rsidR="00877FC5">
        <w:rPr>
          <w:sz w:val="24"/>
          <w:szCs w:val="24"/>
        </w:rPr>
        <w:t xml:space="preserve">This impact could have included loss of a job, reduced hours or wages, inability to work due to the need to care for someone in the family or illness, or increased expenses. </w:t>
      </w:r>
      <w:r w:rsidR="004362B2">
        <w:rPr>
          <w:sz w:val="24"/>
          <w:szCs w:val="24"/>
        </w:rPr>
        <w:t>Int</w:t>
      </w:r>
      <w:r w:rsidR="00877FC5">
        <w:rPr>
          <w:sz w:val="24"/>
          <w:szCs w:val="24"/>
        </w:rPr>
        <w:t>erestingly, during the Fall 2021 semester</w:t>
      </w:r>
      <w:r w:rsidR="004362B2">
        <w:rPr>
          <w:sz w:val="24"/>
          <w:szCs w:val="24"/>
        </w:rPr>
        <w:t xml:space="preserve">, employment opportunities have increased resulting in more students reporting that they are working more hours, sometimes resulting in a decline in credit hours achieved. </w:t>
      </w:r>
      <w:r w:rsidR="006623B7">
        <w:rPr>
          <w:sz w:val="24"/>
          <w:szCs w:val="24"/>
        </w:rPr>
        <w:t xml:space="preserve">In addition, because many </w:t>
      </w:r>
      <w:proofErr w:type="gramStart"/>
      <w:r w:rsidR="006623B7">
        <w:rPr>
          <w:sz w:val="24"/>
          <w:szCs w:val="24"/>
        </w:rPr>
        <w:t>first generation</w:t>
      </w:r>
      <w:proofErr w:type="gramEnd"/>
      <w:r w:rsidR="006623B7">
        <w:rPr>
          <w:sz w:val="24"/>
          <w:szCs w:val="24"/>
        </w:rPr>
        <w:t xml:space="preserve"> students may be from low income families, issues of housing insecurity and fo</w:t>
      </w:r>
      <w:r w:rsidR="00F224E7">
        <w:rPr>
          <w:sz w:val="24"/>
          <w:szCs w:val="24"/>
        </w:rPr>
        <w:t xml:space="preserve">od insecurity could have been </w:t>
      </w:r>
      <w:r w:rsidR="006623B7">
        <w:rPr>
          <w:sz w:val="24"/>
          <w:szCs w:val="24"/>
        </w:rPr>
        <w:t>issues before the pandemic – once the</w:t>
      </w:r>
      <w:r w:rsidR="00637A2F">
        <w:rPr>
          <w:sz w:val="24"/>
          <w:szCs w:val="24"/>
        </w:rPr>
        <w:t xml:space="preserve"> pandemic hit, these issues beca</w:t>
      </w:r>
      <w:r w:rsidR="004362B2">
        <w:rPr>
          <w:sz w:val="24"/>
          <w:szCs w:val="24"/>
        </w:rPr>
        <w:t>me magnified</w:t>
      </w:r>
      <w:r w:rsidR="00E312CF">
        <w:rPr>
          <w:sz w:val="24"/>
          <w:szCs w:val="24"/>
        </w:rPr>
        <w:t xml:space="preserve"> and still persist</w:t>
      </w:r>
      <w:r w:rsidR="004362B2">
        <w:rPr>
          <w:sz w:val="24"/>
          <w:szCs w:val="24"/>
        </w:rPr>
        <w:t>.</w:t>
      </w:r>
    </w:p>
    <w:p w14:paraId="688170C2" w14:textId="77777777" w:rsidR="007136A2" w:rsidRDefault="007136A2" w:rsidP="001C721D">
      <w:pPr>
        <w:spacing w:after="0"/>
        <w:rPr>
          <w:sz w:val="24"/>
          <w:szCs w:val="24"/>
        </w:rPr>
      </w:pPr>
    </w:p>
    <w:p w14:paraId="48CFC394" w14:textId="4C31BABC" w:rsidR="006623B7" w:rsidRDefault="001C721D" w:rsidP="001C721D">
      <w:pPr>
        <w:spacing w:after="0"/>
        <w:rPr>
          <w:sz w:val="24"/>
          <w:szCs w:val="24"/>
        </w:rPr>
      </w:pPr>
      <w:r w:rsidRPr="0061483E">
        <w:rPr>
          <w:sz w:val="24"/>
          <w:szCs w:val="24"/>
        </w:rPr>
        <w:t>Clearly, developing and implementing a range of support services for these students both as they apply for college and ultimately attend is extremely important in enhancing their opportunities for success.</w:t>
      </w:r>
      <w:r w:rsidR="004E6669" w:rsidRPr="0061483E">
        <w:rPr>
          <w:sz w:val="24"/>
          <w:szCs w:val="24"/>
        </w:rPr>
        <w:t xml:space="preserve"> </w:t>
      </w:r>
      <w:r w:rsidR="007136A2">
        <w:rPr>
          <w:sz w:val="24"/>
          <w:szCs w:val="24"/>
        </w:rPr>
        <w:t xml:space="preserve">Further, adding supports in </w:t>
      </w:r>
      <w:r w:rsidR="00E312CF">
        <w:rPr>
          <w:sz w:val="24"/>
          <w:szCs w:val="24"/>
        </w:rPr>
        <w:t xml:space="preserve">both </w:t>
      </w:r>
      <w:r w:rsidR="007136A2">
        <w:rPr>
          <w:sz w:val="24"/>
          <w:szCs w:val="24"/>
        </w:rPr>
        <w:t xml:space="preserve">a virtual </w:t>
      </w:r>
      <w:r w:rsidR="00E312CF">
        <w:rPr>
          <w:sz w:val="24"/>
          <w:szCs w:val="24"/>
        </w:rPr>
        <w:t xml:space="preserve">and in-person </w:t>
      </w:r>
      <w:r w:rsidR="007136A2">
        <w:rPr>
          <w:sz w:val="24"/>
          <w:szCs w:val="24"/>
        </w:rPr>
        <w:t xml:space="preserve">environment </w:t>
      </w:r>
      <w:r w:rsidR="00804B62">
        <w:rPr>
          <w:sz w:val="24"/>
          <w:szCs w:val="24"/>
        </w:rPr>
        <w:t xml:space="preserve">during the </w:t>
      </w:r>
      <w:r w:rsidR="004362B2">
        <w:rPr>
          <w:sz w:val="24"/>
          <w:szCs w:val="24"/>
        </w:rPr>
        <w:t xml:space="preserve">ongoing </w:t>
      </w:r>
      <w:r w:rsidR="00804B62">
        <w:rPr>
          <w:sz w:val="24"/>
          <w:szCs w:val="24"/>
        </w:rPr>
        <w:t xml:space="preserve">pandemic added a dimension to our work with this population which will be reflected within the overview this report provides. </w:t>
      </w:r>
      <w:r w:rsidR="004E6669" w:rsidRPr="0061483E">
        <w:rPr>
          <w:sz w:val="24"/>
          <w:szCs w:val="24"/>
        </w:rPr>
        <w:t>The Universities of the University of Maine System have chosen to approach how to best identify and serve these students in a variety of ways</w:t>
      </w:r>
      <w:r w:rsidR="00804B62">
        <w:rPr>
          <w:sz w:val="24"/>
          <w:szCs w:val="24"/>
        </w:rPr>
        <w:t xml:space="preserve"> – this report will detail both the “normal” and ongoing support we provide as well as more specific interventions and initiatives added </w:t>
      </w:r>
      <w:proofErr w:type="gramStart"/>
      <w:r w:rsidR="00804B62">
        <w:rPr>
          <w:sz w:val="24"/>
          <w:szCs w:val="24"/>
        </w:rPr>
        <w:t>as a result of</w:t>
      </w:r>
      <w:proofErr w:type="gramEnd"/>
      <w:r w:rsidR="00804B62">
        <w:rPr>
          <w:sz w:val="24"/>
          <w:szCs w:val="24"/>
        </w:rPr>
        <w:t xml:space="preserve"> the pandemic.</w:t>
      </w:r>
    </w:p>
    <w:p w14:paraId="658EDD54" w14:textId="77777777" w:rsidR="006623B7" w:rsidRDefault="006623B7" w:rsidP="001C721D">
      <w:pPr>
        <w:spacing w:after="0"/>
        <w:rPr>
          <w:sz w:val="24"/>
          <w:szCs w:val="24"/>
        </w:rPr>
      </w:pPr>
    </w:p>
    <w:p w14:paraId="29FEC8EF" w14:textId="77777777" w:rsidR="00E312CF" w:rsidRDefault="00E312CF" w:rsidP="001C721D">
      <w:pPr>
        <w:spacing w:after="0"/>
        <w:rPr>
          <w:b/>
          <w:i/>
          <w:sz w:val="24"/>
          <w:szCs w:val="24"/>
        </w:rPr>
      </w:pPr>
    </w:p>
    <w:p w14:paraId="6BC9FD6A" w14:textId="77777777" w:rsidR="00B772DF" w:rsidRDefault="00B772DF" w:rsidP="00B772DF">
      <w:pPr>
        <w:pStyle w:val="Heading3"/>
      </w:pPr>
    </w:p>
    <w:p w14:paraId="425C393F" w14:textId="77777777" w:rsidR="00B772DF" w:rsidRDefault="00B772DF" w:rsidP="00B772DF">
      <w:pPr>
        <w:pStyle w:val="Heading3"/>
      </w:pPr>
    </w:p>
    <w:p w14:paraId="34CDD42E" w14:textId="3F0BCA49" w:rsidR="006623B7" w:rsidRDefault="006623B7" w:rsidP="00B772DF">
      <w:pPr>
        <w:pStyle w:val="Heading3"/>
      </w:pPr>
      <w:r>
        <w:lastRenderedPageBreak/>
        <w:t>Programs and Services Added or Enhanced During the Pandemic</w:t>
      </w:r>
    </w:p>
    <w:p w14:paraId="5751BB6E" w14:textId="77777777" w:rsidR="006623B7" w:rsidRDefault="006623B7" w:rsidP="001C721D">
      <w:pPr>
        <w:spacing w:after="0"/>
        <w:rPr>
          <w:b/>
          <w:i/>
          <w:sz w:val="24"/>
          <w:szCs w:val="24"/>
        </w:rPr>
      </w:pPr>
    </w:p>
    <w:p w14:paraId="7590592D" w14:textId="6BDEF0C5" w:rsidR="00407EFB" w:rsidRDefault="00407EFB" w:rsidP="001C721D">
      <w:pPr>
        <w:spacing w:after="0"/>
        <w:rPr>
          <w:sz w:val="24"/>
          <w:szCs w:val="24"/>
        </w:rPr>
      </w:pPr>
      <w:r>
        <w:rPr>
          <w:sz w:val="24"/>
          <w:szCs w:val="24"/>
        </w:rPr>
        <w:t xml:space="preserve">As the pandemic struck and classes pivoted to online in March 2020, several decisions were </w:t>
      </w:r>
      <w:proofErr w:type="gramStart"/>
      <w:r>
        <w:rPr>
          <w:sz w:val="24"/>
          <w:szCs w:val="24"/>
        </w:rPr>
        <w:t>made</w:t>
      </w:r>
      <w:proofErr w:type="gramEnd"/>
      <w:r>
        <w:rPr>
          <w:sz w:val="24"/>
          <w:szCs w:val="24"/>
        </w:rPr>
        <w:t xml:space="preserve"> and initiatives put in place to best support the student population during and after the transition</w:t>
      </w:r>
      <w:r w:rsidR="00637A2F">
        <w:rPr>
          <w:sz w:val="24"/>
          <w:szCs w:val="24"/>
        </w:rPr>
        <w:t>. T</w:t>
      </w:r>
      <w:r w:rsidR="002111D4">
        <w:rPr>
          <w:sz w:val="24"/>
          <w:szCs w:val="24"/>
        </w:rPr>
        <w:t>hese by no m</w:t>
      </w:r>
      <w:r w:rsidR="00A95BCC">
        <w:rPr>
          <w:sz w:val="24"/>
          <w:szCs w:val="24"/>
        </w:rPr>
        <w:t>eans reflect everything that has been</w:t>
      </w:r>
      <w:r w:rsidR="002111D4">
        <w:rPr>
          <w:sz w:val="24"/>
          <w:szCs w:val="24"/>
        </w:rPr>
        <w:t xml:space="preserve"> put into place</w:t>
      </w:r>
      <w:r w:rsidR="00A95BCC">
        <w:rPr>
          <w:sz w:val="24"/>
          <w:szCs w:val="24"/>
        </w:rPr>
        <w:t xml:space="preserve"> and is an evolving list as the pandemic continues</w:t>
      </w:r>
      <w:r w:rsidR="002111D4">
        <w:rPr>
          <w:sz w:val="24"/>
          <w:szCs w:val="24"/>
        </w:rPr>
        <w:t xml:space="preserve"> – these represent Systemwide supports</w:t>
      </w:r>
      <w:r w:rsidR="00570C07">
        <w:rPr>
          <w:sz w:val="24"/>
          <w:szCs w:val="24"/>
        </w:rPr>
        <w:t xml:space="preserve"> which continue to be provided or have been </w:t>
      </w:r>
      <w:r w:rsidR="00337022">
        <w:rPr>
          <w:sz w:val="24"/>
          <w:szCs w:val="24"/>
        </w:rPr>
        <w:t>added since the time of our 2020</w:t>
      </w:r>
      <w:r w:rsidR="00570C07">
        <w:rPr>
          <w:sz w:val="24"/>
          <w:szCs w:val="24"/>
        </w:rPr>
        <w:t xml:space="preserve"> First Generation report</w:t>
      </w:r>
      <w:r w:rsidR="002111D4">
        <w:rPr>
          <w:sz w:val="24"/>
          <w:szCs w:val="24"/>
        </w:rPr>
        <w:t>; every campus in addition provided additional supports specific to thei</w:t>
      </w:r>
      <w:r w:rsidR="00637A2F">
        <w:rPr>
          <w:sz w:val="24"/>
          <w:szCs w:val="24"/>
        </w:rPr>
        <w:t>r region and student population</w:t>
      </w:r>
      <w:r>
        <w:rPr>
          <w:sz w:val="24"/>
          <w:szCs w:val="24"/>
        </w:rPr>
        <w:t>:</w:t>
      </w:r>
    </w:p>
    <w:p w14:paraId="3DBA1AF8" w14:textId="38AE73D1" w:rsidR="00407EFB" w:rsidRDefault="00993967" w:rsidP="00C86071">
      <w:pPr>
        <w:pStyle w:val="ListParagraph"/>
        <w:numPr>
          <w:ilvl w:val="0"/>
          <w:numId w:val="9"/>
        </w:numPr>
        <w:spacing w:after="0"/>
        <w:rPr>
          <w:sz w:val="24"/>
          <w:szCs w:val="24"/>
        </w:rPr>
      </w:pPr>
      <w:r>
        <w:rPr>
          <w:sz w:val="24"/>
          <w:szCs w:val="24"/>
        </w:rPr>
        <w:t>Additional r</w:t>
      </w:r>
      <w:r w:rsidR="00407EFB">
        <w:rPr>
          <w:sz w:val="24"/>
          <w:szCs w:val="24"/>
        </w:rPr>
        <w:t>esources for mental a</w:t>
      </w:r>
      <w:r>
        <w:rPr>
          <w:sz w:val="24"/>
          <w:szCs w:val="24"/>
        </w:rPr>
        <w:t xml:space="preserve">nd emotional </w:t>
      </w:r>
      <w:proofErr w:type="spellStart"/>
      <w:r>
        <w:rPr>
          <w:sz w:val="24"/>
          <w:szCs w:val="24"/>
        </w:rPr>
        <w:t>well being</w:t>
      </w:r>
      <w:proofErr w:type="spellEnd"/>
      <w:r>
        <w:rPr>
          <w:sz w:val="24"/>
          <w:szCs w:val="24"/>
        </w:rPr>
        <w:t xml:space="preserve"> were provided; a digital mental health</w:t>
      </w:r>
      <w:r w:rsidR="004362B2">
        <w:rPr>
          <w:sz w:val="24"/>
          <w:szCs w:val="24"/>
        </w:rPr>
        <w:t xml:space="preserve"> platform, </w:t>
      </w:r>
      <w:proofErr w:type="spellStart"/>
      <w:r w:rsidR="004362B2">
        <w:rPr>
          <w:sz w:val="24"/>
          <w:szCs w:val="24"/>
        </w:rPr>
        <w:t>SilverCloud</w:t>
      </w:r>
      <w:proofErr w:type="spellEnd"/>
      <w:r w:rsidR="004362B2">
        <w:rPr>
          <w:sz w:val="24"/>
          <w:szCs w:val="24"/>
        </w:rPr>
        <w:t>, was</w:t>
      </w:r>
      <w:r>
        <w:rPr>
          <w:sz w:val="24"/>
          <w:szCs w:val="24"/>
        </w:rPr>
        <w:t xml:space="preserve"> implemented for all students Spring </w:t>
      </w:r>
      <w:proofErr w:type="gramStart"/>
      <w:r>
        <w:rPr>
          <w:sz w:val="24"/>
          <w:szCs w:val="24"/>
        </w:rPr>
        <w:t>2021;</w:t>
      </w:r>
      <w:proofErr w:type="gramEnd"/>
    </w:p>
    <w:p w14:paraId="179DE9DA" w14:textId="5848DDB2" w:rsidR="00570C07" w:rsidRDefault="00570C07" w:rsidP="00C86071">
      <w:pPr>
        <w:pStyle w:val="ListParagraph"/>
        <w:numPr>
          <w:ilvl w:val="0"/>
          <w:numId w:val="9"/>
        </w:numPr>
        <w:spacing w:after="0"/>
        <w:rPr>
          <w:sz w:val="24"/>
          <w:szCs w:val="24"/>
        </w:rPr>
      </w:pPr>
      <w:proofErr w:type="gramStart"/>
      <w:r>
        <w:rPr>
          <w:sz w:val="24"/>
          <w:szCs w:val="24"/>
        </w:rPr>
        <w:t>As a way to</w:t>
      </w:r>
      <w:proofErr w:type="gramEnd"/>
      <w:r>
        <w:rPr>
          <w:sz w:val="24"/>
          <w:szCs w:val="24"/>
        </w:rPr>
        <w:t xml:space="preserve"> better support adult learners seeking to return to or attend college for the first time, we opened the UMS Student Success Center</w:t>
      </w:r>
      <w:r w:rsidR="000D0117">
        <w:rPr>
          <w:sz w:val="24"/>
          <w:szCs w:val="24"/>
        </w:rPr>
        <w:t xml:space="preserve">. Success Coaches act as “one stop” navigators for adult </w:t>
      </w:r>
      <w:proofErr w:type="gramStart"/>
      <w:r w:rsidR="000D0117">
        <w:rPr>
          <w:sz w:val="24"/>
          <w:szCs w:val="24"/>
        </w:rPr>
        <w:t>learners;</w:t>
      </w:r>
      <w:proofErr w:type="gramEnd"/>
    </w:p>
    <w:p w14:paraId="23A8F699" w14:textId="3F242650" w:rsidR="000D0117" w:rsidRDefault="000D0117" w:rsidP="00C86071">
      <w:pPr>
        <w:pStyle w:val="ListParagraph"/>
        <w:numPr>
          <w:ilvl w:val="0"/>
          <w:numId w:val="9"/>
        </w:numPr>
        <w:spacing w:after="0"/>
        <w:rPr>
          <w:sz w:val="24"/>
          <w:szCs w:val="24"/>
        </w:rPr>
      </w:pPr>
      <w:r>
        <w:rPr>
          <w:sz w:val="24"/>
          <w:szCs w:val="24"/>
        </w:rPr>
        <w:t xml:space="preserve">In July 2021, we implemented a “small debt forgiveness program” which helps students with $2500 or less of institutional debt return to one of our campuses and complete their </w:t>
      </w:r>
      <w:proofErr w:type="gramStart"/>
      <w:r>
        <w:rPr>
          <w:sz w:val="24"/>
          <w:szCs w:val="24"/>
        </w:rPr>
        <w:t>degree;</w:t>
      </w:r>
      <w:proofErr w:type="gramEnd"/>
    </w:p>
    <w:p w14:paraId="10F8630F" w14:textId="15C08541" w:rsidR="000D0117" w:rsidRDefault="000D0117" w:rsidP="00C86071">
      <w:pPr>
        <w:pStyle w:val="ListParagraph"/>
        <w:numPr>
          <w:ilvl w:val="0"/>
          <w:numId w:val="9"/>
        </w:numPr>
        <w:spacing w:after="0"/>
        <w:rPr>
          <w:sz w:val="24"/>
          <w:szCs w:val="24"/>
        </w:rPr>
      </w:pPr>
      <w:r>
        <w:rPr>
          <w:sz w:val="24"/>
          <w:szCs w:val="24"/>
        </w:rPr>
        <w:t xml:space="preserve">We added an “opening doors” scholarship for adult learners coming to one of our campuses for the first time or seeking to obtain an additional certification or </w:t>
      </w:r>
      <w:proofErr w:type="gramStart"/>
      <w:r>
        <w:rPr>
          <w:sz w:val="24"/>
          <w:szCs w:val="24"/>
        </w:rPr>
        <w:t>degree;</w:t>
      </w:r>
      <w:proofErr w:type="gramEnd"/>
    </w:p>
    <w:p w14:paraId="29D0B280" w14:textId="508481A0" w:rsidR="00993967" w:rsidRDefault="00993967" w:rsidP="00C86071">
      <w:pPr>
        <w:pStyle w:val="ListParagraph"/>
        <w:numPr>
          <w:ilvl w:val="0"/>
          <w:numId w:val="9"/>
        </w:numPr>
        <w:spacing w:after="0"/>
        <w:rPr>
          <w:sz w:val="24"/>
          <w:szCs w:val="24"/>
        </w:rPr>
      </w:pPr>
      <w:r>
        <w:rPr>
          <w:sz w:val="24"/>
          <w:szCs w:val="24"/>
        </w:rPr>
        <w:t xml:space="preserve">IT provided expanded access to broadband and computer equipment, broadened “hot spots” across the campuses, added collaborative tools to enable teaching and learning, developed strategies for access to remote </w:t>
      </w:r>
      <w:r w:rsidR="002111D4">
        <w:rPr>
          <w:sz w:val="24"/>
          <w:szCs w:val="24"/>
        </w:rPr>
        <w:t xml:space="preserve">computer </w:t>
      </w:r>
      <w:r>
        <w:rPr>
          <w:sz w:val="24"/>
          <w:szCs w:val="24"/>
        </w:rPr>
        <w:t>labs</w:t>
      </w:r>
      <w:r w:rsidR="002111D4">
        <w:rPr>
          <w:sz w:val="24"/>
          <w:szCs w:val="24"/>
        </w:rPr>
        <w:t xml:space="preserve"> and STEM-related virtual labs</w:t>
      </w:r>
      <w:r w:rsidR="00337022">
        <w:rPr>
          <w:sz w:val="24"/>
          <w:szCs w:val="24"/>
        </w:rPr>
        <w:t>. They added additional “</w:t>
      </w:r>
      <w:proofErr w:type="spellStart"/>
      <w:r w:rsidR="00337022">
        <w:rPr>
          <w:sz w:val="24"/>
          <w:szCs w:val="24"/>
        </w:rPr>
        <w:t>hyflex</w:t>
      </w:r>
      <w:proofErr w:type="spellEnd"/>
      <w:r w:rsidR="00337022">
        <w:rPr>
          <w:sz w:val="24"/>
          <w:szCs w:val="24"/>
        </w:rPr>
        <w:t xml:space="preserve">” classrooms that enable both virtual and in-class </w:t>
      </w:r>
      <w:proofErr w:type="gramStart"/>
      <w:r w:rsidR="00337022">
        <w:rPr>
          <w:sz w:val="24"/>
          <w:szCs w:val="24"/>
        </w:rPr>
        <w:t>participation</w:t>
      </w:r>
      <w:r w:rsidR="002111D4">
        <w:rPr>
          <w:sz w:val="24"/>
          <w:szCs w:val="24"/>
        </w:rPr>
        <w:t>;</w:t>
      </w:r>
      <w:proofErr w:type="gramEnd"/>
    </w:p>
    <w:p w14:paraId="61BC0659" w14:textId="1E59A179" w:rsidR="00D76AAD" w:rsidRDefault="00E312CF" w:rsidP="00C86071">
      <w:pPr>
        <w:pStyle w:val="ListParagraph"/>
        <w:numPr>
          <w:ilvl w:val="0"/>
          <w:numId w:val="9"/>
        </w:numPr>
        <w:spacing w:after="0"/>
        <w:rPr>
          <w:sz w:val="24"/>
          <w:szCs w:val="24"/>
        </w:rPr>
      </w:pPr>
      <w:r>
        <w:rPr>
          <w:sz w:val="24"/>
          <w:szCs w:val="24"/>
        </w:rPr>
        <w:t>T</w:t>
      </w:r>
      <w:r w:rsidR="00D76AAD">
        <w:rPr>
          <w:sz w:val="24"/>
          <w:szCs w:val="24"/>
        </w:rPr>
        <w:t xml:space="preserve">he threshold for registration holds </w:t>
      </w:r>
      <w:r>
        <w:rPr>
          <w:sz w:val="24"/>
          <w:szCs w:val="24"/>
        </w:rPr>
        <w:t xml:space="preserve">was increased </w:t>
      </w:r>
      <w:r w:rsidR="00D76AAD">
        <w:rPr>
          <w:sz w:val="24"/>
          <w:szCs w:val="24"/>
        </w:rPr>
        <w:t xml:space="preserve">to enable students with balances under $1000 to </w:t>
      </w:r>
      <w:proofErr w:type="gramStart"/>
      <w:r w:rsidR="00D76AAD">
        <w:rPr>
          <w:sz w:val="24"/>
          <w:szCs w:val="24"/>
        </w:rPr>
        <w:t>enroll;</w:t>
      </w:r>
      <w:proofErr w:type="gramEnd"/>
    </w:p>
    <w:p w14:paraId="77CDCF33" w14:textId="564CAD78" w:rsidR="000D0117" w:rsidRPr="000D0117" w:rsidRDefault="000D0117" w:rsidP="00C86071">
      <w:pPr>
        <w:pStyle w:val="ListParagraph"/>
        <w:numPr>
          <w:ilvl w:val="0"/>
          <w:numId w:val="9"/>
        </w:numPr>
        <w:spacing w:after="0"/>
        <w:rPr>
          <w:rFonts w:cstheme="minorHAnsi"/>
          <w:sz w:val="24"/>
          <w:szCs w:val="24"/>
        </w:rPr>
      </w:pPr>
      <w:r>
        <w:rPr>
          <w:sz w:val="24"/>
          <w:szCs w:val="24"/>
        </w:rPr>
        <w:t xml:space="preserve">We piloted </w:t>
      </w:r>
      <w:r w:rsidRPr="000D0117">
        <w:rPr>
          <w:rFonts w:cstheme="minorHAnsi"/>
          <w:color w:val="222222"/>
          <w:sz w:val="24"/>
          <w:szCs w:val="24"/>
          <w:shd w:val="clear" w:color="auto" w:fill="FFFFFF"/>
        </w:rPr>
        <w:t>a new first-year retention initiative for 250 students</w:t>
      </w:r>
      <w:r>
        <w:rPr>
          <w:rFonts w:cstheme="minorHAnsi"/>
          <w:color w:val="222222"/>
          <w:sz w:val="24"/>
          <w:szCs w:val="24"/>
          <w:shd w:val="clear" w:color="auto" w:fill="FFFFFF"/>
        </w:rPr>
        <w:t xml:space="preserve"> at UM and UMM</w:t>
      </w:r>
      <w:r w:rsidRPr="000D0117">
        <w:rPr>
          <w:rFonts w:cstheme="minorHAnsi"/>
          <w:color w:val="222222"/>
          <w:sz w:val="24"/>
          <w:szCs w:val="24"/>
          <w:shd w:val="clear" w:color="auto" w:fill="FFFFFF"/>
        </w:rPr>
        <w:t>, "Research Learning Experiences", that begins with an intensive bridge week before classes begin. During this week students are oriented to campus and lay foundations of a "growth mindset" for dealing with uncertainty, problem-solving, and independent agency in their education.  These tools are then built on throughout the fall semester as first-year and sophomore students actively participate in research and authentic creative scholarship in small cohorts</w:t>
      </w:r>
      <w:r>
        <w:rPr>
          <w:rFonts w:cstheme="minorHAnsi"/>
          <w:color w:val="222222"/>
          <w:sz w:val="24"/>
          <w:szCs w:val="24"/>
          <w:shd w:val="clear" w:color="auto" w:fill="FFFFFF"/>
        </w:rPr>
        <w:t>. Planning is underway to roll this out at other campuses over the next year.</w:t>
      </w:r>
    </w:p>
    <w:p w14:paraId="56A7B89F" w14:textId="0E713795" w:rsidR="000D0117" w:rsidRPr="000D0117" w:rsidRDefault="000D0117" w:rsidP="00C86071">
      <w:pPr>
        <w:pStyle w:val="ListParagraph"/>
        <w:numPr>
          <w:ilvl w:val="0"/>
          <w:numId w:val="9"/>
        </w:numPr>
        <w:spacing w:after="0"/>
        <w:rPr>
          <w:rFonts w:cstheme="minorHAnsi"/>
          <w:sz w:val="24"/>
          <w:szCs w:val="24"/>
        </w:rPr>
      </w:pPr>
      <w:r w:rsidRPr="000D0117">
        <w:rPr>
          <w:rFonts w:cstheme="minorHAnsi"/>
          <w:color w:val="222222"/>
          <w:sz w:val="24"/>
          <w:szCs w:val="24"/>
          <w:shd w:val="clear" w:color="auto" w:fill="FFFFFF"/>
        </w:rPr>
        <w:t>A System-wide effort is underway to define and identify "Gateway courses" at each campus that disproportionately prevent students from progressing toward their degree</w:t>
      </w:r>
      <w:r>
        <w:rPr>
          <w:rFonts w:ascii="Arial" w:hAnsi="Arial" w:cs="Arial"/>
          <w:color w:val="222222"/>
          <w:shd w:val="clear" w:color="auto" w:fill="FFFFFF"/>
        </w:rPr>
        <w:t>.</w:t>
      </w:r>
    </w:p>
    <w:p w14:paraId="4C9F2904" w14:textId="7BFC1FD4" w:rsidR="00407EFB" w:rsidRDefault="004362B2" w:rsidP="00C86071">
      <w:pPr>
        <w:pStyle w:val="ListParagraph"/>
        <w:numPr>
          <w:ilvl w:val="0"/>
          <w:numId w:val="9"/>
        </w:numPr>
        <w:spacing w:after="0"/>
        <w:rPr>
          <w:sz w:val="24"/>
          <w:szCs w:val="24"/>
        </w:rPr>
      </w:pPr>
      <w:r>
        <w:rPr>
          <w:sz w:val="24"/>
          <w:szCs w:val="24"/>
        </w:rPr>
        <w:t>An exception was granted under Board of Trustees Policy 304 to permit the acceptance of Pass (P) and Low Pass (LP) grades for general education credit.</w:t>
      </w:r>
      <w:r w:rsidR="00A95BCC">
        <w:rPr>
          <w:sz w:val="24"/>
          <w:szCs w:val="24"/>
        </w:rPr>
        <w:t xml:space="preserve"> Programs such as </w:t>
      </w:r>
      <w:r w:rsidR="001456BD">
        <w:rPr>
          <w:sz w:val="24"/>
          <w:szCs w:val="24"/>
        </w:rPr>
        <w:t xml:space="preserve">“Make the Grade” (enabling students who failed a course to retake it at no cost) were </w:t>
      </w:r>
      <w:r w:rsidR="001456BD">
        <w:rPr>
          <w:sz w:val="24"/>
          <w:szCs w:val="24"/>
        </w:rPr>
        <w:lastRenderedPageBreak/>
        <w:t xml:space="preserve">adopted at all campuses and </w:t>
      </w:r>
      <w:r w:rsidR="00637A2F">
        <w:rPr>
          <w:sz w:val="24"/>
          <w:szCs w:val="24"/>
        </w:rPr>
        <w:t>“complete your incomplete” was</w:t>
      </w:r>
      <w:r w:rsidR="00A95BCC">
        <w:rPr>
          <w:sz w:val="24"/>
          <w:szCs w:val="24"/>
        </w:rPr>
        <w:t xml:space="preserve"> initiated at several campuses to help students finish courses from the spring semester</w:t>
      </w:r>
      <w:r>
        <w:rPr>
          <w:sz w:val="24"/>
          <w:szCs w:val="24"/>
        </w:rPr>
        <w:t xml:space="preserve"> – both programs continue at several </w:t>
      </w:r>
      <w:proofErr w:type="gramStart"/>
      <w:r>
        <w:rPr>
          <w:sz w:val="24"/>
          <w:szCs w:val="24"/>
        </w:rPr>
        <w:t>campuses</w:t>
      </w:r>
      <w:r w:rsidR="00993967">
        <w:rPr>
          <w:sz w:val="24"/>
          <w:szCs w:val="24"/>
        </w:rPr>
        <w:t>;</w:t>
      </w:r>
      <w:proofErr w:type="gramEnd"/>
    </w:p>
    <w:p w14:paraId="125DF377" w14:textId="308AF9E1" w:rsidR="000D0117" w:rsidRDefault="000D0117" w:rsidP="00C86071">
      <w:pPr>
        <w:pStyle w:val="ListParagraph"/>
        <w:numPr>
          <w:ilvl w:val="0"/>
          <w:numId w:val="9"/>
        </w:numPr>
        <w:spacing w:after="0"/>
        <w:rPr>
          <w:sz w:val="24"/>
          <w:szCs w:val="24"/>
        </w:rPr>
      </w:pPr>
      <w:r>
        <w:rPr>
          <w:sz w:val="24"/>
          <w:szCs w:val="24"/>
        </w:rPr>
        <w:t>Summer learning opportunities were added to help new students adjust to college academics (examples include a</w:t>
      </w:r>
      <w:r w:rsidR="00327B91">
        <w:rPr>
          <w:sz w:val="24"/>
          <w:szCs w:val="24"/>
        </w:rPr>
        <w:t xml:space="preserve"> Summer Start program at UM which enables recent high school graduates to take a college course in the summer, helping with their transition to college and earning college credit which advances timely progress to their degrees</w:t>
      </w:r>
      <w:proofErr w:type="gramStart"/>
      <w:r w:rsidR="00327B91">
        <w:rPr>
          <w:sz w:val="24"/>
          <w:szCs w:val="24"/>
        </w:rPr>
        <w:t>);</w:t>
      </w:r>
      <w:proofErr w:type="gramEnd"/>
    </w:p>
    <w:p w14:paraId="421E772F" w14:textId="723D3A23" w:rsidR="00BE229A" w:rsidRDefault="00BE229A" w:rsidP="00C86071">
      <w:pPr>
        <w:pStyle w:val="ListParagraph"/>
        <w:numPr>
          <w:ilvl w:val="0"/>
          <w:numId w:val="9"/>
        </w:numPr>
        <w:spacing w:after="0"/>
        <w:rPr>
          <w:sz w:val="24"/>
          <w:szCs w:val="24"/>
        </w:rPr>
      </w:pPr>
      <w:r>
        <w:rPr>
          <w:sz w:val="24"/>
          <w:szCs w:val="24"/>
        </w:rPr>
        <w:t>Transition of all student services including academic support to a virtual environment (</w:t>
      </w:r>
      <w:r w:rsidR="00F224E7">
        <w:rPr>
          <w:sz w:val="24"/>
          <w:szCs w:val="24"/>
        </w:rPr>
        <w:t xml:space="preserve">phone, online, email, text, </w:t>
      </w:r>
      <w:r>
        <w:rPr>
          <w:sz w:val="24"/>
          <w:szCs w:val="24"/>
        </w:rPr>
        <w:t xml:space="preserve">zoom, live chat, etc.) – learning tools </w:t>
      </w:r>
      <w:r w:rsidR="00A95BCC">
        <w:rPr>
          <w:sz w:val="24"/>
          <w:szCs w:val="24"/>
        </w:rPr>
        <w:t xml:space="preserve">were </w:t>
      </w:r>
      <w:r>
        <w:rPr>
          <w:sz w:val="24"/>
          <w:szCs w:val="24"/>
        </w:rPr>
        <w:t>developed and shared with all campuses</w:t>
      </w:r>
      <w:r w:rsidR="007B75B7">
        <w:rPr>
          <w:sz w:val="24"/>
          <w:szCs w:val="24"/>
        </w:rPr>
        <w:t xml:space="preserve">. Students now have both virtual and in-person options for connecting to student </w:t>
      </w:r>
      <w:proofErr w:type="gramStart"/>
      <w:r w:rsidR="007B75B7">
        <w:rPr>
          <w:sz w:val="24"/>
          <w:szCs w:val="24"/>
        </w:rPr>
        <w:t>services</w:t>
      </w:r>
      <w:r>
        <w:rPr>
          <w:sz w:val="24"/>
          <w:szCs w:val="24"/>
        </w:rPr>
        <w:t>;</w:t>
      </w:r>
      <w:proofErr w:type="gramEnd"/>
    </w:p>
    <w:p w14:paraId="76812299" w14:textId="77777777" w:rsidR="00637A2F" w:rsidRDefault="002111D4" w:rsidP="00C86071">
      <w:pPr>
        <w:pStyle w:val="ListParagraph"/>
        <w:numPr>
          <w:ilvl w:val="0"/>
          <w:numId w:val="9"/>
        </w:numPr>
        <w:spacing w:after="0"/>
        <w:rPr>
          <w:sz w:val="24"/>
          <w:szCs w:val="24"/>
        </w:rPr>
      </w:pPr>
      <w:r w:rsidRPr="00A95BCC">
        <w:rPr>
          <w:sz w:val="24"/>
          <w:szCs w:val="24"/>
        </w:rPr>
        <w:t xml:space="preserve">Constant check ins by faculty and staff with students about their needs and any concerns occurred in the form of </w:t>
      </w:r>
      <w:r w:rsidR="00BE229A" w:rsidRPr="00A95BCC">
        <w:rPr>
          <w:sz w:val="24"/>
          <w:szCs w:val="24"/>
        </w:rPr>
        <w:t xml:space="preserve">calling campaigns, </w:t>
      </w:r>
      <w:r w:rsidRPr="00A95BCC">
        <w:rPr>
          <w:sz w:val="24"/>
          <w:szCs w:val="24"/>
        </w:rPr>
        <w:t xml:space="preserve">advising sessions, </w:t>
      </w:r>
      <w:proofErr w:type="gramStart"/>
      <w:r w:rsidRPr="00A95BCC">
        <w:rPr>
          <w:sz w:val="24"/>
          <w:szCs w:val="24"/>
        </w:rPr>
        <w:t>surveys,  class</w:t>
      </w:r>
      <w:proofErr w:type="gramEnd"/>
      <w:r w:rsidRPr="00A95BCC">
        <w:rPr>
          <w:sz w:val="24"/>
          <w:szCs w:val="24"/>
        </w:rPr>
        <w:t xml:space="preserve"> connections, and retention and enrollment “campaigns” to ensure student persistence</w:t>
      </w:r>
      <w:r w:rsidR="00A95BCC">
        <w:rPr>
          <w:sz w:val="24"/>
          <w:szCs w:val="24"/>
        </w:rPr>
        <w:t>, with special attention to any “at-risk” population such as first generation students</w:t>
      </w:r>
      <w:r w:rsidR="00637A2F">
        <w:rPr>
          <w:sz w:val="24"/>
          <w:szCs w:val="24"/>
        </w:rPr>
        <w:t>.</w:t>
      </w:r>
    </w:p>
    <w:p w14:paraId="25CF2B3B" w14:textId="576F563E" w:rsidR="00407EFB" w:rsidRPr="00A95BCC" w:rsidRDefault="002111D4" w:rsidP="00C86071">
      <w:pPr>
        <w:pStyle w:val="ListParagraph"/>
        <w:numPr>
          <w:ilvl w:val="0"/>
          <w:numId w:val="9"/>
        </w:numPr>
        <w:spacing w:after="0"/>
        <w:rPr>
          <w:sz w:val="24"/>
          <w:szCs w:val="24"/>
        </w:rPr>
      </w:pPr>
      <w:r w:rsidRPr="00A95BCC">
        <w:rPr>
          <w:sz w:val="24"/>
          <w:szCs w:val="24"/>
        </w:rPr>
        <w:t>Engagement with the learning management system</w:t>
      </w:r>
      <w:r w:rsidR="00BE229A" w:rsidRPr="00A95BCC">
        <w:rPr>
          <w:sz w:val="24"/>
          <w:szCs w:val="24"/>
        </w:rPr>
        <w:t>, and use of the EAB-Navigate technology</w:t>
      </w:r>
      <w:r w:rsidRPr="00A95BCC">
        <w:rPr>
          <w:sz w:val="24"/>
          <w:szCs w:val="24"/>
        </w:rPr>
        <w:t xml:space="preserve"> enabled faculty and staff to identify </w:t>
      </w:r>
      <w:r w:rsidR="00BE229A" w:rsidRPr="00A95BCC">
        <w:rPr>
          <w:sz w:val="24"/>
          <w:szCs w:val="24"/>
        </w:rPr>
        <w:t xml:space="preserve">and act on </w:t>
      </w:r>
      <w:r w:rsidRPr="00A95BCC">
        <w:rPr>
          <w:sz w:val="24"/>
          <w:szCs w:val="24"/>
        </w:rPr>
        <w:t>opportunities for intervention with students at risk.</w:t>
      </w:r>
      <w:r w:rsidR="00BE229A" w:rsidRPr="00A95BCC">
        <w:rPr>
          <w:sz w:val="24"/>
          <w:szCs w:val="24"/>
        </w:rPr>
        <w:t xml:space="preserve"> Engagement of students in a virtual or at-times-virtual environment has been a constant challenge – campuses have employed a range of options in engaging students (faculty outreach, </w:t>
      </w:r>
      <w:r w:rsidR="00A95BCC" w:rsidRPr="00A95BCC">
        <w:rPr>
          <w:sz w:val="24"/>
          <w:szCs w:val="24"/>
        </w:rPr>
        <w:t>connections with student p</w:t>
      </w:r>
      <w:r w:rsidR="007B75B7">
        <w:rPr>
          <w:sz w:val="24"/>
          <w:szCs w:val="24"/>
        </w:rPr>
        <w:t>eer mentors, addition of a range of</w:t>
      </w:r>
      <w:r w:rsidR="00A95BCC" w:rsidRPr="00A95BCC">
        <w:rPr>
          <w:sz w:val="24"/>
          <w:szCs w:val="24"/>
        </w:rPr>
        <w:t xml:space="preserve"> activities</w:t>
      </w:r>
      <w:r w:rsidR="007B75B7">
        <w:rPr>
          <w:sz w:val="24"/>
          <w:szCs w:val="24"/>
        </w:rPr>
        <w:t>, both virtual and in-person</w:t>
      </w:r>
      <w:r w:rsidR="00337022">
        <w:rPr>
          <w:sz w:val="24"/>
          <w:szCs w:val="24"/>
        </w:rPr>
        <w:t>,</w:t>
      </w:r>
      <w:r w:rsidR="00A95BCC" w:rsidRPr="00A95BCC">
        <w:rPr>
          <w:sz w:val="24"/>
          <w:szCs w:val="24"/>
        </w:rPr>
        <w:t xml:space="preserve"> for students living on campus or participating in clubs and athletics, Welcome Week and Welcome Back events, etc.)</w:t>
      </w:r>
    </w:p>
    <w:p w14:paraId="17BA3227" w14:textId="77777777" w:rsidR="00407EFB" w:rsidRDefault="00407EFB" w:rsidP="001C721D">
      <w:pPr>
        <w:spacing w:after="0"/>
        <w:rPr>
          <w:sz w:val="24"/>
          <w:szCs w:val="24"/>
        </w:rPr>
      </w:pPr>
    </w:p>
    <w:p w14:paraId="48E9CF83" w14:textId="79D7E068" w:rsidR="00D44F49" w:rsidRDefault="00D63AC4" w:rsidP="001C721D">
      <w:pPr>
        <w:spacing w:after="0"/>
        <w:rPr>
          <w:b/>
          <w:i/>
          <w:sz w:val="24"/>
          <w:szCs w:val="24"/>
        </w:rPr>
      </w:pPr>
      <w:r>
        <w:rPr>
          <w:sz w:val="24"/>
          <w:szCs w:val="24"/>
        </w:rPr>
        <w:t xml:space="preserve">The University of Maine System made the early and important commitment to serve our students with science-informed plans that each of our universities would be using to reduce the spread of disease and protect each other and our communities. </w:t>
      </w:r>
      <w:r w:rsidR="00407EFB">
        <w:rPr>
          <w:sz w:val="24"/>
          <w:szCs w:val="24"/>
        </w:rPr>
        <w:t>We resumed i</w:t>
      </w:r>
      <w:r w:rsidR="00CA4DD7">
        <w:rPr>
          <w:sz w:val="24"/>
          <w:szCs w:val="24"/>
        </w:rPr>
        <w:t>n-classroom instruction in the F</w:t>
      </w:r>
      <w:r w:rsidR="00407EFB">
        <w:rPr>
          <w:sz w:val="24"/>
          <w:szCs w:val="24"/>
        </w:rPr>
        <w:t xml:space="preserve">all 2020 semester “because classroom instruction and immersion in a diverse community of ideas remains the best model for </w:t>
      </w:r>
      <w:proofErr w:type="gramStart"/>
      <w:r w:rsidR="00407EFB">
        <w:rPr>
          <w:sz w:val="24"/>
          <w:szCs w:val="24"/>
        </w:rPr>
        <w:t>a majority of</w:t>
      </w:r>
      <w:proofErr w:type="gramEnd"/>
      <w:r w:rsidR="00407EFB">
        <w:rPr>
          <w:sz w:val="24"/>
          <w:szCs w:val="24"/>
        </w:rPr>
        <w:t xml:space="preserve"> our learners. Doing so provides support and enrichment opportunities that are especially important for our first generation and special population students” (Chancellor Malloy, Summer 2020). Our commitment to similarly reconv</w:t>
      </w:r>
      <w:r w:rsidR="007B75B7">
        <w:rPr>
          <w:sz w:val="24"/>
          <w:szCs w:val="24"/>
        </w:rPr>
        <w:t>ene in subsequent semesters had</w:t>
      </w:r>
      <w:r w:rsidR="00407EFB">
        <w:rPr>
          <w:sz w:val="24"/>
          <w:szCs w:val="24"/>
        </w:rPr>
        <w:t xml:space="preserve"> the same goal.</w:t>
      </w:r>
      <w:r w:rsidR="007B75B7">
        <w:rPr>
          <w:sz w:val="24"/>
          <w:szCs w:val="24"/>
        </w:rPr>
        <w:t xml:space="preserve"> While the past year-and-a-half has been</w:t>
      </w:r>
      <w:r w:rsidR="00A95BCC">
        <w:rPr>
          <w:sz w:val="24"/>
          <w:szCs w:val="24"/>
        </w:rPr>
        <w:t xml:space="preserve"> by no means “traditional,” the combination of the many initiatives referenced above and the many supports already in place seemed to serve students as well as it could </w:t>
      </w:r>
      <w:proofErr w:type="spellStart"/>
      <w:r w:rsidR="00A95BCC">
        <w:rPr>
          <w:sz w:val="24"/>
          <w:szCs w:val="24"/>
        </w:rPr>
        <w:t>given</w:t>
      </w:r>
      <w:proofErr w:type="spellEnd"/>
      <w:r w:rsidR="00A95BCC">
        <w:rPr>
          <w:sz w:val="24"/>
          <w:szCs w:val="24"/>
        </w:rPr>
        <w:t xml:space="preserve"> the circumstances. Students</w:t>
      </w:r>
      <w:r w:rsidR="007B75B7">
        <w:rPr>
          <w:sz w:val="24"/>
          <w:szCs w:val="24"/>
        </w:rPr>
        <w:t xml:space="preserve"> and employees</w:t>
      </w:r>
      <w:r w:rsidR="00A95BCC">
        <w:rPr>
          <w:sz w:val="24"/>
          <w:szCs w:val="24"/>
        </w:rPr>
        <w:t xml:space="preserve"> adapted to the changing parameters, expectations and testing</w:t>
      </w:r>
      <w:r w:rsidR="00D44F49">
        <w:rPr>
          <w:sz w:val="24"/>
          <w:szCs w:val="24"/>
        </w:rPr>
        <w:t>, and all campuses continue extensive outreach to support all students, and to encourage their persistence.</w:t>
      </w:r>
    </w:p>
    <w:p w14:paraId="4CCA9D6B" w14:textId="77777777" w:rsidR="00D44F49" w:rsidRDefault="00D44F49" w:rsidP="001C721D">
      <w:pPr>
        <w:spacing w:after="0"/>
        <w:rPr>
          <w:b/>
          <w:i/>
          <w:sz w:val="24"/>
          <w:szCs w:val="24"/>
        </w:rPr>
      </w:pPr>
    </w:p>
    <w:p w14:paraId="140600FE" w14:textId="77777777" w:rsidR="008E030D" w:rsidRPr="0061483E" w:rsidRDefault="008E030D" w:rsidP="00B772DF">
      <w:pPr>
        <w:pStyle w:val="Heading3"/>
      </w:pPr>
      <w:r w:rsidRPr="0061483E">
        <w:lastRenderedPageBreak/>
        <w:t>Overarching Programs and Services which Benefit All Students</w:t>
      </w:r>
      <w:r w:rsidR="00D44F49">
        <w:t xml:space="preserve"> (Standard)</w:t>
      </w:r>
    </w:p>
    <w:p w14:paraId="4560D20F" w14:textId="77777777" w:rsidR="008E030D" w:rsidRPr="0061483E" w:rsidRDefault="008E030D" w:rsidP="001C721D">
      <w:pPr>
        <w:spacing w:after="0"/>
        <w:rPr>
          <w:sz w:val="24"/>
          <w:szCs w:val="24"/>
        </w:rPr>
      </w:pPr>
    </w:p>
    <w:p w14:paraId="2E6775B9" w14:textId="5F5501DE" w:rsidR="008E030D" w:rsidRPr="0061483E" w:rsidRDefault="008E030D" w:rsidP="001C721D">
      <w:pPr>
        <w:spacing w:after="0"/>
        <w:rPr>
          <w:sz w:val="24"/>
          <w:szCs w:val="24"/>
        </w:rPr>
      </w:pPr>
      <w:r w:rsidRPr="0061483E">
        <w:rPr>
          <w:sz w:val="24"/>
          <w:szCs w:val="24"/>
        </w:rPr>
        <w:t>Because each institution within the University of Maine System has a relatively large percentage of first-generation s</w:t>
      </w:r>
      <w:r w:rsidR="00036A54">
        <w:rPr>
          <w:sz w:val="24"/>
          <w:szCs w:val="24"/>
        </w:rPr>
        <w:t>tudents</w:t>
      </w:r>
      <w:r w:rsidRPr="0061483E">
        <w:rPr>
          <w:sz w:val="24"/>
          <w:szCs w:val="24"/>
        </w:rPr>
        <w:t xml:space="preserve">, </w:t>
      </w:r>
      <w:r w:rsidR="005F24D4" w:rsidRPr="0061483E">
        <w:rPr>
          <w:sz w:val="24"/>
          <w:szCs w:val="24"/>
        </w:rPr>
        <w:t>many programs and services that are provided for all students also assist this sub-category of students.</w:t>
      </w:r>
      <w:r w:rsidR="00AC7A39" w:rsidRPr="0061483E">
        <w:rPr>
          <w:sz w:val="24"/>
          <w:szCs w:val="24"/>
        </w:rPr>
        <w:t xml:space="preserve"> It is important to remember that in addition to the wide range of services and supports available on each campus, additional supports and services which complement and supplement what occurs on campus are ava</w:t>
      </w:r>
      <w:r w:rsidR="00D27756">
        <w:rPr>
          <w:sz w:val="24"/>
          <w:szCs w:val="24"/>
        </w:rPr>
        <w:t>ilable at the university</w:t>
      </w:r>
      <w:r w:rsidR="00AC7A39" w:rsidRPr="0061483E">
        <w:rPr>
          <w:sz w:val="24"/>
          <w:szCs w:val="24"/>
        </w:rPr>
        <w:t xml:space="preserve"> centers of</w:t>
      </w:r>
      <w:r w:rsidR="00D27756">
        <w:rPr>
          <w:sz w:val="24"/>
          <w:szCs w:val="24"/>
        </w:rPr>
        <w:t xml:space="preserve"> the University of Maine at Augusta </w:t>
      </w:r>
      <w:r w:rsidR="00AC7A39" w:rsidRPr="0061483E">
        <w:rPr>
          <w:sz w:val="24"/>
          <w:szCs w:val="24"/>
        </w:rPr>
        <w:t xml:space="preserve">(e.g., Rockland, Ellsworth, Rumford, Bath/Brunswick, Saco, etc.) – this </w:t>
      </w:r>
      <w:r w:rsidR="00844422" w:rsidRPr="0061483E">
        <w:rPr>
          <w:sz w:val="24"/>
          <w:szCs w:val="24"/>
        </w:rPr>
        <w:t>gives expanded</w:t>
      </w:r>
      <w:r w:rsidR="00AC7A39" w:rsidRPr="0061483E">
        <w:rPr>
          <w:sz w:val="24"/>
          <w:szCs w:val="24"/>
        </w:rPr>
        <w:t xml:space="preserve"> access to potential and current students and their families to these important supports.</w:t>
      </w:r>
      <w:r w:rsidR="005A39A8">
        <w:rPr>
          <w:sz w:val="24"/>
          <w:szCs w:val="24"/>
        </w:rPr>
        <w:t xml:space="preserve"> It is important to note that many of the services, programs and supports referenced be</w:t>
      </w:r>
      <w:r w:rsidR="007A4FAB">
        <w:rPr>
          <w:sz w:val="24"/>
          <w:szCs w:val="24"/>
        </w:rPr>
        <w:t>low are available both in-person and</w:t>
      </w:r>
      <w:r w:rsidR="005A39A8">
        <w:rPr>
          <w:sz w:val="24"/>
          <w:szCs w:val="24"/>
        </w:rPr>
        <w:t xml:space="preserve"> virtual</w:t>
      </w:r>
      <w:r w:rsidR="007A4FAB">
        <w:rPr>
          <w:sz w:val="24"/>
          <w:szCs w:val="24"/>
        </w:rPr>
        <w:t>ly</w:t>
      </w:r>
      <w:r w:rsidR="00F224E7">
        <w:rPr>
          <w:sz w:val="24"/>
          <w:szCs w:val="24"/>
        </w:rPr>
        <w:t xml:space="preserve"> during the pandemic</w:t>
      </w:r>
      <w:r w:rsidR="005A39A8">
        <w:rPr>
          <w:sz w:val="24"/>
          <w:szCs w:val="24"/>
        </w:rPr>
        <w:t>.</w:t>
      </w:r>
    </w:p>
    <w:p w14:paraId="521BFFBD" w14:textId="77777777" w:rsidR="005F24D4" w:rsidRPr="0061483E" w:rsidRDefault="005F24D4" w:rsidP="001C721D">
      <w:pPr>
        <w:spacing w:after="0"/>
        <w:rPr>
          <w:sz w:val="24"/>
          <w:szCs w:val="24"/>
        </w:rPr>
      </w:pPr>
    </w:p>
    <w:p w14:paraId="172EE515" w14:textId="6CF61F24" w:rsidR="0067102D" w:rsidRPr="00066485" w:rsidRDefault="005F24D4" w:rsidP="001C721D">
      <w:pPr>
        <w:spacing w:after="0"/>
        <w:rPr>
          <w:sz w:val="24"/>
          <w:szCs w:val="24"/>
        </w:rPr>
      </w:pPr>
      <w:r w:rsidRPr="0061483E">
        <w:rPr>
          <w:i/>
          <w:sz w:val="24"/>
          <w:szCs w:val="24"/>
          <w:u w:val="single"/>
        </w:rPr>
        <w:t>Marketing and Recruitment</w:t>
      </w:r>
      <w:r w:rsidRPr="0061483E">
        <w:rPr>
          <w:sz w:val="24"/>
          <w:szCs w:val="24"/>
        </w:rPr>
        <w:t xml:space="preserve"> – Admissions staff at UMS universities work extensively with every high school</w:t>
      </w:r>
      <w:r w:rsidR="0067102D">
        <w:rPr>
          <w:sz w:val="24"/>
          <w:szCs w:val="24"/>
        </w:rPr>
        <w:t xml:space="preserve"> and community college</w:t>
      </w:r>
      <w:r w:rsidRPr="0061483E">
        <w:rPr>
          <w:sz w:val="24"/>
          <w:szCs w:val="24"/>
        </w:rPr>
        <w:t xml:space="preserve"> in Maine to ensure that students know about the programs and services they offer. Through </w:t>
      </w:r>
      <w:r w:rsidR="00844422" w:rsidRPr="0061483E">
        <w:rPr>
          <w:sz w:val="24"/>
          <w:szCs w:val="24"/>
        </w:rPr>
        <w:t xml:space="preserve">publications, social media and </w:t>
      </w:r>
      <w:proofErr w:type="gramStart"/>
      <w:r w:rsidR="00844422" w:rsidRPr="0061483E">
        <w:rPr>
          <w:sz w:val="24"/>
          <w:szCs w:val="24"/>
        </w:rPr>
        <w:t>on line</w:t>
      </w:r>
      <w:proofErr w:type="gramEnd"/>
      <w:r w:rsidR="00844422" w:rsidRPr="0061483E">
        <w:rPr>
          <w:sz w:val="24"/>
          <w:szCs w:val="24"/>
        </w:rPr>
        <w:t xml:space="preserve"> literature, through </w:t>
      </w:r>
      <w:r w:rsidRPr="0061483E">
        <w:rPr>
          <w:sz w:val="24"/>
          <w:szCs w:val="24"/>
        </w:rPr>
        <w:t>visits to the high schools, attendance at college fairs</w:t>
      </w:r>
      <w:r w:rsidR="006A6516">
        <w:rPr>
          <w:sz w:val="24"/>
          <w:szCs w:val="24"/>
        </w:rPr>
        <w:t xml:space="preserve"> and virtual fairs</w:t>
      </w:r>
      <w:r w:rsidRPr="0061483E">
        <w:rPr>
          <w:sz w:val="24"/>
          <w:szCs w:val="24"/>
        </w:rPr>
        <w:t xml:space="preserve">, presentations at workshops and at guidance events, campus visits by high schools (and a growing number of middle schools), </w:t>
      </w:r>
      <w:r w:rsidR="00E63C95" w:rsidRPr="0061483E">
        <w:rPr>
          <w:sz w:val="24"/>
          <w:szCs w:val="24"/>
        </w:rPr>
        <w:t xml:space="preserve">and through open houses, discovery days and other special on-campus events, </w:t>
      </w:r>
      <w:r w:rsidRPr="0061483E">
        <w:rPr>
          <w:sz w:val="24"/>
          <w:szCs w:val="24"/>
        </w:rPr>
        <w:t>students interested in college learn about our universities.</w:t>
      </w:r>
      <w:r w:rsidR="00D44F49">
        <w:rPr>
          <w:sz w:val="24"/>
          <w:szCs w:val="24"/>
        </w:rPr>
        <w:t xml:space="preserve"> Admissions Staff and UMS officials met with Maine School Counselors to discuss how to best support college-bound high school seniors during this time. Based on some of their feedback, </w:t>
      </w:r>
      <w:r w:rsidR="006A6516">
        <w:rPr>
          <w:sz w:val="24"/>
          <w:szCs w:val="24"/>
        </w:rPr>
        <w:t>Admissions staff held</w:t>
      </w:r>
      <w:r w:rsidR="00D44F49">
        <w:rPr>
          <w:sz w:val="24"/>
          <w:szCs w:val="24"/>
        </w:rPr>
        <w:t xml:space="preserve"> </w:t>
      </w:r>
      <w:proofErr w:type="gramStart"/>
      <w:r w:rsidR="00D44F49">
        <w:rPr>
          <w:sz w:val="24"/>
          <w:szCs w:val="24"/>
        </w:rPr>
        <w:t>a number of</w:t>
      </w:r>
      <w:proofErr w:type="gramEnd"/>
      <w:r w:rsidR="00D44F49">
        <w:rPr>
          <w:sz w:val="24"/>
          <w:szCs w:val="24"/>
        </w:rPr>
        <w:t xml:space="preserve"> “virtual” college fairs, including on site admission decisions, in partnership with FAME to encourage college application and FAFSA completion, all during the Spring 2021 semester.</w:t>
      </w:r>
      <w:r w:rsidR="00536CF2" w:rsidRPr="0061483E">
        <w:rPr>
          <w:sz w:val="24"/>
          <w:szCs w:val="24"/>
        </w:rPr>
        <w:t xml:space="preserve"> </w:t>
      </w:r>
      <w:r w:rsidR="00BD0095">
        <w:rPr>
          <w:sz w:val="24"/>
          <w:szCs w:val="24"/>
        </w:rPr>
        <w:t xml:space="preserve">UMM has launched an initiative to work with the Passamaquoddy community in Pleasant Point to better understand the admissions and financial aid process; other campuses have provided similar outreach to a range of populations. </w:t>
      </w:r>
      <w:r w:rsidR="00066485">
        <w:rPr>
          <w:sz w:val="24"/>
          <w:szCs w:val="24"/>
        </w:rPr>
        <w:t>USM has</w:t>
      </w:r>
      <w:r w:rsidR="005A39A8">
        <w:rPr>
          <w:sz w:val="24"/>
          <w:szCs w:val="24"/>
        </w:rPr>
        <w:t xml:space="preserve"> </w:t>
      </w:r>
      <w:r w:rsidR="00066485">
        <w:rPr>
          <w:sz w:val="24"/>
          <w:szCs w:val="24"/>
        </w:rPr>
        <w:t xml:space="preserve">a service promise </w:t>
      </w:r>
      <w:r w:rsidR="00066485" w:rsidRPr="00066485">
        <w:rPr>
          <w:i/>
          <w:sz w:val="24"/>
          <w:szCs w:val="24"/>
        </w:rPr>
        <w:t>Student Focused Every Day</w:t>
      </w:r>
      <w:r w:rsidR="00066485">
        <w:rPr>
          <w:sz w:val="24"/>
          <w:szCs w:val="24"/>
        </w:rPr>
        <w:t xml:space="preserve"> which is woven into the work that is done by all employees (in and out of the classroom).</w:t>
      </w:r>
      <w:r w:rsidR="006A6516">
        <w:rPr>
          <w:sz w:val="24"/>
          <w:szCs w:val="24"/>
        </w:rPr>
        <w:t xml:space="preserve"> </w:t>
      </w:r>
      <w:proofErr w:type="gramStart"/>
      <w:r w:rsidR="006A6516">
        <w:rPr>
          <w:sz w:val="24"/>
          <w:szCs w:val="24"/>
        </w:rPr>
        <w:t>All of</w:t>
      </w:r>
      <w:proofErr w:type="gramEnd"/>
      <w:r w:rsidR="006A6516">
        <w:rPr>
          <w:sz w:val="24"/>
          <w:szCs w:val="24"/>
        </w:rPr>
        <w:t xml:space="preserve"> our campuses participated in a comprehensive and intensive DEI (Diversity, Equity and Inclusion) set of seminars focused on mapping the admissions experience, designing a more inclusive “customer</w:t>
      </w:r>
      <w:r w:rsidR="007A4FAB">
        <w:rPr>
          <w:sz w:val="24"/>
          <w:szCs w:val="24"/>
        </w:rPr>
        <w:t>”</w:t>
      </w:r>
      <w:r w:rsidR="006A6516">
        <w:rPr>
          <w:sz w:val="24"/>
          <w:szCs w:val="24"/>
        </w:rPr>
        <w:t xml:space="preserve"> experience and focused DEI education and training for all staff, all with the goal of providing a more supportive and inclusive environment for all of our students with a focus on </w:t>
      </w:r>
      <w:r w:rsidR="00CA4DD7">
        <w:rPr>
          <w:sz w:val="24"/>
          <w:szCs w:val="24"/>
        </w:rPr>
        <w:t xml:space="preserve">our under-represented </w:t>
      </w:r>
      <w:r w:rsidR="006A6516">
        <w:rPr>
          <w:sz w:val="24"/>
          <w:szCs w:val="24"/>
        </w:rPr>
        <w:t>stu</w:t>
      </w:r>
      <w:r w:rsidR="00CA4DD7">
        <w:rPr>
          <w:sz w:val="24"/>
          <w:szCs w:val="24"/>
        </w:rPr>
        <w:t>dents</w:t>
      </w:r>
      <w:r w:rsidR="006A6516">
        <w:rPr>
          <w:sz w:val="24"/>
          <w:szCs w:val="24"/>
        </w:rPr>
        <w:t>.</w:t>
      </w:r>
    </w:p>
    <w:p w14:paraId="7D170DEC" w14:textId="77777777" w:rsidR="0067102D" w:rsidRDefault="0067102D" w:rsidP="001C721D">
      <w:pPr>
        <w:spacing w:after="0"/>
        <w:rPr>
          <w:sz w:val="24"/>
          <w:szCs w:val="24"/>
        </w:rPr>
      </w:pPr>
    </w:p>
    <w:p w14:paraId="188D8393" w14:textId="02773A32" w:rsidR="0067102D" w:rsidRDefault="00536CF2" w:rsidP="003970F2">
      <w:pPr>
        <w:rPr>
          <w:sz w:val="24"/>
          <w:szCs w:val="24"/>
        </w:rPr>
      </w:pPr>
      <w:r w:rsidRPr="0061483E">
        <w:rPr>
          <w:sz w:val="24"/>
          <w:szCs w:val="24"/>
        </w:rPr>
        <w:t>Several universities offer special summer programs for incoming students that enable them to address academic deficiencies or get a head start on their college career</w:t>
      </w:r>
      <w:r w:rsidR="00637A2F">
        <w:rPr>
          <w:sz w:val="24"/>
          <w:szCs w:val="24"/>
        </w:rPr>
        <w:t xml:space="preserve"> in addition to the examples from UM noted earlier in this document</w:t>
      </w:r>
      <w:r w:rsidR="006A6516">
        <w:rPr>
          <w:sz w:val="24"/>
          <w:szCs w:val="24"/>
        </w:rPr>
        <w:t xml:space="preserve">. UMM </w:t>
      </w:r>
      <w:r w:rsidR="006C57CE">
        <w:rPr>
          <w:sz w:val="24"/>
          <w:szCs w:val="24"/>
        </w:rPr>
        <w:t>offer</w:t>
      </w:r>
      <w:r w:rsidR="006A6516">
        <w:rPr>
          <w:sz w:val="24"/>
          <w:szCs w:val="24"/>
        </w:rPr>
        <w:t>s a summer bridge program</w:t>
      </w:r>
      <w:r w:rsidR="006C57CE">
        <w:rPr>
          <w:sz w:val="24"/>
          <w:szCs w:val="24"/>
        </w:rPr>
        <w:t xml:space="preserve"> which work</w:t>
      </w:r>
      <w:r w:rsidR="006A6516">
        <w:rPr>
          <w:sz w:val="24"/>
          <w:szCs w:val="24"/>
        </w:rPr>
        <w:t>s</w:t>
      </w:r>
      <w:r w:rsidR="006C57CE">
        <w:rPr>
          <w:sz w:val="24"/>
          <w:szCs w:val="24"/>
        </w:rPr>
        <w:t xml:space="preserve"> with any at-risk student prior to their first semester of enrollment in addressing </w:t>
      </w:r>
      <w:r w:rsidR="006C57CE">
        <w:rPr>
          <w:sz w:val="24"/>
          <w:szCs w:val="24"/>
        </w:rPr>
        <w:lastRenderedPageBreak/>
        <w:t>needs within developmental course work and skills essential to college success</w:t>
      </w:r>
      <w:r w:rsidR="00D27756">
        <w:rPr>
          <w:sz w:val="24"/>
          <w:szCs w:val="24"/>
        </w:rPr>
        <w:t xml:space="preserve"> (</w:t>
      </w:r>
      <w:r w:rsidR="00D27756" w:rsidRPr="00A32442">
        <w:rPr>
          <w:sz w:val="24"/>
          <w:szCs w:val="24"/>
        </w:rPr>
        <w:t>including a bridge program in science/mathematics at UMM</w:t>
      </w:r>
      <w:r w:rsidR="00D27756">
        <w:rPr>
          <w:sz w:val="24"/>
          <w:szCs w:val="24"/>
        </w:rPr>
        <w:t>)</w:t>
      </w:r>
      <w:r w:rsidR="00066485">
        <w:rPr>
          <w:sz w:val="24"/>
          <w:szCs w:val="24"/>
        </w:rPr>
        <w:t>, USM offers</w:t>
      </w:r>
      <w:r w:rsidR="00151C4F">
        <w:rPr>
          <w:sz w:val="24"/>
          <w:szCs w:val="24"/>
        </w:rPr>
        <w:t xml:space="preserve"> a summer bridge program</w:t>
      </w:r>
      <w:r w:rsidR="00066485">
        <w:rPr>
          <w:sz w:val="24"/>
          <w:szCs w:val="24"/>
        </w:rPr>
        <w:t xml:space="preserve"> for students who participate in TRIO Student Support Services (SSS, see description later in this document)</w:t>
      </w:r>
      <w:r w:rsidR="00DF0062" w:rsidRPr="0061483E">
        <w:rPr>
          <w:sz w:val="24"/>
          <w:szCs w:val="24"/>
        </w:rPr>
        <w:t>.</w:t>
      </w:r>
      <w:r w:rsidR="006C57CE">
        <w:rPr>
          <w:sz w:val="24"/>
          <w:szCs w:val="24"/>
        </w:rPr>
        <w:t xml:space="preserve"> </w:t>
      </w:r>
      <w:r w:rsidR="004566F8">
        <w:rPr>
          <w:sz w:val="24"/>
          <w:szCs w:val="24"/>
        </w:rPr>
        <w:t xml:space="preserve">UM reaches out to students who were in care (foster students, wards of the state and emancipated minors) to support them in the transition to college. </w:t>
      </w:r>
      <w:r w:rsidR="006A6516">
        <w:rPr>
          <w:sz w:val="24"/>
          <w:szCs w:val="24"/>
        </w:rPr>
        <w:t xml:space="preserve">Beginning in August 2022, UMF will be </w:t>
      </w:r>
      <w:r w:rsidR="003970F2">
        <w:rPr>
          <w:sz w:val="24"/>
          <w:szCs w:val="24"/>
        </w:rPr>
        <w:t xml:space="preserve">offering The Monson Seminar, </w:t>
      </w:r>
      <w:r w:rsidR="003970F2" w:rsidRPr="003970F2">
        <w:rPr>
          <w:rFonts w:cstheme="minorHAnsi"/>
          <w:sz w:val="24"/>
          <w:szCs w:val="24"/>
        </w:rPr>
        <w:t xml:space="preserve">a three-week residential course for </w:t>
      </w:r>
      <w:proofErr w:type="gramStart"/>
      <w:r w:rsidR="003970F2" w:rsidRPr="003970F2">
        <w:rPr>
          <w:rFonts w:cstheme="minorHAnsi"/>
          <w:sz w:val="24"/>
          <w:szCs w:val="24"/>
        </w:rPr>
        <w:t>highly-motivated</w:t>
      </w:r>
      <w:proofErr w:type="gramEnd"/>
      <w:r w:rsidR="003970F2" w:rsidRPr="003970F2">
        <w:rPr>
          <w:rFonts w:cstheme="minorHAnsi"/>
          <w:sz w:val="24"/>
          <w:szCs w:val="24"/>
        </w:rPr>
        <w:t xml:space="preserve"> first-generation and Pell-eligible college students, accredited by the University of Maine Farmington. The Seminar w</w:t>
      </w:r>
      <w:r w:rsidR="00CA4DD7">
        <w:rPr>
          <w:rFonts w:cstheme="minorHAnsi"/>
          <w:sz w:val="24"/>
          <w:szCs w:val="24"/>
        </w:rPr>
        <w:t>ill be offered in August</w:t>
      </w:r>
      <w:r w:rsidR="003970F2" w:rsidRPr="003970F2">
        <w:rPr>
          <w:rFonts w:cstheme="minorHAnsi"/>
          <w:sz w:val="24"/>
          <w:szCs w:val="24"/>
        </w:rPr>
        <w:t xml:space="preserve"> in partnership with Monson Arts, a nationally competitive artist residency program in Monson, Maine. Accepted students will receive fellowships funding the full cost of their tuition. Room and board are included. The Monson seminar is designed to provide high-need students who are invested in academic and creative work with the time, space, and support necessary to take their work to the next level</w:t>
      </w:r>
      <w:r w:rsidR="007A4FAB">
        <w:rPr>
          <w:rFonts w:cstheme="minorHAnsi"/>
          <w:sz w:val="24"/>
          <w:szCs w:val="24"/>
        </w:rPr>
        <w:t>.</w:t>
      </w:r>
    </w:p>
    <w:p w14:paraId="07FD606B" w14:textId="77777777" w:rsidR="00550B75" w:rsidRDefault="004566F8" w:rsidP="001C721D">
      <w:pPr>
        <w:spacing w:after="0"/>
        <w:rPr>
          <w:sz w:val="24"/>
          <w:szCs w:val="24"/>
        </w:rPr>
      </w:pPr>
      <w:r>
        <w:rPr>
          <w:sz w:val="24"/>
          <w:szCs w:val="24"/>
        </w:rPr>
        <w:t>USM, UMM</w:t>
      </w:r>
      <w:r w:rsidR="00F45588">
        <w:rPr>
          <w:sz w:val="24"/>
          <w:szCs w:val="24"/>
        </w:rPr>
        <w:t>, UMFK</w:t>
      </w:r>
      <w:r>
        <w:rPr>
          <w:sz w:val="24"/>
          <w:szCs w:val="24"/>
        </w:rPr>
        <w:t xml:space="preserve"> and UMA are all working with Jobs for Maine’s Graduates</w:t>
      </w:r>
      <w:r w:rsidR="00F71382">
        <w:rPr>
          <w:sz w:val="24"/>
          <w:szCs w:val="24"/>
        </w:rPr>
        <w:t xml:space="preserve"> (JMG)</w:t>
      </w:r>
      <w:r>
        <w:rPr>
          <w:sz w:val="24"/>
          <w:szCs w:val="24"/>
        </w:rPr>
        <w:t xml:space="preserve"> in providing further supports for the students JMG serves (many of whom are first-generation) who are attending one of these institutions</w:t>
      </w:r>
      <w:r w:rsidR="00F71382">
        <w:rPr>
          <w:sz w:val="24"/>
          <w:szCs w:val="24"/>
        </w:rPr>
        <w:t xml:space="preserve">, and JMG also has </w:t>
      </w:r>
      <w:r w:rsidR="00CD048C">
        <w:rPr>
          <w:sz w:val="24"/>
          <w:szCs w:val="24"/>
        </w:rPr>
        <w:t xml:space="preserve">college and career </w:t>
      </w:r>
      <w:r w:rsidR="00F71382">
        <w:rPr>
          <w:sz w:val="24"/>
          <w:szCs w:val="24"/>
        </w:rPr>
        <w:t>specialists embedded on these campuses to provide further support for these students</w:t>
      </w:r>
      <w:r>
        <w:rPr>
          <w:sz w:val="24"/>
          <w:szCs w:val="24"/>
        </w:rPr>
        <w:t>.</w:t>
      </w:r>
      <w:r w:rsidR="00CD048C">
        <w:rPr>
          <w:sz w:val="24"/>
          <w:szCs w:val="24"/>
        </w:rPr>
        <w:t xml:space="preserve">  </w:t>
      </w:r>
    </w:p>
    <w:p w14:paraId="1E689D53" w14:textId="77777777" w:rsidR="00550B75" w:rsidRDefault="00550B75" w:rsidP="001C721D">
      <w:pPr>
        <w:spacing w:after="0"/>
        <w:rPr>
          <w:sz w:val="24"/>
          <w:szCs w:val="24"/>
        </w:rPr>
      </w:pPr>
    </w:p>
    <w:p w14:paraId="2E683253" w14:textId="77777777" w:rsidR="00B17595" w:rsidRDefault="00CD048C" w:rsidP="001C721D">
      <w:pPr>
        <w:spacing w:after="0"/>
        <w:rPr>
          <w:sz w:val="24"/>
          <w:szCs w:val="24"/>
        </w:rPr>
      </w:pPr>
      <w:r>
        <w:rPr>
          <w:sz w:val="24"/>
          <w:szCs w:val="24"/>
        </w:rPr>
        <w:t xml:space="preserve">UMM is working with Family Futures </w:t>
      </w:r>
      <w:proofErr w:type="spellStart"/>
      <w:r>
        <w:rPr>
          <w:sz w:val="24"/>
          <w:szCs w:val="24"/>
        </w:rPr>
        <w:t>Downeast</w:t>
      </w:r>
      <w:proofErr w:type="spellEnd"/>
      <w:r>
        <w:rPr>
          <w:sz w:val="24"/>
          <w:szCs w:val="24"/>
        </w:rPr>
        <w:t>, a grant funded two-generation program dedicated to first-generation adult learners and their young children (this has been recognized by the White House as one of ten R</w:t>
      </w:r>
      <w:r w:rsidR="00550B75">
        <w:rPr>
          <w:sz w:val="24"/>
          <w:szCs w:val="24"/>
        </w:rPr>
        <w:t>ural IMPACT centers nationwide); the first cohort of students had a retention rate of 90%, with a majority of these either continuing to pursue their AA in liberal studies or matriculating in a baccalaureate program – all are first generation students.</w:t>
      </w:r>
    </w:p>
    <w:p w14:paraId="6E5F6454" w14:textId="77777777" w:rsidR="00B17595" w:rsidRDefault="00B17595" w:rsidP="001C721D">
      <w:pPr>
        <w:spacing w:after="0"/>
        <w:rPr>
          <w:sz w:val="24"/>
          <w:szCs w:val="24"/>
        </w:rPr>
      </w:pPr>
    </w:p>
    <w:p w14:paraId="5857602B" w14:textId="5BE4D040" w:rsidR="00F6043C" w:rsidRDefault="006C57CE" w:rsidP="001C721D">
      <w:pPr>
        <w:spacing w:after="0"/>
        <w:rPr>
          <w:sz w:val="24"/>
          <w:szCs w:val="24"/>
        </w:rPr>
      </w:pPr>
      <w:proofErr w:type="gramStart"/>
      <w:r>
        <w:rPr>
          <w:sz w:val="24"/>
          <w:szCs w:val="24"/>
        </w:rPr>
        <w:t>All of</w:t>
      </w:r>
      <w:proofErr w:type="gramEnd"/>
      <w:r>
        <w:rPr>
          <w:sz w:val="24"/>
          <w:szCs w:val="24"/>
        </w:rPr>
        <w:t xml:space="preserve"> our campuses participate in the </w:t>
      </w:r>
      <w:r w:rsidR="00151C4F">
        <w:rPr>
          <w:sz w:val="24"/>
          <w:szCs w:val="24"/>
        </w:rPr>
        <w:t xml:space="preserve">full range of Early College programs </w:t>
      </w:r>
      <w:r>
        <w:rPr>
          <w:sz w:val="24"/>
          <w:szCs w:val="24"/>
        </w:rPr>
        <w:t>which encourage high school students to enroll in college level coursework and get a head start on their higher education aspirations.</w:t>
      </w:r>
      <w:r w:rsidR="00D444B9">
        <w:rPr>
          <w:sz w:val="24"/>
          <w:szCs w:val="24"/>
        </w:rPr>
        <w:t xml:space="preserve"> </w:t>
      </w:r>
      <w:r w:rsidR="00477FD5">
        <w:rPr>
          <w:sz w:val="24"/>
          <w:szCs w:val="24"/>
        </w:rPr>
        <w:t xml:space="preserve">Faculty (both on campus and at the high schools), </w:t>
      </w:r>
      <w:r w:rsidR="00F71382">
        <w:rPr>
          <w:sz w:val="24"/>
          <w:szCs w:val="24"/>
        </w:rPr>
        <w:t>s</w:t>
      </w:r>
      <w:r w:rsidR="00D444B9">
        <w:rPr>
          <w:sz w:val="24"/>
          <w:szCs w:val="24"/>
        </w:rPr>
        <w:t>tudent</w:t>
      </w:r>
      <w:r w:rsidR="00616C31">
        <w:rPr>
          <w:sz w:val="24"/>
          <w:szCs w:val="24"/>
        </w:rPr>
        <w:t xml:space="preserve"> success staff and others </w:t>
      </w:r>
      <w:r w:rsidR="00D444B9">
        <w:rPr>
          <w:sz w:val="24"/>
          <w:szCs w:val="24"/>
        </w:rPr>
        <w:t xml:space="preserve">are very involved in the delivery of these programs and are developing </w:t>
      </w:r>
      <w:proofErr w:type="gramStart"/>
      <w:r w:rsidR="00D444B9">
        <w:rPr>
          <w:sz w:val="24"/>
          <w:szCs w:val="24"/>
        </w:rPr>
        <w:t>a number of</w:t>
      </w:r>
      <w:proofErr w:type="gramEnd"/>
      <w:r w:rsidR="00D444B9">
        <w:rPr>
          <w:sz w:val="24"/>
          <w:szCs w:val="24"/>
        </w:rPr>
        <w:t xml:space="preserve"> support initiatives for students enrolled in these programs.</w:t>
      </w:r>
      <w:r w:rsidR="00616C31">
        <w:rPr>
          <w:sz w:val="24"/>
          <w:szCs w:val="24"/>
        </w:rPr>
        <w:t xml:space="preserve"> As an example, UMA implemented an awards ceremony for its Bridge Program students which recognized the success of the students at an </w:t>
      </w:r>
      <w:proofErr w:type="gramStart"/>
      <w:r w:rsidR="00616C31">
        <w:rPr>
          <w:sz w:val="24"/>
          <w:szCs w:val="24"/>
        </w:rPr>
        <w:t>on campus</w:t>
      </w:r>
      <w:proofErr w:type="gramEnd"/>
      <w:r w:rsidR="00616C31">
        <w:rPr>
          <w:sz w:val="24"/>
          <w:szCs w:val="24"/>
        </w:rPr>
        <w:t xml:space="preserve"> event</w:t>
      </w:r>
      <w:r w:rsidR="00256018">
        <w:rPr>
          <w:sz w:val="24"/>
          <w:szCs w:val="24"/>
        </w:rPr>
        <w:t xml:space="preserve"> (on hiatus due to the pandemic)</w:t>
      </w:r>
      <w:r w:rsidR="00616C31">
        <w:rPr>
          <w:sz w:val="24"/>
          <w:szCs w:val="24"/>
        </w:rPr>
        <w:t>.</w:t>
      </w:r>
      <w:r w:rsidR="00151C4F">
        <w:rPr>
          <w:sz w:val="24"/>
          <w:szCs w:val="24"/>
        </w:rPr>
        <w:t xml:space="preserve"> </w:t>
      </w:r>
      <w:r w:rsidR="00D27756">
        <w:rPr>
          <w:sz w:val="24"/>
          <w:szCs w:val="24"/>
        </w:rPr>
        <w:t>UMM has developed a pathways approach to Early College which will lead to Early College certificates</w:t>
      </w:r>
      <w:r w:rsidR="005A39A8">
        <w:rPr>
          <w:sz w:val="24"/>
          <w:szCs w:val="24"/>
        </w:rPr>
        <w:t>, an approach that is in development at other campuses as well</w:t>
      </w:r>
      <w:r w:rsidR="00D27756">
        <w:rPr>
          <w:sz w:val="24"/>
          <w:szCs w:val="24"/>
        </w:rPr>
        <w:t xml:space="preserve">. </w:t>
      </w:r>
    </w:p>
    <w:p w14:paraId="5857A4DD" w14:textId="77777777" w:rsidR="00F6043C" w:rsidRDefault="00F6043C" w:rsidP="001C721D">
      <w:pPr>
        <w:spacing w:after="0"/>
        <w:rPr>
          <w:sz w:val="24"/>
          <w:szCs w:val="24"/>
        </w:rPr>
      </w:pPr>
    </w:p>
    <w:p w14:paraId="5C98E3F9" w14:textId="2F9BCEB0" w:rsidR="00536CF2" w:rsidRPr="0061483E" w:rsidRDefault="00151C4F" w:rsidP="001C721D">
      <w:pPr>
        <w:spacing w:after="0"/>
        <w:rPr>
          <w:sz w:val="24"/>
          <w:szCs w:val="24"/>
        </w:rPr>
      </w:pPr>
      <w:r>
        <w:rPr>
          <w:sz w:val="24"/>
          <w:szCs w:val="24"/>
        </w:rPr>
        <w:t xml:space="preserve">As a part of the investment made by the state in our Early College efforts, all campuses are working within their regions to expand the availability of this programming, to provide more support to students enrolled and more professional development opportunities for faculty teaching within the program, and to provide limited scholarship funding for students who </w:t>
      </w:r>
      <w:r>
        <w:rPr>
          <w:sz w:val="24"/>
          <w:szCs w:val="24"/>
        </w:rPr>
        <w:lastRenderedPageBreak/>
        <w:t>complete an early college course with us and subsequently matriculate at one of our institutions.</w:t>
      </w:r>
      <w:r w:rsidR="00477FD5">
        <w:rPr>
          <w:sz w:val="24"/>
          <w:szCs w:val="24"/>
        </w:rPr>
        <w:t xml:space="preserve"> An example of the student support provided includes access to online tutoring support for all Early College students, and a user-friendly web site which enable students and schools to access Early College opportunities throughout the University of Maine System.</w:t>
      </w:r>
      <w:r w:rsidR="005A39A8">
        <w:rPr>
          <w:sz w:val="24"/>
          <w:szCs w:val="24"/>
        </w:rPr>
        <w:t xml:space="preserve"> The UMS and Maine Community College System (MCCS) work closely to ensure collaboration across the range of Early College programs acro</w:t>
      </w:r>
      <w:r w:rsidR="007A4FAB">
        <w:rPr>
          <w:sz w:val="24"/>
          <w:szCs w:val="24"/>
        </w:rPr>
        <w:t>ss the state. L</w:t>
      </w:r>
      <w:r w:rsidR="005A39A8">
        <w:rPr>
          <w:sz w:val="24"/>
          <w:szCs w:val="24"/>
        </w:rPr>
        <w:t xml:space="preserve">imited funding at the state level may restrict the numbers of students who can take advantage of these important early learning opportunities which can help to maximize their chances to go to </w:t>
      </w:r>
      <w:proofErr w:type="gramStart"/>
      <w:r w:rsidR="005A39A8">
        <w:rPr>
          <w:sz w:val="24"/>
          <w:szCs w:val="24"/>
        </w:rPr>
        <w:t>college, and</w:t>
      </w:r>
      <w:proofErr w:type="gramEnd"/>
      <w:r w:rsidR="005A39A8">
        <w:rPr>
          <w:sz w:val="24"/>
          <w:szCs w:val="24"/>
        </w:rPr>
        <w:t xml:space="preserve"> make college more affordable.</w:t>
      </w:r>
    </w:p>
    <w:p w14:paraId="706EB23A" w14:textId="77777777" w:rsidR="00536CF2" w:rsidRPr="0061483E" w:rsidRDefault="00536CF2" w:rsidP="001C721D">
      <w:pPr>
        <w:spacing w:after="0"/>
        <w:rPr>
          <w:sz w:val="24"/>
          <w:szCs w:val="24"/>
        </w:rPr>
      </w:pPr>
    </w:p>
    <w:p w14:paraId="61B8550D" w14:textId="1B521C9D" w:rsidR="005F24D4" w:rsidRPr="0061483E" w:rsidRDefault="005F24D4" w:rsidP="001C721D">
      <w:pPr>
        <w:spacing w:after="0"/>
        <w:rPr>
          <w:sz w:val="24"/>
          <w:szCs w:val="24"/>
        </w:rPr>
      </w:pPr>
      <w:r w:rsidRPr="0061483E">
        <w:rPr>
          <w:sz w:val="24"/>
          <w:szCs w:val="24"/>
        </w:rPr>
        <w:t>In add</w:t>
      </w:r>
      <w:r w:rsidR="00E63C95" w:rsidRPr="0061483E">
        <w:rPr>
          <w:sz w:val="24"/>
          <w:szCs w:val="24"/>
        </w:rPr>
        <w:t xml:space="preserve">ition, our admissions </w:t>
      </w:r>
      <w:r w:rsidR="003428BE">
        <w:rPr>
          <w:sz w:val="24"/>
          <w:szCs w:val="24"/>
        </w:rPr>
        <w:t>staff, transfer affairs staff, UMA university center</w:t>
      </w:r>
      <w:r w:rsidR="00E63C95" w:rsidRPr="0061483E">
        <w:rPr>
          <w:sz w:val="24"/>
          <w:szCs w:val="24"/>
        </w:rPr>
        <w:t xml:space="preserve"> outreach staff and others </w:t>
      </w:r>
      <w:r w:rsidRPr="0061483E">
        <w:rPr>
          <w:sz w:val="24"/>
          <w:szCs w:val="24"/>
        </w:rPr>
        <w:t>work with organizations such as Maine Adult Education</w:t>
      </w:r>
      <w:r w:rsidR="00E63C95" w:rsidRPr="0061483E">
        <w:rPr>
          <w:sz w:val="24"/>
          <w:szCs w:val="24"/>
        </w:rPr>
        <w:t xml:space="preserve"> in general and the College Transitions program specifically</w:t>
      </w:r>
      <w:r w:rsidRPr="0061483E">
        <w:rPr>
          <w:sz w:val="24"/>
          <w:szCs w:val="24"/>
        </w:rPr>
        <w:t xml:space="preserve">, </w:t>
      </w:r>
      <w:r w:rsidR="00323E55">
        <w:rPr>
          <w:sz w:val="24"/>
          <w:szCs w:val="24"/>
        </w:rPr>
        <w:t>New Ve</w:t>
      </w:r>
      <w:r w:rsidR="00477FD5">
        <w:rPr>
          <w:sz w:val="24"/>
          <w:szCs w:val="24"/>
        </w:rPr>
        <w:t>ntures Maine</w:t>
      </w:r>
      <w:r w:rsidRPr="0061483E">
        <w:rPr>
          <w:sz w:val="24"/>
          <w:szCs w:val="24"/>
        </w:rPr>
        <w:t xml:space="preserve">, </w:t>
      </w:r>
      <w:r w:rsidR="00151C4F">
        <w:rPr>
          <w:sz w:val="24"/>
          <w:szCs w:val="24"/>
        </w:rPr>
        <w:t xml:space="preserve">the </w:t>
      </w:r>
      <w:proofErr w:type="spellStart"/>
      <w:r w:rsidR="00151C4F">
        <w:rPr>
          <w:sz w:val="24"/>
          <w:szCs w:val="24"/>
        </w:rPr>
        <w:t>MaineSpark</w:t>
      </w:r>
      <w:proofErr w:type="spellEnd"/>
      <w:r w:rsidR="00151C4F">
        <w:rPr>
          <w:sz w:val="24"/>
          <w:szCs w:val="24"/>
        </w:rPr>
        <w:t xml:space="preserve"> 60 by 2025 degree/credential attainment initiative, </w:t>
      </w:r>
      <w:r w:rsidR="00536CF2" w:rsidRPr="0061483E">
        <w:rPr>
          <w:sz w:val="24"/>
          <w:szCs w:val="24"/>
        </w:rPr>
        <w:t xml:space="preserve">various veterans’ organizations, </w:t>
      </w:r>
      <w:r w:rsidR="00844422" w:rsidRPr="0061483E">
        <w:rPr>
          <w:sz w:val="24"/>
          <w:szCs w:val="24"/>
        </w:rPr>
        <w:t>other employer-based organizations</w:t>
      </w:r>
      <w:r w:rsidR="00B17595">
        <w:rPr>
          <w:sz w:val="24"/>
          <w:szCs w:val="24"/>
        </w:rPr>
        <w:t xml:space="preserve"> </w:t>
      </w:r>
      <w:r w:rsidRPr="0061483E">
        <w:rPr>
          <w:sz w:val="24"/>
          <w:szCs w:val="24"/>
        </w:rPr>
        <w:t xml:space="preserve">and other community organizations to reach out to adult students who may be interested in either attending college for the first  time or returning to college after a long absence. </w:t>
      </w:r>
      <w:r w:rsidR="006C57CE">
        <w:rPr>
          <w:sz w:val="24"/>
          <w:szCs w:val="24"/>
        </w:rPr>
        <w:t>B</w:t>
      </w:r>
      <w:r w:rsidRPr="0061483E">
        <w:rPr>
          <w:sz w:val="24"/>
          <w:szCs w:val="24"/>
        </w:rPr>
        <w:t>etter addressing the needs of this population and helping them return to college is a fun</w:t>
      </w:r>
      <w:r w:rsidR="000329A6">
        <w:rPr>
          <w:sz w:val="24"/>
          <w:szCs w:val="24"/>
        </w:rPr>
        <w:t>damental component of our 2013</w:t>
      </w:r>
      <w:r w:rsidRPr="0061483E">
        <w:rPr>
          <w:sz w:val="24"/>
          <w:szCs w:val="24"/>
        </w:rPr>
        <w:t xml:space="preserve"> report and recommendations, “</w:t>
      </w:r>
      <w:r w:rsidRPr="0061483E">
        <w:rPr>
          <w:i/>
          <w:sz w:val="24"/>
          <w:szCs w:val="24"/>
        </w:rPr>
        <w:t>Adult Baccalaureate Completion Distance Education Report</w:t>
      </w:r>
      <w:r w:rsidR="00151C4F">
        <w:rPr>
          <w:sz w:val="24"/>
          <w:szCs w:val="24"/>
        </w:rPr>
        <w:t>”</w:t>
      </w:r>
      <w:r w:rsidR="00477FD5">
        <w:rPr>
          <w:sz w:val="24"/>
          <w:szCs w:val="24"/>
        </w:rPr>
        <w:t>, and our 2019</w:t>
      </w:r>
      <w:r w:rsidR="00D27756">
        <w:rPr>
          <w:sz w:val="24"/>
          <w:szCs w:val="24"/>
        </w:rPr>
        <w:t xml:space="preserve"> next stage report “</w:t>
      </w:r>
      <w:r w:rsidR="00D27756" w:rsidRPr="00D27756">
        <w:rPr>
          <w:i/>
          <w:sz w:val="24"/>
          <w:szCs w:val="24"/>
        </w:rPr>
        <w:t>Adult Degree Completion</w:t>
      </w:r>
      <w:r w:rsidR="00477FD5">
        <w:rPr>
          <w:i/>
          <w:sz w:val="24"/>
          <w:szCs w:val="24"/>
        </w:rPr>
        <w:t xml:space="preserve"> Report</w:t>
      </w:r>
      <w:r w:rsidR="00D27756">
        <w:rPr>
          <w:sz w:val="24"/>
          <w:szCs w:val="24"/>
        </w:rPr>
        <w:t>”,</w:t>
      </w:r>
      <w:r w:rsidR="00151C4F">
        <w:rPr>
          <w:sz w:val="24"/>
          <w:szCs w:val="24"/>
        </w:rPr>
        <w:t xml:space="preserve"> which have been implemented at </w:t>
      </w:r>
      <w:r w:rsidR="006C57CE">
        <w:rPr>
          <w:sz w:val="24"/>
          <w:szCs w:val="24"/>
        </w:rPr>
        <w:t>our campuses</w:t>
      </w:r>
      <w:r w:rsidR="00151C4F">
        <w:rPr>
          <w:sz w:val="24"/>
          <w:szCs w:val="24"/>
        </w:rPr>
        <w:t xml:space="preserve"> which serve adult students</w:t>
      </w:r>
      <w:r w:rsidR="006C57CE">
        <w:rPr>
          <w:sz w:val="24"/>
          <w:szCs w:val="24"/>
        </w:rPr>
        <w:t>.</w:t>
      </w:r>
      <w:r w:rsidR="00D27756">
        <w:rPr>
          <w:sz w:val="24"/>
          <w:szCs w:val="24"/>
        </w:rPr>
        <w:t xml:space="preserve"> </w:t>
      </w:r>
      <w:r w:rsidR="000B4EF1">
        <w:rPr>
          <w:sz w:val="24"/>
          <w:szCs w:val="24"/>
        </w:rPr>
        <w:t xml:space="preserve">Most significantly, a range of </w:t>
      </w:r>
      <w:proofErr w:type="gramStart"/>
      <w:r w:rsidR="000B4EF1">
        <w:rPr>
          <w:sz w:val="24"/>
          <w:szCs w:val="24"/>
        </w:rPr>
        <w:t>on line</w:t>
      </w:r>
      <w:proofErr w:type="gramEnd"/>
      <w:r w:rsidR="000B4EF1">
        <w:rPr>
          <w:sz w:val="24"/>
          <w:szCs w:val="24"/>
        </w:rPr>
        <w:t xml:space="preserve"> programs</w:t>
      </w:r>
      <w:r w:rsidR="003970F2">
        <w:rPr>
          <w:sz w:val="24"/>
          <w:szCs w:val="24"/>
        </w:rPr>
        <w:t xml:space="preserve"> and degree completion programs </w:t>
      </w:r>
      <w:r w:rsidR="000B4EF1">
        <w:rPr>
          <w:sz w:val="24"/>
          <w:szCs w:val="24"/>
        </w:rPr>
        <w:t>are available for students who may be working full time to provide better access to educational programs.</w:t>
      </w:r>
      <w:r w:rsidR="005A39A8">
        <w:rPr>
          <w:sz w:val="24"/>
          <w:szCs w:val="24"/>
        </w:rPr>
        <w:t xml:space="preserve"> We have developed </w:t>
      </w:r>
      <w:r w:rsidR="003970F2">
        <w:rPr>
          <w:sz w:val="24"/>
          <w:szCs w:val="24"/>
        </w:rPr>
        <w:t>a Student Success</w:t>
      </w:r>
      <w:r w:rsidR="005A39A8">
        <w:rPr>
          <w:sz w:val="24"/>
          <w:szCs w:val="24"/>
        </w:rPr>
        <w:t xml:space="preserve"> Center, a comprehensive resource website, hired student</w:t>
      </w:r>
      <w:r w:rsidR="007A4FAB">
        <w:rPr>
          <w:sz w:val="24"/>
          <w:szCs w:val="24"/>
        </w:rPr>
        <w:t xml:space="preserve"> success coaches and </w:t>
      </w:r>
      <w:r w:rsidR="003970F2">
        <w:rPr>
          <w:sz w:val="24"/>
          <w:szCs w:val="24"/>
        </w:rPr>
        <w:t>rolled</w:t>
      </w:r>
      <w:r w:rsidR="005A39A8">
        <w:rPr>
          <w:sz w:val="24"/>
          <w:szCs w:val="24"/>
        </w:rPr>
        <w:t xml:space="preserve"> out an adult learner outreach campaign to better attract and support Maine adult learners. We have expanded our scholarship program to include an Opening Doors scholarship for adult students who have never attended college, or who need to “retool” and pursue additional learning beyond their original degrees or certificates.</w:t>
      </w:r>
      <w:r w:rsidR="003970F2">
        <w:rPr>
          <w:sz w:val="24"/>
          <w:szCs w:val="24"/>
        </w:rPr>
        <w:t xml:space="preserve"> Additionally, we implemented a “small debt forgiveness” program, described earlier in this report.</w:t>
      </w:r>
      <w:r w:rsidR="007A4FAB">
        <w:rPr>
          <w:sz w:val="24"/>
          <w:szCs w:val="24"/>
        </w:rPr>
        <w:t xml:space="preserve"> Several “stop out” campaigns have occurred to encourage students who left one of our institutions with credits earned to return and complete their degree.</w:t>
      </w:r>
    </w:p>
    <w:p w14:paraId="77A3C8D5" w14:textId="77777777" w:rsidR="002128E1" w:rsidRPr="0061483E" w:rsidRDefault="002128E1" w:rsidP="001C721D">
      <w:pPr>
        <w:spacing w:after="0"/>
        <w:rPr>
          <w:sz w:val="24"/>
          <w:szCs w:val="24"/>
        </w:rPr>
      </w:pPr>
    </w:p>
    <w:p w14:paraId="615C8FE8" w14:textId="7C260AEC" w:rsidR="002128E1" w:rsidRPr="0061483E" w:rsidRDefault="002128E1" w:rsidP="001C721D">
      <w:pPr>
        <w:spacing w:after="0"/>
        <w:rPr>
          <w:sz w:val="24"/>
          <w:szCs w:val="24"/>
        </w:rPr>
      </w:pPr>
      <w:r w:rsidRPr="0061483E">
        <w:rPr>
          <w:sz w:val="24"/>
          <w:szCs w:val="24"/>
        </w:rPr>
        <w:t xml:space="preserve">Recognizing that many new students and most specifically first-generation students are often unfamiliar with deadlines for admissions, </w:t>
      </w:r>
      <w:r w:rsidRPr="006962DD">
        <w:rPr>
          <w:sz w:val="24"/>
          <w:szCs w:val="24"/>
        </w:rPr>
        <w:t>financial aid and course registration, all campuses have preferred but also rolling deadlines for admission</w:t>
      </w:r>
      <w:r w:rsidRPr="0061483E">
        <w:rPr>
          <w:sz w:val="24"/>
          <w:szCs w:val="24"/>
        </w:rPr>
        <w:t xml:space="preserve"> and provide support throughout the cycle for students who may apply late. Several campuses have late start “mini-sessions” that can enable late applicants to initiate coursework in a timely way. </w:t>
      </w:r>
      <w:r w:rsidR="00151C4F">
        <w:rPr>
          <w:sz w:val="24"/>
          <w:szCs w:val="24"/>
        </w:rPr>
        <w:t>We work collaboratively with FAME in their various workshops related to the financial aid application process.</w:t>
      </w:r>
      <w:r w:rsidR="0067102D">
        <w:rPr>
          <w:sz w:val="24"/>
          <w:szCs w:val="24"/>
        </w:rPr>
        <w:t xml:space="preserve"> Also, all campuses </w:t>
      </w:r>
      <w:r w:rsidR="003428BE">
        <w:rPr>
          <w:sz w:val="24"/>
          <w:szCs w:val="24"/>
        </w:rPr>
        <w:t>waive the application fee for undergraduate students</w:t>
      </w:r>
      <w:r w:rsidR="00F6043C">
        <w:rPr>
          <w:sz w:val="24"/>
          <w:szCs w:val="24"/>
        </w:rPr>
        <w:t xml:space="preserve">, and all campuses are “test </w:t>
      </w:r>
      <w:r w:rsidR="00F6043C">
        <w:rPr>
          <w:sz w:val="24"/>
          <w:szCs w:val="24"/>
        </w:rPr>
        <w:lastRenderedPageBreak/>
        <w:t>optional” (e</w:t>
      </w:r>
      <w:r w:rsidR="00CA4DD7">
        <w:rPr>
          <w:sz w:val="24"/>
          <w:szCs w:val="24"/>
        </w:rPr>
        <w:t>.</w:t>
      </w:r>
      <w:r w:rsidR="00F6043C">
        <w:rPr>
          <w:sz w:val="24"/>
          <w:szCs w:val="24"/>
        </w:rPr>
        <w:t>g</w:t>
      </w:r>
      <w:r w:rsidR="00CA4DD7">
        <w:rPr>
          <w:sz w:val="24"/>
          <w:szCs w:val="24"/>
        </w:rPr>
        <w:t>.</w:t>
      </w:r>
      <w:r w:rsidR="00F6043C">
        <w:rPr>
          <w:sz w:val="24"/>
          <w:szCs w:val="24"/>
        </w:rPr>
        <w:t>, do not require the SAT or ACT)</w:t>
      </w:r>
      <w:r w:rsidR="0067102D">
        <w:rPr>
          <w:sz w:val="24"/>
          <w:szCs w:val="24"/>
        </w:rPr>
        <w:t>.</w:t>
      </w:r>
      <w:r w:rsidR="009B6C90">
        <w:rPr>
          <w:sz w:val="24"/>
          <w:szCs w:val="24"/>
        </w:rPr>
        <w:t xml:space="preserve"> Several campuses have implemented peer-to-peer connection or </w:t>
      </w:r>
      <w:proofErr w:type="gramStart"/>
      <w:r w:rsidR="009B6C90">
        <w:rPr>
          <w:sz w:val="24"/>
          <w:szCs w:val="24"/>
        </w:rPr>
        <w:t>general purpose</w:t>
      </w:r>
      <w:proofErr w:type="gramEnd"/>
      <w:r w:rsidR="009B6C90">
        <w:rPr>
          <w:sz w:val="24"/>
          <w:szCs w:val="24"/>
        </w:rPr>
        <w:t xml:space="preserve"> help lines designed to help students, many of them first generation, better navigate the institutions</w:t>
      </w:r>
      <w:r w:rsidR="007A4FAB">
        <w:rPr>
          <w:sz w:val="24"/>
          <w:szCs w:val="24"/>
        </w:rPr>
        <w:t>.</w:t>
      </w:r>
      <w:r w:rsidR="009B6C90">
        <w:rPr>
          <w:sz w:val="24"/>
          <w:szCs w:val="24"/>
        </w:rPr>
        <w:t xml:space="preserve"> </w:t>
      </w:r>
    </w:p>
    <w:p w14:paraId="3709B34A" w14:textId="77777777" w:rsidR="005F24D4" w:rsidRPr="0061483E" w:rsidRDefault="005F24D4" w:rsidP="001C721D">
      <w:pPr>
        <w:spacing w:after="0"/>
        <w:rPr>
          <w:sz w:val="24"/>
          <w:szCs w:val="24"/>
        </w:rPr>
      </w:pPr>
    </w:p>
    <w:p w14:paraId="51416F00" w14:textId="77777777" w:rsidR="00CA4DD7" w:rsidRDefault="005F24D4" w:rsidP="001C721D">
      <w:pPr>
        <w:spacing w:after="0"/>
        <w:rPr>
          <w:sz w:val="24"/>
          <w:szCs w:val="24"/>
        </w:rPr>
      </w:pPr>
      <w:r w:rsidRPr="0061483E">
        <w:rPr>
          <w:i/>
          <w:sz w:val="24"/>
          <w:szCs w:val="24"/>
          <w:u w:val="single"/>
        </w:rPr>
        <w:t>Orientation</w:t>
      </w:r>
      <w:r w:rsidRPr="0061483E">
        <w:rPr>
          <w:sz w:val="24"/>
          <w:szCs w:val="24"/>
        </w:rPr>
        <w:t xml:space="preserve"> – All campuses offer a range of orientation programs </w:t>
      </w:r>
      <w:r w:rsidR="00F32CBE">
        <w:rPr>
          <w:sz w:val="24"/>
          <w:szCs w:val="24"/>
        </w:rPr>
        <w:t xml:space="preserve">during the summer and </w:t>
      </w:r>
      <w:r w:rsidRPr="0061483E">
        <w:rPr>
          <w:sz w:val="24"/>
          <w:szCs w:val="24"/>
        </w:rPr>
        <w:t xml:space="preserve">at the start of each semester whose goal is to acquaint the student with the campus, with important policies and procedures, with their program and faculty and with each other. </w:t>
      </w:r>
      <w:r w:rsidR="00536CF2" w:rsidRPr="0061483E">
        <w:rPr>
          <w:sz w:val="24"/>
          <w:szCs w:val="24"/>
        </w:rPr>
        <w:t xml:space="preserve"> All encourage parents and significant others to join the student at the orientation and separate programming is provided to help them prepare for and support their student’s entry into higher education</w:t>
      </w:r>
      <w:r w:rsidR="000E3328">
        <w:rPr>
          <w:sz w:val="24"/>
          <w:szCs w:val="24"/>
        </w:rPr>
        <w:t>, and several have parent programs which continue throughout the year</w:t>
      </w:r>
      <w:r w:rsidR="00536CF2" w:rsidRPr="0061483E">
        <w:rPr>
          <w:sz w:val="24"/>
          <w:szCs w:val="24"/>
        </w:rPr>
        <w:t xml:space="preserve">. </w:t>
      </w:r>
      <w:r w:rsidR="003970F2">
        <w:rPr>
          <w:sz w:val="24"/>
          <w:szCs w:val="24"/>
        </w:rPr>
        <w:t>In a regular year, m</w:t>
      </w:r>
      <w:r w:rsidRPr="0061483E">
        <w:rPr>
          <w:sz w:val="24"/>
          <w:szCs w:val="24"/>
        </w:rPr>
        <w:t>any campuses offer an overnight</w:t>
      </w:r>
      <w:r w:rsidR="002128E1" w:rsidRPr="0061483E">
        <w:rPr>
          <w:sz w:val="24"/>
          <w:szCs w:val="24"/>
        </w:rPr>
        <w:t xml:space="preserve"> residential orientation </w:t>
      </w:r>
      <w:r w:rsidR="00844422" w:rsidRPr="0061483E">
        <w:rPr>
          <w:sz w:val="24"/>
          <w:szCs w:val="24"/>
        </w:rPr>
        <w:t>in addition to the more program</w:t>
      </w:r>
      <w:r w:rsidR="002128E1" w:rsidRPr="0061483E">
        <w:rPr>
          <w:sz w:val="24"/>
          <w:szCs w:val="24"/>
        </w:rPr>
        <w:t>–oriented orientation; this affords students who will be living on campus the opportunity to learn more about residence hall living, meet the other students and staff with whom they will be living, learn more about how to get help when they need it, etc.</w:t>
      </w:r>
    </w:p>
    <w:p w14:paraId="159A31B9" w14:textId="77777777" w:rsidR="00CA4DD7" w:rsidRDefault="00CA4DD7" w:rsidP="001C721D">
      <w:pPr>
        <w:spacing w:after="0"/>
        <w:rPr>
          <w:sz w:val="24"/>
          <w:szCs w:val="24"/>
        </w:rPr>
      </w:pPr>
    </w:p>
    <w:p w14:paraId="0A2FE8F7" w14:textId="1DE707F4" w:rsidR="000E3328" w:rsidRDefault="003970F2" w:rsidP="001C721D">
      <w:pPr>
        <w:spacing w:after="0"/>
        <w:rPr>
          <w:sz w:val="24"/>
          <w:szCs w:val="24"/>
        </w:rPr>
      </w:pPr>
      <w:r>
        <w:rPr>
          <w:sz w:val="24"/>
          <w:szCs w:val="24"/>
        </w:rPr>
        <w:t>Most</w:t>
      </w:r>
      <w:r w:rsidR="00BB1442">
        <w:rPr>
          <w:sz w:val="24"/>
          <w:szCs w:val="24"/>
        </w:rPr>
        <w:t xml:space="preserve"> campuses (UM and UMA as examples) have added </w:t>
      </w:r>
      <w:proofErr w:type="gramStart"/>
      <w:r w:rsidR="00BB1442">
        <w:rPr>
          <w:sz w:val="24"/>
          <w:szCs w:val="24"/>
        </w:rPr>
        <w:t>on line</w:t>
      </w:r>
      <w:proofErr w:type="gramEnd"/>
      <w:r w:rsidR="00BB1442">
        <w:rPr>
          <w:sz w:val="24"/>
          <w:szCs w:val="24"/>
        </w:rPr>
        <w:t xml:space="preserve"> learning modules on key “on boarding” and student success topics (time management, transition to college, engaging with fa</w:t>
      </w:r>
      <w:r w:rsidR="00CA4DD7">
        <w:rPr>
          <w:sz w:val="24"/>
          <w:szCs w:val="24"/>
        </w:rPr>
        <w:t>culty, developing support networ</w:t>
      </w:r>
      <w:r w:rsidR="00BB1442">
        <w:rPr>
          <w:sz w:val="24"/>
          <w:szCs w:val="24"/>
        </w:rPr>
        <w:t xml:space="preserve">ks, focus on wellness, learning management system, etc.). </w:t>
      </w:r>
      <w:r w:rsidR="00A32442">
        <w:rPr>
          <w:sz w:val="24"/>
          <w:szCs w:val="24"/>
        </w:rPr>
        <w:t>UMA has implemented</w:t>
      </w:r>
      <w:r w:rsidR="00616C31">
        <w:rPr>
          <w:sz w:val="24"/>
          <w:szCs w:val="24"/>
        </w:rPr>
        <w:t xml:space="preserve"> an online new student</w:t>
      </w:r>
      <w:r w:rsidR="00477FD5">
        <w:rPr>
          <w:sz w:val="24"/>
          <w:szCs w:val="24"/>
        </w:rPr>
        <w:t xml:space="preserve"> orientation (ONSO) program which </w:t>
      </w:r>
      <w:r w:rsidR="00616C31">
        <w:rPr>
          <w:sz w:val="24"/>
          <w:szCs w:val="24"/>
        </w:rPr>
        <w:t>enable</w:t>
      </w:r>
      <w:r w:rsidR="00477FD5">
        <w:rPr>
          <w:sz w:val="24"/>
          <w:szCs w:val="24"/>
        </w:rPr>
        <w:t>s</w:t>
      </w:r>
      <w:r w:rsidR="00616C31">
        <w:rPr>
          <w:sz w:val="24"/>
          <w:szCs w:val="24"/>
        </w:rPr>
        <w:t xml:space="preserve"> all students, including those at a dista</w:t>
      </w:r>
      <w:r w:rsidR="00477FD5">
        <w:rPr>
          <w:sz w:val="24"/>
          <w:szCs w:val="24"/>
        </w:rPr>
        <w:t>nce, to participate in a program; the addition of this program has improved participation rates in orientation</w:t>
      </w:r>
      <w:r w:rsidR="00C52FE8">
        <w:rPr>
          <w:sz w:val="24"/>
          <w:szCs w:val="24"/>
        </w:rPr>
        <w:t xml:space="preserve"> (note: several campuses have adopted this model as they transition to online orientations this year)</w:t>
      </w:r>
      <w:r w:rsidR="00616C31">
        <w:rPr>
          <w:sz w:val="24"/>
          <w:szCs w:val="24"/>
        </w:rPr>
        <w:t>.</w:t>
      </w:r>
      <w:r w:rsidR="00477FD5">
        <w:rPr>
          <w:sz w:val="24"/>
          <w:szCs w:val="24"/>
        </w:rPr>
        <w:t xml:space="preserve"> Academic Programs at UMA are now developing program specific modules to better connect students and faculty.</w:t>
      </w:r>
      <w:r w:rsidR="00616C31">
        <w:rPr>
          <w:sz w:val="24"/>
          <w:szCs w:val="24"/>
        </w:rPr>
        <w:t xml:space="preserve"> </w:t>
      </w:r>
      <w:r>
        <w:rPr>
          <w:sz w:val="24"/>
          <w:szCs w:val="24"/>
        </w:rPr>
        <w:t>UMFK</w:t>
      </w:r>
      <w:r w:rsidR="00A32442">
        <w:rPr>
          <w:sz w:val="24"/>
          <w:szCs w:val="24"/>
        </w:rPr>
        <w:t xml:space="preserve"> revised its approach to orientation to include more interactive components to enhance student engagement</w:t>
      </w:r>
      <w:r w:rsidR="003A637C">
        <w:rPr>
          <w:sz w:val="24"/>
          <w:szCs w:val="24"/>
        </w:rPr>
        <w:t xml:space="preserve"> and success</w:t>
      </w:r>
      <w:r w:rsidR="00BA7F32">
        <w:rPr>
          <w:sz w:val="24"/>
          <w:szCs w:val="24"/>
        </w:rPr>
        <w:t xml:space="preserve">. </w:t>
      </w:r>
      <w:r w:rsidR="00A32442">
        <w:rPr>
          <w:sz w:val="24"/>
          <w:szCs w:val="24"/>
        </w:rPr>
        <w:t xml:space="preserve"> </w:t>
      </w:r>
      <w:r w:rsidR="000E3328">
        <w:rPr>
          <w:sz w:val="24"/>
          <w:szCs w:val="24"/>
        </w:rPr>
        <w:t xml:space="preserve">Some campuses offer separate orientations for non-traditional/adult students, transfer students and veterans. </w:t>
      </w:r>
      <w:r w:rsidR="002128E1" w:rsidRPr="0061483E">
        <w:rPr>
          <w:sz w:val="24"/>
          <w:szCs w:val="24"/>
        </w:rPr>
        <w:t>The goal of any orientation is to begin that important process of helping a new student connect to and engage in campus life.</w:t>
      </w:r>
    </w:p>
    <w:p w14:paraId="6B08FF5B" w14:textId="77777777" w:rsidR="000E3328" w:rsidRDefault="000E3328" w:rsidP="001C721D">
      <w:pPr>
        <w:spacing w:after="0"/>
        <w:rPr>
          <w:sz w:val="24"/>
          <w:szCs w:val="24"/>
        </w:rPr>
      </w:pPr>
    </w:p>
    <w:p w14:paraId="5266E245" w14:textId="4F0DE373" w:rsidR="00616C31" w:rsidRDefault="002128E1" w:rsidP="001C721D">
      <w:pPr>
        <w:spacing w:after="0"/>
        <w:rPr>
          <w:i/>
          <w:sz w:val="24"/>
          <w:szCs w:val="24"/>
          <w:u w:val="single"/>
        </w:rPr>
      </w:pPr>
      <w:r w:rsidRPr="0061483E">
        <w:rPr>
          <w:sz w:val="24"/>
          <w:szCs w:val="24"/>
        </w:rPr>
        <w:t>In addition to orientations at the beginning of school, all campuses host m</w:t>
      </w:r>
      <w:r w:rsidR="00844422" w:rsidRPr="0061483E">
        <w:rPr>
          <w:sz w:val="24"/>
          <w:szCs w:val="24"/>
        </w:rPr>
        <w:t xml:space="preserve">any fairs during the first week </w:t>
      </w:r>
      <w:r w:rsidRPr="0061483E">
        <w:rPr>
          <w:sz w:val="24"/>
          <w:szCs w:val="24"/>
        </w:rPr>
        <w:t xml:space="preserve">where students can learn more about clubs, community organizations, athletic activities, </w:t>
      </w:r>
      <w:r w:rsidR="003970F2">
        <w:rPr>
          <w:sz w:val="24"/>
          <w:szCs w:val="24"/>
        </w:rPr>
        <w:t xml:space="preserve">employment opportunities on campus </w:t>
      </w:r>
      <w:r w:rsidRPr="0061483E">
        <w:rPr>
          <w:sz w:val="24"/>
          <w:szCs w:val="24"/>
        </w:rPr>
        <w:t>and other extracurricular activities in which they can participate</w:t>
      </w:r>
      <w:r w:rsidR="00C52FE8">
        <w:rPr>
          <w:sz w:val="24"/>
          <w:szCs w:val="24"/>
        </w:rPr>
        <w:t>.</w:t>
      </w:r>
    </w:p>
    <w:p w14:paraId="5003400A" w14:textId="77777777" w:rsidR="003A637C" w:rsidRDefault="003A637C" w:rsidP="001C721D">
      <w:pPr>
        <w:spacing w:after="0"/>
        <w:rPr>
          <w:i/>
          <w:sz w:val="24"/>
          <w:szCs w:val="24"/>
          <w:u w:val="single"/>
        </w:rPr>
      </w:pPr>
    </w:p>
    <w:p w14:paraId="27BCAAB5" w14:textId="77777777" w:rsidR="00536CF2" w:rsidRPr="0061483E" w:rsidRDefault="00536CF2" w:rsidP="00B772DF">
      <w:pPr>
        <w:pStyle w:val="Heading4"/>
      </w:pPr>
      <w:r w:rsidRPr="0061483E">
        <w:t>Program</w:t>
      </w:r>
      <w:r w:rsidR="00036A54">
        <w:t>s</w:t>
      </w:r>
      <w:r w:rsidRPr="0061483E">
        <w:t xml:space="preserve"> and </w:t>
      </w:r>
      <w:r w:rsidRPr="00B772DF">
        <w:t>Services</w:t>
      </w:r>
      <w:r w:rsidRPr="0061483E">
        <w:t xml:space="preserve"> </w:t>
      </w:r>
      <w:r w:rsidR="00036A54">
        <w:t xml:space="preserve">Provided </w:t>
      </w:r>
      <w:r w:rsidRPr="0061483E">
        <w:t>During Enrollment and Beyond</w:t>
      </w:r>
    </w:p>
    <w:p w14:paraId="0BEDAAE3" w14:textId="77777777" w:rsidR="00536CF2" w:rsidRPr="0061483E" w:rsidRDefault="00536CF2" w:rsidP="001C721D">
      <w:pPr>
        <w:spacing w:after="0"/>
        <w:rPr>
          <w:sz w:val="24"/>
          <w:szCs w:val="24"/>
        </w:rPr>
      </w:pPr>
    </w:p>
    <w:p w14:paraId="37C184BB" w14:textId="77777777" w:rsidR="00536CF2" w:rsidRPr="0061483E" w:rsidRDefault="00536CF2" w:rsidP="001C721D">
      <w:pPr>
        <w:spacing w:after="0"/>
        <w:rPr>
          <w:sz w:val="24"/>
          <w:szCs w:val="24"/>
        </w:rPr>
      </w:pPr>
      <w:r w:rsidRPr="0061483E">
        <w:rPr>
          <w:sz w:val="24"/>
          <w:szCs w:val="24"/>
        </w:rPr>
        <w:t>Once a student is enrolled within any institution of the UMS, a range of programs, services and supports are in place for them</w:t>
      </w:r>
      <w:r w:rsidR="00F45588">
        <w:rPr>
          <w:sz w:val="24"/>
          <w:szCs w:val="24"/>
        </w:rPr>
        <w:t xml:space="preserve"> to help them be successful</w:t>
      </w:r>
      <w:r w:rsidRPr="0061483E">
        <w:rPr>
          <w:sz w:val="24"/>
          <w:szCs w:val="24"/>
        </w:rPr>
        <w:t xml:space="preserve"> including but not limited to:</w:t>
      </w:r>
    </w:p>
    <w:p w14:paraId="160DD19A" w14:textId="77777777" w:rsidR="00F45588" w:rsidRDefault="00536CF2" w:rsidP="00536CF2">
      <w:pPr>
        <w:pStyle w:val="ListParagraph"/>
        <w:numPr>
          <w:ilvl w:val="0"/>
          <w:numId w:val="3"/>
        </w:numPr>
        <w:spacing w:after="0"/>
        <w:rPr>
          <w:sz w:val="24"/>
          <w:szCs w:val="24"/>
        </w:rPr>
      </w:pPr>
      <w:r w:rsidRPr="006C57CE">
        <w:rPr>
          <w:i/>
          <w:sz w:val="24"/>
          <w:szCs w:val="24"/>
        </w:rPr>
        <w:lastRenderedPageBreak/>
        <w:t>Academic advising</w:t>
      </w:r>
      <w:r w:rsidRPr="0061483E">
        <w:rPr>
          <w:sz w:val="24"/>
          <w:szCs w:val="24"/>
        </w:rPr>
        <w:t xml:space="preserve"> – Academic advising helps a student successfully progress within the major of their choice, assists when the major is not the correct “fit”, works with the student when they have other factors impacting their ability to be successful (social, emotional, academic preparedness, financial) and connects the student to the appropriate resources on campus</w:t>
      </w:r>
      <w:r w:rsidR="00DF0062" w:rsidRPr="0061483E">
        <w:rPr>
          <w:sz w:val="24"/>
          <w:szCs w:val="24"/>
        </w:rPr>
        <w:t xml:space="preserve">. </w:t>
      </w:r>
    </w:p>
    <w:p w14:paraId="2B2EC85B" w14:textId="77777777" w:rsidR="00F45588" w:rsidRDefault="00F45588" w:rsidP="00F45588">
      <w:pPr>
        <w:pStyle w:val="ListParagraph"/>
        <w:spacing w:after="0"/>
        <w:rPr>
          <w:sz w:val="24"/>
          <w:szCs w:val="24"/>
        </w:rPr>
      </w:pPr>
    </w:p>
    <w:p w14:paraId="3CC90282" w14:textId="034AFA78" w:rsidR="00F45588" w:rsidRDefault="00DF0062" w:rsidP="00F45588">
      <w:pPr>
        <w:pStyle w:val="ListParagraph"/>
        <w:spacing w:after="0"/>
        <w:rPr>
          <w:sz w:val="24"/>
          <w:szCs w:val="24"/>
        </w:rPr>
      </w:pPr>
      <w:r w:rsidRPr="0061483E">
        <w:rPr>
          <w:sz w:val="24"/>
          <w:szCs w:val="24"/>
        </w:rPr>
        <w:t>Many campuses have structures where new and first year students are advised by both an academic advisor/student success specialist (who acts as the general resource for the students) and a faculty advisor (who advises and mentors specific to the academic program)</w:t>
      </w:r>
      <w:r w:rsidR="007A4FAB">
        <w:rPr>
          <w:sz w:val="24"/>
          <w:szCs w:val="24"/>
        </w:rPr>
        <w:t>. USM</w:t>
      </w:r>
      <w:r w:rsidR="00720CAF">
        <w:rPr>
          <w:sz w:val="24"/>
          <w:szCs w:val="24"/>
        </w:rPr>
        <w:t xml:space="preserve"> introduced a model of engagement for all students which includes a </w:t>
      </w:r>
      <w:proofErr w:type="gramStart"/>
      <w:r w:rsidR="00720CAF">
        <w:rPr>
          <w:sz w:val="24"/>
          <w:szCs w:val="24"/>
        </w:rPr>
        <w:t>90-120 minute</w:t>
      </w:r>
      <w:proofErr w:type="gramEnd"/>
      <w:r w:rsidR="00720CAF">
        <w:rPr>
          <w:sz w:val="24"/>
          <w:szCs w:val="24"/>
        </w:rPr>
        <w:t xml:space="preserve"> meeting for each incoming student which enables students to ask individualized questions while learning about their programs of study, resources, expectations and opportunities</w:t>
      </w:r>
      <w:r w:rsidR="00066485">
        <w:rPr>
          <w:sz w:val="24"/>
          <w:szCs w:val="24"/>
        </w:rPr>
        <w:t>, and is critical in hel</w:t>
      </w:r>
      <w:r w:rsidR="00C52FE8">
        <w:rPr>
          <w:sz w:val="24"/>
          <w:szCs w:val="24"/>
        </w:rPr>
        <w:t>p</w:t>
      </w:r>
      <w:r w:rsidR="00066485">
        <w:rPr>
          <w:sz w:val="24"/>
          <w:szCs w:val="24"/>
        </w:rPr>
        <w:t>ing the student connect with the resources they will need to be successful before their first class, and helping first generation students specifically better understand and prepare for the college experience</w:t>
      </w:r>
      <w:r w:rsidR="00E33598">
        <w:rPr>
          <w:sz w:val="24"/>
          <w:szCs w:val="24"/>
        </w:rPr>
        <w:t xml:space="preserve">. </w:t>
      </w:r>
      <w:r w:rsidR="00066485">
        <w:rPr>
          <w:sz w:val="24"/>
          <w:szCs w:val="24"/>
        </w:rPr>
        <w:t>They have seen a 7% increase in retention since implementation of this program.</w:t>
      </w:r>
      <w:r w:rsidR="00C52FE8">
        <w:rPr>
          <w:sz w:val="24"/>
          <w:szCs w:val="24"/>
        </w:rPr>
        <w:t xml:space="preserve"> Their model has been shared with the UMS Student Success Steering Committee and follow up discussions are occurring about possible adoption at other campuses.</w:t>
      </w:r>
    </w:p>
    <w:p w14:paraId="0671F897" w14:textId="77777777" w:rsidR="00066485" w:rsidRDefault="00066485" w:rsidP="00F45588">
      <w:pPr>
        <w:pStyle w:val="ListParagraph"/>
        <w:spacing w:after="0"/>
        <w:rPr>
          <w:sz w:val="24"/>
          <w:szCs w:val="24"/>
        </w:rPr>
      </w:pPr>
    </w:p>
    <w:p w14:paraId="5D5A77A5" w14:textId="41D663ED" w:rsidR="00536CF2" w:rsidRDefault="00E33598" w:rsidP="00F45588">
      <w:pPr>
        <w:pStyle w:val="ListParagraph"/>
        <w:spacing w:after="0"/>
        <w:rPr>
          <w:sz w:val="24"/>
          <w:szCs w:val="24"/>
        </w:rPr>
      </w:pPr>
      <w:proofErr w:type="gramStart"/>
      <w:r>
        <w:rPr>
          <w:sz w:val="24"/>
          <w:szCs w:val="24"/>
        </w:rPr>
        <w:t>All of</w:t>
      </w:r>
      <w:proofErr w:type="gramEnd"/>
      <w:r>
        <w:rPr>
          <w:sz w:val="24"/>
          <w:szCs w:val="24"/>
        </w:rPr>
        <w:t xml:space="preserve"> our campuses are working with the EAB-Student Success Collaborative which provides a platform grounded in predictive analytics which will help advisors better identify, and work with, students with academic risk throughout their academic career</w:t>
      </w:r>
      <w:r w:rsidR="009B6C90">
        <w:rPr>
          <w:sz w:val="24"/>
          <w:szCs w:val="24"/>
        </w:rPr>
        <w:t xml:space="preserve">. </w:t>
      </w:r>
      <w:r w:rsidR="00C52FE8">
        <w:rPr>
          <w:sz w:val="24"/>
          <w:szCs w:val="24"/>
        </w:rPr>
        <w:t>All</w:t>
      </w:r>
      <w:r w:rsidR="009B6C90">
        <w:rPr>
          <w:sz w:val="24"/>
          <w:szCs w:val="24"/>
        </w:rPr>
        <w:t xml:space="preserve"> campus</w:t>
      </w:r>
      <w:r w:rsidR="003428BE">
        <w:rPr>
          <w:sz w:val="24"/>
          <w:szCs w:val="24"/>
        </w:rPr>
        <w:t>es have implemente</w:t>
      </w:r>
      <w:r w:rsidR="008B7A10">
        <w:rPr>
          <w:sz w:val="24"/>
          <w:szCs w:val="24"/>
        </w:rPr>
        <w:t>d EAB Navigate</w:t>
      </w:r>
      <w:r w:rsidR="009B6C90">
        <w:rPr>
          <w:sz w:val="24"/>
          <w:szCs w:val="24"/>
        </w:rPr>
        <w:t xml:space="preserve"> </w:t>
      </w:r>
      <w:r w:rsidR="00C52FE8">
        <w:rPr>
          <w:sz w:val="24"/>
          <w:szCs w:val="24"/>
        </w:rPr>
        <w:t xml:space="preserve">platform </w:t>
      </w:r>
      <w:r w:rsidR="009B6C90">
        <w:rPr>
          <w:sz w:val="24"/>
          <w:szCs w:val="24"/>
        </w:rPr>
        <w:t xml:space="preserve">which is focused on early contact and early intervention to aid in student </w:t>
      </w:r>
      <w:proofErr w:type="gramStart"/>
      <w:r w:rsidR="009B6C90">
        <w:rPr>
          <w:sz w:val="24"/>
          <w:szCs w:val="24"/>
        </w:rPr>
        <w:t>success</w:t>
      </w:r>
      <w:r w:rsidR="003A637C">
        <w:rPr>
          <w:sz w:val="24"/>
          <w:szCs w:val="24"/>
        </w:rPr>
        <w:t>, and</w:t>
      </w:r>
      <w:proofErr w:type="gramEnd"/>
      <w:r w:rsidR="003A637C">
        <w:rPr>
          <w:sz w:val="24"/>
          <w:szCs w:val="24"/>
        </w:rPr>
        <w:t xml:space="preserve"> features a mobile ap</w:t>
      </w:r>
      <w:r w:rsidR="00C52FE8">
        <w:rPr>
          <w:sz w:val="24"/>
          <w:szCs w:val="24"/>
        </w:rPr>
        <w:t>p</w:t>
      </w:r>
      <w:r w:rsidR="003A637C">
        <w:rPr>
          <w:sz w:val="24"/>
          <w:szCs w:val="24"/>
        </w:rPr>
        <w:t xml:space="preserve"> that can help facilitate the student experience and connections to advisors and supports</w:t>
      </w:r>
      <w:r w:rsidR="009B6C90">
        <w:rPr>
          <w:sz w:val="24"/>
          <w:szCs w:val="24"/>
        </w:rPr>
        <w:t>.</w:t>
      </w:r>
      <w:r w:rsidR="00C52FE8">
        <w:rPr>
          <w:sz w:val="24"/>
          <w:szCs w:val="24"/>
        </w:rPr>
        <w:t xml:space="preserve"> </w:t>
      </w:r>
      <w:r w:rsidR="007A4FAB">
        <w:rPr>
          <w:sz w:val="24"/>
          <w:szCs w:val="24"/>
        </w:rPr>
        <w:t xml:space="preserve">At UM, as an example, </w:t>
      </w:r>
      <w:r w:rsidR="007A4FAB">
        <w:rPr>
          <w:rFonts w:cstheme="minorHAnsi"/>
          <w:color w:val="222222"/>
          <w:sz w:val="24"/>
          <w:szCs w:val="24"/>
          <w:shd w:val="clear" w:color="auto" w:fill="FFFFFF"/>
        </w:rPr>
        <w:t>i</w:t>
      </w:r>
      <w:r w:rsidR="007A4FAB" w:rsidRPr="007A4FAB">
        <w:rPr>
          <w:rFonts w:cstheme="minorHAnsi"/>
          <w:color w:val="222222"/>
          <w:sz w:val="24"/>
          <w:szCs w:val="24"/>
          <w:shd w:val="clear" w:color="auto" w:fill="FFFFFF"/>
        </w:rPr>
        <w:t xml:space="preserve">nstructors flag students who appear to be struggling (academically or otherwise), and advisors and deans' offices are alerted to reach out and assist.  </w:t>
      </w:r>
      <w:r w:rsidR="007A4FAB">
        <w:rPr>
          <w:rFonts w:cstheme="minorHAnsi"/>
          <w:color w:val="222222"/>
          <w:sz w:val="24"/>
          <w:szCs w:val="24"/>
          <w:shd w:val="clear" w:color="auto" w:fill="FFFFFF"/>
        </w:rPr>
        <w:t>In addition, UM e</w:t>
      </w:r>
      <w:r w:rsidR="007A4FAB" w:rsidRPr="007A4FAB">
        <w:rPr>
          <w:rFonts w:cstheme="minorHAnsi"/>
          <w:color w:val="222222"/>
          <w:sz w:val="24"/>
          <w:szCs w:val="24"/>
          <w:shd w:val="clear" w:color="auto" w:fill="FFFFFF"/>
        </w:rPr>
        <w:t>xpanded the use of the "major selection" tool which will assist undecided students, or those who are struggling in their current major, to find a degree program more closely aligned with their interests.</w:t>
      </w:r>
      <w:r w:rsidR="007A4FAB">
        <w:rPr>
          <w:rFonts w:cstheme="minorHAnsi"/>
          <w:color w:val="222222"/>
          <w:sz w:val="24"/>
          <w:szCs w:val="24"/>
          <w:shd w:val="clear" w:color="auto" w:fill="FFFFFF"/>
        </w:rPr>
        <w:t xml:space="preserve"> </w:t>
      </w:r>
      <w:r w:rsidR="00C52FE8" w:rsidRPr="007A4FAB">
        <w:rPr>
          <w:rFonts w:cstheme="minorHAnsi"/>
          <w:sz w:val="24"/>
          <w:szCs w:val="24"/>
        </w:rPr>
        <w:t>Early data suggests increases in student engagement and faculty connectio</w:t>
      </w:r>
      <w:r w:rsidR="00C52FE8">
        <w:rPr>
          <w:sz w:val="24"/>
          <w:szCs w:val="24"/>
        </w:rPr>
        <w:t xml:space="preserve">ns. </w:t>
      </w:r>
    </w:p>
    <w:p w14:paraId="72ACD705" w14:textId="77777777" w:rsidR="00F45588" w:rsidRPr="0061483E" w:rsidRDefault="00F45588" w:rsidP="00F45588">
      <w:pPr>
        <w:pStyle w:val="ListParagraph"/>
        <w:spacing w:after="0"/>
        <w:rPr>
          <w:sz w:val="24"/>
          <w:szCs w:val="24"/>
        </w:rPr>
      </w:pPr>
    </w:p>
    <w:p w14:paraId="4D5D5FB4" w14:textId="77777777" w:rsidR="00F6043C" w:rsidRDefault="003D070B" w:rsidP="00536CF2">
      <w:pPr>
        <w:pStyle w:val="ListParagraph"/>
        <w:numPr>
          <w:ilvl w:val="0"/>
          <w:numId w:val="3"/>
        </w:numPr>
        <w:spacing w:after="0"/>
        <w:rPr>
          <w:sz w:val="24"/>
          <w:szCs w:val="24"/>
        </w:rPr>
      </w:pPr>
      <w:r w:rsidRPr="006C57CE">
        <w:rPr>
          <w:i/>
          <w:sz w:val="24"/>
          <w:szCs w:val="24"/>
        </w:rPr>
        <w:t>Learning Support Services</w:t>
      </w:r>
      <w:r w:rsidRPr="0061483E">
        <w:rPr>
          <w:sz w:val="24"/>
          <w:szCs w:val="24"/>
        </w:rPr>
        <w:t xml:space="preserve"> </w:t>
      </w:r>
      <w:r w:rsidR="00311AC9" w:rsidRPr="0061483E">
        <w:rPr>
          <w:sz w:val="24"/>
          <w:szCs w:val="24"/>
        </w:rPr>
        <w:t>–</w:t>
      </w:r>
      <w:r w:rsidRPr="0061483E">
        <w:rPr>
          <w:sz w:val="24"/>
          <w:szCs w:val="24"/>
        </w:rPr>
        <w:t xml:space="preserve"> </w:t>
      </w:r>
      <w:r w:rsidR="00311AC9" w:rsidRPr="0061483E">
        <w:rPr>
          <w:sz w:val="24"/>
          <w:szCs w:val="24"/>
        </w:rPr>
        <w:t>these programs and services help students develop the skills and resources they need to be successful in college. Services range from tutoring support in areas like mathemati</w:t>
      </w:r>
      <w:r w:rsidR="00844422" w:rsidRPr="0061483E">
        <w:rPr>
          <w:sz w:val="24"/>
          <w:szCs w:val="24"/>
        </w:rPr>
        <w:t xml:space="preserve">cs, </w:t>
      </w:r>
      <w:r w:rsidR="00311AC9" w:rsidRPr="0061483E">
        <w:rPr>
          <w:sz w:val="24"/>
          <w:szCs w:val="24"/>
        </w:rPr>
        <w:t>English</w:t>
      </w:r>
      <w:r w:rsidR="00844422" w:rsidRPr="0061483E">
        <w:rPr>
          <w:sz w:val="24"/>
          <w:szCs w:val="24"/>
        </w:rPr>
        <w:t xml:space="preserve"> and writing</w:t>
      </w:r>
      <w:r w:rsidR="00311AC9" w:rsidRPr="0061483E">
        <w:rPr>
          <w:sz w:val="24"/>
          <w:szCs w:val="24"/>
        </w:rPr>
        <w:t xml:space="preserve">, supplemental </w:t>
      </w:r>
      <w:proofErr w:type="gramStart"/>
      <w:r w:rsidR="00311AC9" w:rsidRPr="0061483E">
        <w:rPr>
          <w:sz w:val="24"/>
          <w:szCs w:val="24"/>
        </w:rPr>
        <w:t>tutoring</w:t>
      </w:r>
      <w:proofErr w:type="gramEnd"/>
      <w:r w:rsidR="00F32CBE">
        <w:rPr>
          <w:sz w:val="24"/>
          <w:szCs w:val="24"/>
        </w:rPr>
        <w:t xml:space="preserve"> and instruction</w:t>
      </w:r>
      <w:r w:rsidR="00311AC9" w:rsidRPr="0061483E">
        <w:rPr>
          <w:sz w:val="24"/>
          <w:szCs w:val="24"/>
        </w:rPr>
        <w:t xml:space="preserve"> in courses within majors, delivery of workshops in time management and </w:t>
      </w:r>
      <w:r w:rsidR="00311AC9" w:rsidRPr="0061483E">
        <w:rPr>
          <w:sz w:val="24"/>
          <w:szCs w:val="24"/>
        </w:rPr>
        <w:lastRenderedPageBreak/>
        <w:t xml:space="preserve">other skills needed for college, access to writing centers, learning commons and math labs, </w:t>
      </w:r>
      <w:r w:rsidR="000329A6">
        <w:rPr>
          <w:sz w:val="24"/>
          <w:szCs w:val="24"/>
        </w:rPr>
        <w:t xml:space="preserve">to </w:t>
      </w:r>
      <w:r w:rsidR="00311AC9" w:rsidRPr="0061483E">
        <w:rPr>
          <w:sz w:val="24"/>
          <w:szCs w:val="24"/>
        </w:rPr>
        <w:t>assistance from library staff</w:t>
      </w:r>
      <w:r w:rsidR="006C57CE">
        <w:rPr>
          <w:sz w:val="24"/>
          <w:szCs w:val="24"/>
        </w:rPr>
        <w:t xml:space="preserve">. </w:t>
      </w:r>
    </w:p>
    <w:p w14:paraId="06B46A7D" w14:textId="77777777" w:rsidR="00F6043C" w:rsidRDefault="00F6043C" w:rsidP="00C86071">
      <w:pPr>
        <w:pStyle w:val="ListParagraph"/>
        <w:spacing w:after="0"/>
        <w:rPr>
          <w:sz w:val="24"/>
          <w:szCs w:val="24"/>
        </w:rPr>
      </w:pPr>
    </w:p>
    <w:p w14:paraId="6BC1D21A" w14:textId="1FC491A4" w:rsidR="00536CF2" w:rsidRDefault="00EF3EE2" w:rsidP="00C86071">
      <w:pPr>
        <w:pStyle w:val="ListParagraph"/>
        <w:spacing w:after="0"/>
        <w:rPr>
          <w:sz w:val="24"/>
          <w:szCs w:val="24"/>
        </w:rPr>
      </w:pPr>
      <w:r>
        <w:rPr>
          <w:sz w:val="24"/>
          <w:szCs w:val="24"/>
        </w:rPr>
        <w:t>UM has created the “Maine Learning Assistant” program in designated courses to serve as peer instructors, facilitating group work and assisting faculty as they transform their courses to incorporate more interactive engagement and student-centered instruction</w:t>
      </w:r>
      <w:r w:rsidR="00C52FE8">
        <w:rPr>
          <w:sz w:val="24"/>
          <w:szCs w:val="24"/>
        </w:rPr>
        <w:t>; USM has a similar model</w:t>
      </w:r>
      <w:r>
        <w:rPr>
          <w:sz w:val="24"/>
          <w:szCs w:val="24"/>
        </w:rPr>
        <w:t xml:space="preserve">. </w:t>
      </w:r>
      <w:r w:rsidR="00550B75">
        <w:rPr>
          <w:sz w:val="24"/>
          <w:szCs w:val="24"/>
        </w:rPr>
        <w:t xml:space="preserve">UMM has a supplemental instruction program for introductory STEM courses and college writing. </w:t>
      </w:r>
      <w:r w:rsidR="006C57CE">
        <w:rPr>
          <w:sz w:val="24"/>
          <w:szCs w:val="24"/>
        </w:rPr>
        <w:t xml:space="preserve">UMA is implementing several initiatives focused on online coursework and online students with the intent to </w:t>
      </w:r>
      <w:r w:rsidR="00550B75">
        <w:rPr>
          <w:sz w:val="24"/>
          <w:szCs w:val="24"/>
        </w:rPr>
        <w:t xml:space="preserve">facilitate early intervention, </w:t>
      </w:r>
      <w:r w:rsidR="006C57CE">
        <w:rPr>
          <w:sz w:val="24"/>
          <w:szCs w:val="24"/>
        </w:rPr>
        <w:t>communication and improve student success</w:t>
      </w:r>
      <w:r w:rsidR="004566F8">
        <w:rPr>
          <w:sz w:val="24"/>
          <w:szCs w:val="24"/>
        </w:rPr>
        <w:t xml:space="preserve"> including online tutoring in college c</w:t>
      </w:r>
      <w:r w:rsidR="00323E55">
        <w:rPr>
          <w:sz w:val="24"/>
          <w:szCs w:val="24"/>
        </w:rPr>
        <w:t>omposition and an online career exploration tool</w:t>
      </w:r>
      <w:r w:rsidR="00550B75">
        <w:rPr>
          <w:sz w:val="24"/>
          <w:szCs w:val="24"/>
        </w:rPr>
        <w:t xml:space="preserve">. </w:t>
      </w:r>
      <w:r w:rsidR="007A4FAB">
        <w:rPr>
          <w:sz w:val="24"/>
          <w:szCs w:val="24"/>
        </w:rPr>
        <w:t xml:space="preserve">In addition, UMA has </w:t>
      </w:r>
      <w:r w:rsidR="003A637C">
        <w:rPr>
          <w:sz w:val="24"/>
          <w:szCs w:val="24"/>
        </w:rPr>
        <w:t xml:space="preserve">a Class Steward Program, which provides an embedded assistant in certain key courses trained to identify struggling students and offer a first line of support and early intervention. </w:t>
      </w:r>
      <w:r w:rsidR="00A32442">
        <w:rPr>
          <w:sz w:val="24"/>
          <w:szCs w:val="24"/>
        </w:rPr>
        <w:t xml:space="preserve">UMFK offers “complementary instruction” </w:t>
      </w:r>
      <w:r w:rsidR="003A637C">
        <w:rPr>
          <w:sz w:val="24"/>
          <w:szCs w:val="24"/>
        </w:rPr>
        <w:t xml:space="preserve">(CI) </w:t>
      </w:r>
      <w:r w:rsidR="00A32442">
        <w:rPr>
          <w:sz w:val="24"/>
          <w:szCs w:val="24"/>
        </w:rPr>
        <w:t xml:space="preserve">which is a student-led tutoring session for at-risk </w:t>
      </w:r>
      <w:proofErr w:type="gramStart"/>
      <w:r w:rsidR="00A32442">
        <w:rPr>
          <w:sz w:val="24"/>
          <w:szCs w:val="24"/>
        </w:rPr>
        <w:t>courses</w:t>
      </w:r>
      <w:r w:rsidR="003A637C">
        <w:rPr>
          <w:sz w:val="24"/>
          <w:szCs w:val="24"/>
        </w:rPr>
        <w:t>, and</w:t>
      </w:r>
      <w:proofErr w:type="gramEnd"/>
      <w:r w:rsidR="003A637C">
        <w:rPr>
          <w:sz w:val="24"/>
          <w:szCs w:val="24"/>
        </w:rPr>
        <w:t xml:space="preserve"> has updated its Learning Center to house all of the services within the learning support area</w:t>
      </w:r>
      <w:r w:rsidR="00A32442">
        <w:rPr>
          <w:sz w:val="24"/>
          <w:szCs w:val="24"/>
        </w:rPr>
        <w:t xml:space="preserve">. </w:t>
      </w:r>
      <w:r w:rsidR="00550B75">
        <w:rPr>
          <w:sz w:val="24"/>
          <w:szCs w:val="24"/>
        </w:rPr>
        <w:t>UMF received a MELMAC grant which will focus on a revision of the developmental education assessment practices and in implementing UMF’s first co-requisite math course</w:t>
      </w:r>
      <w:r w:rsidR="004C3BEF">
        <w:rPr>
          <w:sz w:val="24"/>
          <w:szCs w:val="24"/>
        </w:rPr>
        <w:t>. All campuses offer a range of disability and accessibility services for students</w:t>
      </w:r>
      <w:r w:rsidR="003A637C">
        <w:rPr>
          <w:sz w:val="24"/>
          <w:szCs w:val="24"/>
        </w:rPr>
        <w:t xml:space="preserve">. The libraries and information commons at all campuses offer a </w:t>
      </w:r>
      <w:r w:rsidR="003B69D8">
        <w:rPr>
          <w:sz w:val="24"/>
          <w:szCs w:val="24"/>
        </w:rPr>
        <w:t xml:space="preserve">wide </w:t>
      </w:r>
      <w:r w:rsidR="003A637C">
        <w:rPr>
          <w:sz w:val="24"/>
          <w:szCs w:val="24"/>
        </w:rPr>
        <w:t xml:space="preserve">range of learning supports including </w:t>
      </w:r>
      <w:r>
        <w:rPr>
          <w:sz w:val="24"/>
          <w:szCs w:val="24"/>
        </w:rPr>
        <w:t xml:space="preserve">information literacy </w:t>
      </w:r>
      <w:r w:rsidR="00BA7F32">
        <w:rPr>
          <w:sz w:val="24"/>
          <w:szCs w:val="24"/>
        </w:rPr>
        <w:t xml:space="preserve">workshops, access to computers including a laptop loan program, </w:t>
      </w:r>
      <w:r w:rsidR="003B69D8">
        <w:rPr>
          <w:sz w:val="24"/>
          <w:szCs w:val="24"/>
        </w:rPr>
        <w:t xml:space="preserve">and </w:t>
      </w:r>
      <w:r w:rsidR="003A637C">
        <w:rPr>
          <w:sz w:val="24"/>
          <w:szCs w:val="24"/>
        </w:rPr>
        <w:t xml:space="preserve">access to many textbooks and learning packs to reduce cost to </w:t>
      </w:r>
      <w:proofErr w:type="gramStart"/>
      <w:r w:rsidR="003A637C">
        <w:rPr>
          <w:sz w:val="24"/>
          <w:szCs w:val="24"/>
        </w:rPr>
        <w:t>students</w:t>
      </w:r>
      <w:r w:rsidR="00844422" w:rsidRPr="0061483E">
        <w:rPr>
          <w:sz w:val="24"/>
          <w:szCs w:val="24"/>
        </w:rPr>
        <w:t>;</w:t>
      </w:r>
      <w:proofErr w:type="gramEnd"/>
    </w:p>
    <w:p w14:paraId="05A60FE2" w14:textId="77777777" w:rsidR="00F45588" w:rsidRPr="0061483E" w:rsidRDefault="00F45588" w:rsidP="00F45588">
      <w:pPr>
        <w:pStyle w:val="ListParagraph"/>
        <w:spacing w:after="0"/>
        <w:rPr>
          <w:sz w:val="24"/>
          <w:szCs w:val="24"/>
        </w:rPr>
      </w:pPr>
    </w:p>
    <w:p w14:paraId="4EBBFBE3" w14:textId="051377E5" w:rsidR="00311AC9" w:rsidRDefault="00311AC9" w:rsidP="00536CF2">
      <w:pPr>
        <w:pStyle w:val="ListParagraph"/>
        <w:numPr>
          <w:ilvl w:val="0"/>
          <w:numId w:val="3"/>
        </w:numPr>
        <w:spacing w:after="0"/>
        <w:rPr>
          <w:sz w:val="24"/>
          <w:szCs w:val="24"/>
        </w:rPr>
      </w:pPr>
      <w:r w:rsidRPr="006C57CE">
        <w:rPr>
          <w:i/>
          <w:sz w:val="24"/>
          <w:szCs w:val="24"/>
        </w:rPr>
        <w:t>Counseling Services</w:t>
      </w:r>
      <w:r w:rsidR="003B69D8">
        <w:rPr>
          <w:i/>
          <w:sz w:val="24"/>
          <w:szCs w:val="24"/>
        </w:rPr>
        <w:t>, Supports</w:t>
      </w:r>
      <w:r w:rsidRPr="006C57CE">
        <w:rPr>
          <w:i/>
          <w:sz w:val="24"/>
          <w:szCs w:val="24"/>
        </w:rPr>
        <w:t xml:space="preserve"> and referrals</w:t>
      </w:r>
      <w:r w:rsidRPr="0061483E">
        <w:rPr>
          <w:sz w:val="24"/>
          <w:szCs w:val="24"/>
        </w:rPr>
        <w:t xml:space="preserve"> –</w:t>
      </w:r>
      <w:r w:rsidR="00844422" w:rsidRPr="0061483E">
        <w:rPr>
          <w:sz w:val="24"/>
          <w:szCs w:val="24"/>
        </w:rPr>
        <w:t xml:space="preserve"> these services</w:t>
      </w:r>
      <w:r w:rsidRPr="0061483E">
        <w:rPr>
          <w:sz w:val="24"/>
          <w:szCs w:val="24"/>
        </w:rPr>
        <w:t xml:space="preserve"> help students cope with a range of issues related to their emotional and behavioral health, lack of support from family or significant others, difficulty orienting to college, juggling multiple demands, gaining self</w:t>
      </w:r>
      <w:r w:rsidR="00844422" w:rsidRPr="0061483E">
        <w:rPr>
          <w:sz w:val="24"/>
          <w:szCs w:val="24"/>
        </w:rPr>
        <w:t>-</w:t>
      </w:r>
      <w:r w:rsidRPr="0061483E">
        <w:rPr>
          <w:sz w:val="24"/>
          <w:szCs w:val="24"/>
        </w:rPr>
        <w:t xml:space="preserve"> confidence, etc. </w:t>
      </w:r>
      <w:r w:rsidR="00C52FE8">
        <w:rPr>
          <w:sz w:val="24"/>
          <w:szCs w:val="24"/>
        </w:rPr>
        <w:t>A digital mental healt</w:t>
      </w:r>
      <w:r w:rsidR="002239A8">
        <w:rPr>
          <w:sz w:val="24"/>
          <w:szCs w:val="24"/>
        </w:rPr>
        <w:t xml:space="preserve">h platform, </w:t>
      </w:r>
      <w:proofErr w:type="spellStart"/>
      <w:r w:rsidR="002239A8">
        <w:rPr>
          <w:sz w:val="24"/>
          <w:szCs w:val="24"/>
        </w:rPr>
        <w:t>SilverCloud</w:t>
      </w:r>
      <w:proofErr w:type="spellEnd"/>
      <w:r w:rsidR="002239A8">
        <w:rPr>
          <w:sz w:val="24"/>
          <w:szCs w:val="24"/>
        </w:rPr>
        <w:t>, was</w:t>
      </w:r>
      <w:r w:rsidR="00C52FE8">
        <w:rPr>
          <w:sz w:val="24"/>
          <w:szCs w:val="24"/>
        </w:rPr>
        <w:t xml:space="preserve"> implemented at all campuses for all students in Spring 2021. </w:t>
      </w:r>
      <w:r w:rsidRPr="0061483E">
        <w:rPr>
          <w:sz w:val="24"/>
          <w:szCs w:val="24"/>
        </w:rPr>
        <w:t>All campuses have intervention teams</w:t>
      </w:r>
      <w:r w:rsidR="00D12A7D" w:rsidRPr="0061483E">
        <w:rPr>
          <w:sz w:val="24"/>
          <w:szCs w:val="24"/>
        </w:rPr>
        <w:t xml:space="preserve"> or student success teams</w:t>
      </w:r>
      <w:r w:rsidRPr="0061483E">
        <w:rPr>
          <w:sz w:val="24"/>
          <w:szCs w:val="24"/>
        </w:rPr>
        <w:t xml:space="preserve"> in place for students who may be dealing with multiple difficulties ranging from academics to emotional or mental health issues</w:t>
      </w:r>
      <w:r w:rsidR="008D3898">
        <w:rPr>
          <w:sz w:val="24"/>
          <w:szCs w:val="24"/>
        </w:rPr>
        <w:t xml:space="preserve">, and these teams provide additional support when a student exhibits behavior that may result in student conduct issues. UM has a Peer Wellness Coaching program (a part of their Student Wellness Resource Center) where </w:t>
      </w:r>
      <w:proofErr w:type="gramStart"/>
      <w:r w:rsidR="008D3898">
        <w:rPr>
          <w:sz w:val="24"/>
          <w:szCs w:val="24"/>
        </w:rPr>
        <w:t>upper level</w:t>
      </w:r>
      <w:proofErr w:type="gramEnd"/>
      <w:r w:rsidR="008D3898">
        <w:rPr>
          <w:sz w:val="24"/>
          <w:szCs w:val="24"/>
        </w:rPr>
        <w:t xml:space="preserve"> students are trained to work with new and first year students in topics such as time management, relationship building, etc. </w:t>
      </w:r>
      <w:r w:rsidR="003B69D8">
        <w:rPr>
          <w:sz w:val="24"/>
          <w:szCs w:val="24"/>
        </w:rPr>
        <w:t xml:space="preserve">Most campuses have food pantries and “closets” that provide both food and non-food items to students in </w:t>
      </w:r>
      <w:proofErr w:type="gramStart"/>
      <w:r w:rsidR="003B69D8">
        <w:rPr>
          <w:sz w:val="24"/>
          <w:szCs w:val="24"/>
        </w:rPr>
        <w:t>need</w:t>
      </w:r>
      <w:r w:rsidRPr="0061483E">
        <w:rPr>
          <w:sz w:val="24"/>
          <w:szCs w:val="24"/>
        </w:rPr>
        <w:t>;</w:t>
      </w:r>
      <w:proofErr w:type="gramEnd"/>
    </w:p>
    <w:p w14:paraId="1CBB0271" w14:textId="77777777" w:rsidR="00F45588" w:rsidRPr="00F45588" w:rsidRDefault="00F45588" w:rsidP="00F45588">
      <w:pPr>
        <w:pStyle w:val="ListParagraph"/>
        <w:rPr>
          <w:sz w:val="24"/>
          <w:szCs w:val="24"/>
        </w:rPr>
      </w:pPr>
    </w:p>
    <w:p w14:paraId="5FF645B3" w14:textId="77777777" w:rsidR="00CA4DD7" w:rsidRDefault="009B3B13" w:rsidP="00D67A46">
      <w:pPr>
        <w:pStyle w:val="ListParagraph"/>
        <w:numPr>
          <w:ilvl w:val="0"/>
          <w:numId w:val="3"/>
        </w:numPr>
        <w:spacing w:after="0"/>
        <w:rPr>
          <w:sz w:val="24"/>
          <w:szCs w:val="24"/>
        </w:rPr>
      </w:pPr>
      <w:r w:rsidRPr="00E67D42">
        <w:rPr>
          <w:i/>
          <w:sz w:val="24"/>
          <w:szCs w:val="24"/>
        </w:rPr>
        <w:lastRenderedPageBreak/>
        <w:t>Career Services and Career Preparation</w:t>
      </w:r>
      <w:r w:rsidR="00BA3415" w:rsidRPr="00E67D42">
        <w:rPr>
          <w:i/>
          <w:sz w:val="24"/>
          <w:szCs w:val="24"/>
        </w:rPr>
        <w:t xml:space="preserve"> </w:t>
      </w:r>
      <w:r w:rsidR="00BA3415" w:rsidRPr="00E67D42">
        <w:rPr>
          <w:sz w:val="24"/>
          <w:szCs w:val="24"/>
        </w:rPr>
        <w:t xml:space="preserve">– Campuses provide a range of services to students including assessing interests, articulating skills, choosing a major and defining career goals. As an example, UM has a variety of online tools available to students to help students assess their skills and interests and then translate these into a major and to develop a better understanding of the various career fields, employment outlook and salaries. Career Fairs are offered at all campuses as are specialized workshops and classroom presentations, including those offered for first year seminar classes. </w:t>
      </w:r>
      <w:r w:rsidR="00C52FE8" w:rsidRPr="00E67D42">
        <w:rPr>
          <w:sz w:val="24"/>
          <w:szCs w:val="24"/>
        </w:rPr>
        <w:t xml:space="preserve">Career professionals across the System work collaboratively to expand the availability of career services and access to internships and jobs – a </w:t>
      </w:r>
      <w:proofErr w:type="spellStart"/>
      <w:r w:rsidR="00C52FE8" w:rsidRPr="00E67D42">
        <w:rPr>
          <w:sz w:val="24"/>
          <w:szCs w:val="24"/>
        </w:rPr>
        <w:t>WinterSession</w:t>
      </w:r>
      <w:proofErr w:type="spellEnd"/>
      <w:r w:rsidR="00C52FE8" w:rsidRPr="00E67D42">
        <w:rPr>
          <w:sz w:val="24"/>
          <w:szCs w:val="24"/>
        </w:rPr>
        <w:t xml:space="preserve"> web site was put together with resources and ideas to maximize the use of the </w:t>
      </w:r>
      <w:r w:rsidR="00CA4DD7">
        <w:rPr>
          <w:sz w:val="24"/>
          <w:szCs w:val="24"/>
        </w:rPr>
        <w:t xml:space="preserve">break, all job postings are </w:t>
      </w:r>
      <w:r w:rsidR="00C52FE8" w:rsidRPr="00E67D42">
        <w:rPr>
          <w:sz w:val="24"/>
          <w:szCs w:val="24"/>
        </w:rPr>
        <w:t>shared across all campuses, and Career Services encouraged students to take advantage of Education Design Lab’s 21</w:t>
      </w:r>
      <w:r w:rsidR="00C52FE8" w:rsidRPr="00E67D42">
        <w:rPr>
          <w:sz w:val="24"/>
          <w:szCs w:val="24"/>
          <w:vertAlign w:val="superscript"/>
        </w:rPr>
        <w:t>st</w:t>
      </w:r>
      <w:r w:rsidR="00C52FE8" w:rsidRPr="00E67D42">
        <w:rPr>
          <w:sz w:val="24"/>
          <w:szCs w:val="24"/>
        </w:rPr>
        <w:t xml:space="preserve"> Century skill micro credentials (free for UMS students). </w:t>
      </w:r>
      <w:r w:rsidR="00BA3415" w:rsidRPr="00E67D42">
        <w:rPr>
          <w:sz w:val="24"/>
          <w:szCs w:val="24"/>
        </w:rPr>
        <w:t>Specialized mentor programs, such as the Health Professions Mentor Program for first year students at UM, focus on students from underserved areas of the state, many of whom may be first-generation students.</w:t>
      </w:r>
      <w:r w:rsidR="00E33598" w:rsidRPr="00E67D42">
        <w:rPr>
          <w:sz w:val="24"/>
          <w:szCs w:val="24"/>
        </w:rPr>
        <w:t xml:space="preserve"> </w:t>
      </w:r>
      <w:r w:rsidR="00D27756" w:rsidRPr="00E67D42">
        <w:rPr>
          <w:sz w:val="24"/>
          <w:szCs w:val="24"/>
        </w:rPr>
        <w:t xml:space="preserve">UMM has infused career planning throughout </w:t>
      </w:r>
      <w:proofErr w:type="gramStart"/>
      <w:r w:rsidR="00D27756" w:rsidRPr="00E67D42">
        <w:rPr>
          <w:sz w:val="24"/>
          <w:szCs w:val="24"/>
        </w:rPr>
        <w:t>a number of</w:t>
      </w:r>
      <w:proofErr w:type="gramEnd"/>
      <w:r w:rsidR="00D27756" w:rsidRPr="00E67D42">
        <w:rPr>
          <w:sz w:val="24"/>
          <w:szCs w:val="24"/>
        </w:rPr>
        <w:t xml:space="preserve"> courses to help students become aware of the range of jobs available to them upon successful completion of their major. </w:t>
      </w:r>
      <w:r w:rsidRPr="00E67D42">
        <w:rPr>
          <w:sz w:val="24"/>
          <w:szCs w:val="24"/>
        </w:rPr>
        <w:t>UMPI offers</w:t>
      </w:r>
      <w:r w:rsidR="00E33598" w:rsidRPr="00E67D42">
        <w:rPr>
          <w:sz w:val="24"/>
          <w:szCs w:val="24"/>
        </w:rPr>
        <w:t xml:space="preserve"> a career readiness program which includes critical skill development specific to problem solving and “badging” for the acco</w:t>
      </w:r>
      <w:r w:rsidR="00814724" w:rsidRPr="00E67D42">
        <w:rPr>
          <w:sz w:val="24"/>
          <w:szCs w:val="24"/>
        </w:rPr>
        <w:t>mplishment of learning outcomes</w:t>
      </w:r>
      <w:r w:rsidRPr="00E67D42">
        <w:rPr>
          <w:sz w:val="24"/>
          <w:szCs w:val="24"/>
        </w:rPr>
        <w:t>, and will be infusing the NACE career competencies into the curriculum, exposing students to highly desired workforce skills (beyond content knowledge) – this includes experiential learning activities such as internships, practicums, and/or service learning</w:t>
      </w:r>
      <w:r w:rsidR="004C6CAC" w:rsidRPr="00E67D42">
        <w:rPr>
          <w:sz w:val="24"/>
          <w:szCs w:val="24"/>
        </w:rPr>
        <w:t xml:space="preserve"> (as a part of their Experiential Career Learning Program)</w:t>
      </w:r>
      <w:r w:rsidRPr="00E67D42">
        <w:rPr>
          <w:sz w:val="24"/>
          <w:szCs w:val="24"/>
        </w:rPr>
        <w:t>, and faculty development to support faculty in the revision of courses</w:t>
      </w:r>
      <w:r w:rsidR="00C52FE8" w:rsidRPr="00E67D42">
        <w:rPr>
          <w:sz w:val="24"/>
          <w:szCs w:val="24"/>
        </w:rPr>
        <w:t>. A “career prepared” digital badge has been developed and several campuses are in the process of implementing it</w:t>
      </w:r>
      <w:r w:rsidR="00E67D42" w:rsidRPr="00E67D42">
        <w:rPr>
          <w:sz w:val="24"/>
          <w:szCs w:val="24"/>
        </w:rPr>
        <w:t xml:space="preserve">. </w:t>
      </w:r>
    </w:p>
    <w:p w14:paraId="5B290685" w14:textId="77777777" w:rsidR="00CA4DD7" w:rsidRDefault="00CA4DD7" w:rsidP="00CA4DD7">
      <w:pPr>
        <w:pStyle w:val="ListParagraph"/>
        <w:spacing w:after="0"/>
        <w:rPr>
          <w:sz w:val="24"/>
          <w:szCs w:val="24"/>
        </w:rPr>
      </w:pPr>
    </w:p>
    <w:p w14:paraId="7AD49AF7" w14:textId="1B6BD7B9" w:rsidR="00F45588" w:rsidRPr="00E67D42" w:rsidRDefault="00E67D42" w:rsidP="00CA4DD7">
      <w:pPr>
        <w:pStyle w:val="ListParagraph"/>
        <w:spacing w:after="0"/>
        <w:rPr>
          <w:sz w:val="24"/>
          <w:szCs w:val="24"/>
        </w:rPr>
      </w:pPr>
      <w:r w:rsidRPr="00E67D42">
        <w:rPr>
          <w:sz w:val="24"/>
          <w:szCs w:val="24"/>
        </w:rPr>
        <w:t>Finally, a</w:t>
      </w:r>
      <w:r w:rsidRPr="00E67D42">
        <w:rPr>
          <w:rFonts w:ascii="Arial" w:hAnsi="Arial" w:cs="Arial"/>
          <w:color w:val="222222"/>
          <w:shd w:val="clear" w:color="auto" w:fill="FFFFFF"/>
        </w:rPr>
        <w:t xml:space="preserve"> </w:t>
      </w:r>
      <w:r w:rsidRPr="00E67D42">
        <w:rPr>
          <w:rFonts w:cstheme="minorHAnsi"/>
          <w:color w:val="222222"/>
          <w:sz w:val="24"/>
          <w:szCs w:val="24"/>
          <w:shd w:val="clear" w:color="auto" w:fill="FFFFFF"/>
        </w:rPr>
        <w:t>system-wide committee on internships</w:t>
      </w:r>
      <w:r w:rsidR="00CA4DD7">
        <w:rPr>
          <w:rFonts w:cstheme="minorHAnsi"/>
          <w:color w:val="222222"/>
          <w:sz w:val="24"/>
          <w:szCs w:val="24"/>
          <w:shd w:val="clear" w:color="auto" w:fill="FFFFFF"/>
        </w:rPr>
        <w:t xml:space="preserve"> and other experiential learning opportunities</w:t>
      </w:r>
      <w:r w:rsidRPr="00E67D42">
        <w:rPr>
          <w:rFonts w:cstheme="minorHAnsi"/>
          <w:color w:val="222222"/>
          <w:sz w:val="24"/>
          <w:szCs w:val="24"/>
          <w:shd w:val="clear" w:color="auto" w:fill="FFFFFF"/>
        </w:rPr>
        <w:t xml:space="preserve"> ("Pathways to Careers") has been established that is currently inventorying state-wide opportunities and designing ways for students from all campuses to find an internship</w:t>
      </w:r>
      <w:r w:rsidR="00CA4DD7">
        <w:rPr>
          <w:rFonts w:cstheme="minorHAnsi"/>
          <w:color w:val="222222"/>
          <w:sz w:val="24"/>
          <w:szCs w:val="24"/>
          <w:shd w:val="clear" w:color="auto" w:fill="FFFFFF"/>
        </w:rPr>
        <w:t xml:space="preserve"> or similar learning experience</w:t>
      </w:r>
      <w:r w:rsidRPr="00E67D42">
        <w:rPr>
          <w:rFonts w:cstheme="minorHAnsi"/>
          <w:color w:val="222222"/>
          <w:sz w:val="24"/>
          <w:szCs w:val="24"/>
          <w:shd w:val="clear" w:color="auto" w:fill="FFFFFF"/>
        </w:rPr>
        <w:t>.  The committee is also setting up best practice standards for ensuring that internships benefit both students and their employers and working to identify funds that will expand student opportunities for online internships and those in rural parts of the state.</w:t>
      </w:r>
      <w:r w:rsidRPr="00E67D42">
        <w:rPr>
          <w:rFonts w:cstheme="minorHAnsi"/>
          <w:sz w:val="24"/>
          <w:szCs w:val="24"/>
        </w:rPr>
        <w:t xml:space="preserve"> </w:t>
      </w:r>
    </w:p>
    <w:p w14:paraId="4C0CCD67" w14:textId="77777777" w:rsidR="00E67D42" w:rsidRPr="00F45588" w:rsidRDefault="00E67D42" w:rsidP="00E67D42">
      <w:pPr>
        <w:pStyle w:val="ListParagraph"/>
        <w:spacing w:after="0"/>
        <w:rPr>
          <w:sz w:val="24"/>
          <w:szCs w:val="24"/>
        </w:rPr>
      </w:pPr>
    </w:p>
    <w:p w14:paraId="494A00B9" w14:textId="1B658C22" w:rsidR="0067102D" w:rsidRDefault="0067102D" w:rsidP="00536CF2">
      <w:pPr>
        <w:pStyle w:val="ListParagraph"/>
        <w:numPr>
          <w:ilvl w:val="0"/>
          <w:numId w:val="3"/>
        </w:numPr>
        <w:spacing w:after="0"/>
        <w:rPr>
          <w:sz w:val="24"/>
          <w:szCs w:val="24"/>
        </w:rPr>
      </w:pPr>
      <w:r>
        <w:rPr>
          <w:i/>
          <w:sz w:val="24"/>
          <w:szCs w:val="24"/>
        </w:rPr>
        <w:t xml:space="preserve">Veterans Services </w:t>
      </w:r>
      <w:r>
        <w:rPr>
          <w:sz w:val="24"/>
          <w:szCs w:val="24"/>
        </w:rPr>
        <w:t xml:space="preserve">– All of our campuses have Veterans Services offices which assist veterans in the process of certification of benefits and offer a range of services to support their experience on campus. Three campuses (USM, UMA and UM) have dedicated veterans centers on campus for veterans, and several campuses have </w:t>
      </w:r>
      <w:r>
        <w:rPr>
          <w:sz w:val="24"/>
          <w:szCs w:val="24"/>
        </w:rPr>
        <w:lastRenderedPageBreak/>
        <w:t>achieved the de</w:t>
      </w:r>
      <w:r w:rsidR="00F45588">
        <w:rPr>
          <w:sz w:val="24"/>
          <w:szCs w:val="24"/>
        </w:rPr>
        <w:t>signation of “military friendly</w:t>
      </w:r>
      <w:r w:rsidR="00256018">
        <w:rPr>
          <w:sz w:val="24"/>
          <w:szCs w:val="24"/>
        </w:rPr>
        <w:t>.</w:t>
      </w:r>
      <w:r>
        <w:rPr>
          <w:sz w:val="24"/>
          <w:szCs w:val="24"/>
        </w:rPr>
        <w:t>”</w:t>
      </w:r>
      <w:r w:rsidR="00256018">
        <w:rPr>
          <w:sz w:val="24"/>
          <w:szCs w:val="24"/>
        </w:rPr>
        <w:t xml:space="preserve"> Our Veteran Coordinators and School Certifying Officials meet regularly to share best practice, connect all campuses and students to a range of programs and services across campuses, and to review policy and practice changes to ensure the best possible service for our Veteran students.</w:t>
      </w:r>
    </w:p>
    <w:p w14:paraId="370A90F3" w14:textId="77777777" w:rsidR="00F45588" w:rsidRPr="00F45588" w:rsidRDefault="00F45588" w:rsidP="00F45588">
      <w:pPr>
        <w:pStyle w:val="ListParagraph"/>
        <w:rPr>
          <w:sz w:val="24"/>
          <w:szCs w:val="24"/>
        </w:rPr>
      </w:pPr>
    </w:p>
    <w:p w14:paraId="01B0918F" w14:textId="77777777" w:rsidR="00E67D42" w:rsidRDefault="00311AC9" w:rsidP="00E67D42">
      <w:pPr>
        <w:pStyle w:val="ListParagraph"/>
        <w:numPr>
          <w:ilvl w:val="0"/>
          <w:numId w:val="3"/>
        </w:numPr>
        <w:spacing w:after="0"/>
        <w:rPr>
          <w:sz w:val="24"/>
          <w:szCs w:val="24"/>
        </w:rPr>
      </w:pPr>
      <w:r w:rsidRPr="004C3BEF">
        <w:rPr>
          <w:i/>
          <w:sz w:val="24"/>
          <w:szCs w:val="24"/>
        </w:rPr>
        <w:t>Specially designed retention and student success programs which focus extensively on first year students</w:t>
      </w:r>
      <w:r w:rsidRPr="004C3BEF">
        <w:rPr>
          <w:sz w:val="24"/>
          <w:szCs w:val="24"/>
        </w:rPr>
        <w:t xml:space="preserve"> – </w:t>
      </w:r>
      <w:r w:rsidR="00DF0062" w:rsidRPr="004C3BEF">
        <w:rPr>
          <w:sz w:val="24"/>
          <w:szCs w:val="24"/>
        </w:rPr>
        <w:t xml:space="preserve">Examples include one stop student success centers which help students navigate the university, identify resources, receive advising; </w:t>
      </w:r>
      <w:r w:rsidRPr="004C3BEF">
        <w:rPr>
          <w:sz w:val="24"/>
          <w:szCs w:val="24"/>
        </w:rPr>
        <w:t>First Year Living/Learning communi</w:t>
      </w:r>
      <w:r w:rsidR="00DF0062" w:rsidRPr="004C3BEF">
        <w:rPr>
          <w:sz w:val="24"/>
          <w:szCs w:val="24"/>
        </w:rPr>
        <w:t>ties within the residence halls which have both an academic and social goal of connecting the student;</w:t>
      </w:r>
      <w:r w:rsidRPr="004C3BEF">
        <w:rPr>
          <w:sz w:val="24"/>
          <w:szCs w:val="24"/>
        </w:rPr>
        <w:t xml:space="preserve"> cohort based learning experiences where students take simi</w:t>
      </w:r>
      <w:r w:rsidR="00DF0062" w:rsidRPr="004C3BEF">
        <w:rPr>
          <w:sz w:val="24"/>
          <w:szCs w:val="24"/>
        </w:rPr>
        <w:t>lar courses together as a group;</w:t>
      </w:r>
      <w:r w:rsidRPr="004C3BEF">
        <w:rPr>
          <w:sz w:val="24"/>
          <w:szCs w:val="24"/>
        </w:rPr>
        <w:t xml:space="preserve"> first year experience courses which further orient students to college and provide critical knowledge and resources for success</w:t>
      </w:r>
      <w:r w:rsidR="00F45588">
        <w:rPr>
          <w:sz w:val="24"/>
          <w:szCs w:val="24"/>
        </w:rPr>
        <w:t>.</w:t>
      </w:r>
    </w:p>
    <w:p w14:paraId="0FB6F86D" w14:textId="77777777" w:rsidR="00E67D42" w:rsidRPr="00E67D42" w:rsidRDefault="00E67D42" w:rsidP="00E67D42">
      <w:pPr>
        <w:pStyle w:val="ListParagraph"/>
        <w:rPr>
          <w:sz w:val="24"/>
          <w:szCs w:val="24"/>
        </w:rPr>
      </w:pPr>
    </w:p>
    <w:p w14:paraId="1236FC14" w14:textId="77777777" w:rsidR="00075B5A" w:rsidRDefault="00E67D42" w:rsidP="002239A8">
      <w:pPr>
        <w:pStyle w:val="ListParagraph"/>
        <w:spacing w:after="0"/>
        <w:rPr>
          <w:rFonts w:cstheme="minorHAnsi"/>
          <w:color w:val="222222"/>
          <w:sz w:val="24"/>
          <w:szCs w:val="24"/>
          <w:shd w:val="clear" w:color="auto" w:fill="FFFFFF"/>
        </w:rPr>
      </w:pPr>
      <w:r w:rsidRPr="00E67D42">
        <w:rPr>
          <w:sz w:val="24"/>
          <w:szCs w:val="24"/>
        </w:rPr>
        <w:t xml:space="preserve">As part of the critical “UMS Transforms” student success work beginning at UM and UMM and expanding out to the other campuses, the first “Research Learning Experiences” were implemented. These </w:t>
      </w:r>
      <w:r w:rsidRPr="00E67D42">
        <w:rPr>
          <w:rFonts w:cstheme="minorHAnsi"/>
          <w:sz w:val="24"/>
          <w:szCs w:val="24"/>
        </w:rPr>
        <w:t xml:space="preserve">begin </w:t>
      </w:r>
      <w:r w:rsidRPr="00E67D42">
        <w:rPr>
          <w:rFonts w:cstheme="minorHAnsi"/>
          <w:color w:val="222222"/>
          <w:sz w:val="24"/>
          <w:szCs w:val="24"/>
          <w:shd w:val="clear" w:color="auto" w:fill="FFFFFF"/>
        </w:rPr>
        <w:t xml:space="preserve">with an intensive bridge week before classes begin.  During this week students are oriented to campus and lay foundations of a "growth mindset" for dealing with uncertainty, problem-solving, and independent agency in their education.  These tools are then built on throughout the fall semester as first-year and sophomore students actively participate in research and authentic creative scholarship in small cohorts.  Marketing strategies and on-going demographic assessment assured that the percentage of first-generation and Pell-eligible students involved in the RLE pilot mirrored the characteristics of the incoming first-year class.  Initial assessment shows that the percentage of students in an RLE who withdrew from the university in the first half of the fall semester (2%) was half that of students in the general population who did not participate in the program (4%).  A workshop is planned in January to introduce and expand this initiative to additional UMS campuses. </w:t>
      </w:r>
    </w:p>
    <w:p w14:paraId="4CD6590A" w14:textId="77777777" w:rsidR="00075B5A" w:rsidRDefault="00075B5A" w:rsidP="002239A8">
      <w:pPr>
        <w:pStyle w:val="ListParagraph"/>
        <w:spacing w:after="0"/>
        <w:rPr>
          <w:rFonts w:cstheme="minorHAnsi"/>
          <w:color w:val="222222"/>
          <w:sz w:val="24"/>
          <w:szCs w:val="24"/>
          <w:shd w:val="clear" w:color="auto" w:fill="FFFFFF"/>
        </w:rPr>
      </w:pPr>
    </w:p>
    <w:p w14:paraId="7F3BDD7B" w14:textId="11FDB35B" w:rsidR="00E67D42" w:rsidRPr="00E67D42" w:rsidRDefault="00E67D42" w:rsidP="002239A8">
      <w:pPr>
        <w:pStyle w:val="ListParagraph"/>
        <w:spacing w:after="0"/>
        <w:rPr>
          <w:sz w:val="24"/>
          <w:szCs w:val="24"/>
        </w:rPr>
      </w:pPr>
      <w:r w:rsidRPr="00E67D42">
        <w:rPr>
          <w:rFonts w:cstheme="minorHAnsi"/>
          <w:color w:val="222222"/>
          <w:sz w:val="24"/>
          <w:szCs w:val="24"/>
          <w:shd w:val="clear" w:color="auto" w:fill="FFFFFF"/>
        </w:rPr>
        <w:t xml:space="preserve">We also </w:t>
      </w:r>
      <w:r w:rsidRPr="00E67D42">
        <w:rPr>
          <w:rFonts w:eastAsia="Times New Roman" w:cstheme="minorHAnsi"/>
          <w:color w:val="222222"/>
          <w:sz w:val="24"/>
          <w:szCs w:val="24"/>
        </w:rPr>
        <w:t>began a System-wide effort to define and identify "Gateway courses" at each campus that disproportionately prevent students from progressing toward their degree.  We also began planning potential pilot projects to increase student success within these courses.  Pilots may involve increases in the use of undergraduate peer mentors, improvements in teacher assistant training, assistance in implementing innovations in effective pedagogy, and the establishment of communities of teaching practice for instructors teaching similar courses across our multiple campuses.</w:t>
      </w:r>
    </w:p>
    <w:p w14:paraId="3D4F9622" w14:textId="08FD814B" w:rsidR="00E67D42" w:rsidRPr="00E67D42" w:rsidRDefault="00E67D42" w:rsidP="00E67D42">
      <w:pPr>
        <w:pStyle w:val="ListParagraph"/>
        <w:spacing w:after="0"/>
        <w:rPr>
          <w:rFonts w:cstheme="minorHAnsi"/>
          <w:sz w:val="24"/>
          <w:szCs w:val="24"/>
        </w:rPr>
      </w:pPr>
    </w:p>
    <w:p w14:paraId="3DF2485C" w14:textId="77777777" w:rsidR="00F45588" w:rsidRPr="00F45588" w:rsidRDefault="00F45588" w:rsidP="00F45588">
      <w:pPr>
        <w:pStyle w:val="ListParagraph"/>
        <w:rPr>
          <w:sz w:val="24"/>
          <w:szCs w:val="24"/>
        </w:rPr>
      </w:pPr>
    </w:p>
    <w:p w14:paraId="12CEB529" w14:textId="77777777" w:rsidR="00F45588" w:rsidRDefault="00B17595" w:rsidP="00F45588">
      <w:pPr>
        <w:pStyle w:val="ListParagraph"/>
        <w:spacing w:after="0"/>
        <w:rPr>
          <w:sz w:val="24"/>
          <w:szCs w:val="24"/>
        </w:rPr>
      </w:pPr>
      <w:r w:rsidRPr="004C3BEF">
        <w:rPr>
          <w:sz w:val="24"/>
          <w:szCs w:val="24"/>
        </w:rPr>
        <w:lastRenderedPageBreak/>
        <w:t xml:space="preserve">UMA has implemented a class steward program which embeds assistants trained to identify and support struggling students within </w:t>
      </w:r>
      <w:proofErr w:type="gramStart"/>
      <w:r w:rsidRPr="004C3BEF">
        <w:rPr>
          <w:sz w:val="24"/>
          <w:szCs w:val="24"/>
        </w:rPr>
        <w:t>high risk</w:t>
      </w:r>
      <w:proofErr w:type="gramEnd"/>
      <w:r w:rsidRPr="004C3BEF">
        <w:rPr>
          <w:sz w:val="24"/>
          <w:szCs w:val="24"/>
        </w:rPr>
        <w:t xml:space="preserve"> classes (those with lower than average completion rates)</w:t>
      </w:r>
      <w:r w:rsidR="00616C31" w:rsidRPr="004C3BEF">
        <w:rPr>
          <w:sz w:val="24"/>
          <w:szCs w:val="24"/>
        </w:rPr>
        <w:t xml:space="preserve"> – course completion rates within these classes have improved, and there has been a decline in F grades in these classes as well</w:t>
      </w:r>
      <w:r w:rsidRPr="004C3BEF">
        <w:rPr>
          <w:sz w:val="24"/>
          <w:szCs w:val="24"/>
        </w:rPr>
        <w:t xml:space="preserve">; </w:t>
      </w:r>
      <w:r w:rsidR="008A47B8" w:rsidRPr="004C3BEF">
        <w:rPr>
          <w:sz w:val="24"/>
          <w:szCs w:val="24"/>
        </w:rPr>
        <w:t>special bridge programs for students w</w:t>
      </w:r>
      <w:r w:rsidR="00F45588">
        <w:rPr>
          <w:sz w:val="24"/>
          <w:szCs w:val="24"/>
        </w:rPr>
        <w:t>ho may be academically at risk</w:t>
      </w:r>
      <w:r w:rsidR="003428BE">
        <w:rPr>
          <w:sz w:val="24"/>
          <w:szCs w:val="24"/>
        </w:rPr>
        <w:t xml:space="preserve"> exist as well</w:t>
      </w:r>
      <w:r w:rsidR="00F45588">
        <w:rPr>
          <w:sz w:val="24"/>
          <w:szCs w:val="24"/>
        </w:rPr>
        <w:t>.</w:t>
      </w:r>
    </w:p>
    <w:p w14:paraId="1F08A12A" w14:textId="77777777" w:rsidR="00F45588" w:rsidRDefault="00F45588" w:rsidP="00F45588">
      <w:pPr>
        <w:pStyle w:val="ListParagraph"/>
        <w:spacing w:after="0"/>
        <w:rPr>
          <w:sz w:val="24"/>
          <w:szCs w:val="24"/>
        </w:rPr>
      </w:pPr>
    </w:p>
    <w:p w14:paraId="3DC33165" w14:textId="77777777" w:rsidR="00075B5A" w:rsidRDefault="004C3BEF" w:rsidP="00F45588">
      <w:pPr>
        <w:pStyle w:val="ListParagraph"/>
        <w:spacing w:after="0"/>
        <w:rPr>
          <w:sz w:val="24"/>
          <w:szCs w:val="24"/>
        </w:rPr>
      </w:pPr>
      <w:r>
        <w:rPr>
          <w:sz w:val="24"/>
          <w:szCs w:val="24"/>
        </w:rPr>
        <w:t xml:space="preserve">UM has added first-year student success courses in all five of its degree granting colleges; </w:t>
      </w:r>
      <w:r w:rsidR="00DF0062" w:rsidRPr="004C3BEF">
        <w:rPr>
          <w:sz w:val="24"/>
          <w:szCs w:val="24"/>
        </w:rPr>
        <w:t xml:space="preserve">co-curricular opportunities for leadership development and connections to fellow students through student life, </w:t>
      </w:r>
      <w:proofErr w:type="gramStart"/>
      <w:r w:rsidR="00DF0062" w:rsidRPr="004C3BEF">
        <w:rPr>
          <w:sz w:val="24"/>
          <w:szCs w:val="24"/>
        </w:rPr>
        <w:t>athletics</w:t>
      </w:r>
      <w:proofErr w:type="gramEnd"/>
      <w:r w:rsidR="00DF0062" w:rsidRPr="004C3BEF">
        <w:rPr>
          <w:sz w:val="24"/>
          <w:szCs w:val="24"/>
        </w:rPr>
        <w:t xml:space="preserve"> and other student service/support offices.</w:t>
      </w:r>
      <w:r w:rsidR="00BA3415" w:rsidRPr="004C3BEF">
        <w:rPr>
          <w:sz w:val="24"/>
          <w:szCs w:val="24"/>
        </w:rPr>
        <w:t xml:space="preserve"> </w:t>
      </w:r>
      <w:r>
        <w:rPr>
          <w:sz w:val="24"/>
          <w:szCs w:val="24"/>
        </w:rPr>
        <w:t xml:space="preserve">UM’s College of Natural Sciences, Forestry and Agriculture has initiated an Academic Improvement Program which supports first time and transfer students, including a significant number of </w:t>
      </w:r>
      <w:proofErr w:type="gramStart"/>
      <w:r>
        <w:rPr>
          <w:sz w:val="24"/>
          <w:szCs w:val="24"/>
        </w:rPr>
        <w:t>first generation</w:t>
      </w:r>
      <w:proofErr w:type="gramEnd"/>
      <w:r>
        <w:rPr>
          <w:sz w:val="24"/>
          <w:szCs w:val="24"/>
        </w:rPr>
        <w:t xml:space="preserve"> students. </w:t>
      </w:r>
      <w:r w:rsidR="00CD048C" w:rsidRPr="004C3BEF">
        <w:rPr>
          <w:sz w:val="24"/>
          <w:szCs w:val="24"/>
        </w:rPr>
        <w:t>UMM has a dedicated first-year advisor for Early C</w:t>
      </w:r>
      <w:r w:rsidR="00814724" w:rsidRPr="004C3BEF">
        <w:rPr>
          <w:sz w:val="24"/>
          <w:szCs w:val="24"/>
        </w:rPr>
        <w:t>ollege and Transitions students</w:t>
      </w:r>
      <w:r w:rsidR="000E3328" w:rsidRPr="004C3BEF">
        <w:rPr>
          <w:sz w:val="24"/>
          <w:szCs w:val="24"/>
        </w:rPr>
        <w:t xml:space="preserve">. </w:t>
      </w:r>
    </w:p>
    <w:p w14:paraId="0D211FD1" w14:textId="77777777" w:rsidR="00075B5A" w:rsidRDefault="00075B5A" w:rsidP="00F45588">
      <w:pPr>
        <w:pStyle w:val="ListParagraph"/>
        <w:spacing w:after="0"/>
        <w:rPr>
          <w:sz w:val="24"/>
          <w:szCs w:val="24"/>
        </w:rPr>
      </w:pPr>
    </w:p>
    <w:p w14:paraId="291B95BC" w14:textId="5EE4DDE2" w:rsidR="00F45588" w:rsidRDefault="009B3B13" w:rsidP="00F45588">
      <w:pPr>
        <w:pStyle w:val="ListParagraph"/>
        <w:spacing w:after="0"/>
        <w:rPr>
          <w:sz w:val="24"/>
          <w:szCs w:val="24"/>
        </w:rPr>
      </w:pPr>
      <w:r>
        <w:rPr>
          <w:sz w:val="24"/>
          <w:szCs w:val="24"/>
        </w:rPr>
        <w:t xml:space="preserve">As a part of a US DOE Title III grant, </w:t>
      </w:r>
      <w:r w:rsidR="003B69D8">
        <w:rPr>
          <w:sz w:val="24"/>
          <w:szCs w:val="24"/>
        </w:rPr>
        <w:t xml:space="preserve">UMPI has added a “University Experience” </w:t>
      </w:r>
      <w:r w:rsidR="009B56E4">
        <w:rPr>
          <w:sz w:val="24"/>
          <w:szCs w:val="24"/>
        </w:rPr>
        <w:t xml:space="preserve">(UNV) </w:t>
      </w:r>
      <w:r w:rsidR="003B69D8">
        <w:rPr>
          <w:sz w:val="24"/>
          <w:szCs w:val="24"/>
        </w:rPr>
        <w:t>that will be required of all 1</w:t>
      </w:r>
      <w:r w:rsidR="003B69D8" w:rsidRPr="003B69D8">
        <w:rPr>
          <w:sz w:val="24"/>
          <w:szCs w:val="24"/>
          <w:vertAlign w:val="superscript"/>
        </w:rPr>
        <w:t>st</w:t>
      </w:r>
      <w:r w:rsidR="003B69D8">
        <w:rPr>
          <w:sz w:val="24"/>
          <w:szCs w:val="24"/>
        </w:rPr>
        <w:t>, 2</w:t>
      </w:r>
      <w:r w:rsidR="003B69D8" w:rsidRPr="003B69D8">
        <w:rPr>
          <w:sz w:val="24"/>
          <w:szCs w:val="24"/>
          <w:vertAlign w:val="superscript"/>
        </w:rPr>
        <w:t>nd</w:t>
      </w:r>
      <w:r w:rsidR="003B69D8">
        <w:rPr>
          <w:sz w:val="24"/>
          <w:szCs w:val="24"/>
        </w:rPr>
        <w:t>, 3</w:t>
      </w:r>
      <w:r w:rsidR="003B69D8" w:rsidRPr="003B69D8">
        <w:rPr>
          <w:sz w:val="24"/>
          <w:szCs w:val="24"/>
          <w:vertAlign w:val="superscript"/>
        </w:rPr>
        <w:t>rd</w:t>
      </w:r>
      <w:r w:rsidR="003B69D8">
        <w:rPr>
          <w:sz w:val="24"/>
          <w:szCs w:val="24"/>
        </w:rPr>
        <w:t xml:space="preserve"> and 4</w:t>
      </w:r>
      <w:r w:rsidR="003B69D8" w:rsidRPr="003B69D8">
        <w:rPr>
          <w:sz w:val="24"/>
          <w:szCs w:val="24"/>
          <w:vertAlign w:val="superscript"/>
        </w:rPr>
        <w:t>th</w:t>
      </w:r>
      <w:r w:rsidR="003B69D8">
        <w:rPr>
          <w:sz w:val="24"/>
          <w:szCs w:val="24"/>
        </w:rPr>
        <w:t xml:space="preserve"> year students – the traditional first year experience will be expanded and be cohort specific, 2</w:t>
      </w:r>
      <w:r w:rsidR="003B69D8" w:rsidRPr="003B69D8">
        <w:rPr>
          <w:sz w:val="24"/>
          <w:szCs w:val="24"/>
          <w:vertAlign w:val="superscript"/>
        </w:rPr>
        <w:t>nd</w:t>
      </w:r>
      <w:r w:rsidR="003B69D8">
        <w:rPr>
          <w:sz w:val="24"/>
          <w:szCs w:val="24"/>
        </w:rPr>
        <w:t xml:space="preserve"> year students will engage in community service/service learning and internships, and 3</w:t>
      </w:r>
      <w:r w:rsidR="003B69D8" w:rsidRPr="003B69D8">
        <w:rPr>
          <w:sz w:val="24"/>
          <w:szCs w:val="24"/>
          <w:vertAlign w:val="superscript"/>
        </w:rPr>
        <w:t>rd</w:t>
      </w:r>
      <w:r w:rsidR="003B69D8">
        <w:rPr>
          <w:sz w:val="24"/>
          <w:szCs w:val="24"/>
        </w:rPr>
        <w:t>/4</w:t>
      </w:r>
      <w:r w:rsidR="003B69D8" w:rsidRPr="003B69D8">
        <w:rPr>
          <w:sz w:val="24"/>
          <w:szCs w:val="24"/>
          <w:vertAlign w:val="superscript"/>
        </w:rPr>
        <w:t>th</w:t>
      </w:r>
      <w:r w:rsidR="003B69D8">
        <w:rPr>
          <w:sz w:val="24"/>
          <w:szCs w:val="24"/>
        </w:rPr>
        <w:t xml:space="preserve"> year students will be prepared for the transition to post-graduate studies, professional schools and/or their respective careers.</w:t>
      </w:r>
      <w:r w:rsidR="009B56E4">
        <w:rPr>
          <w:sz w:val="24"/>
          <w:szCs w:val="24"/>
        </w:rPr>
        <w:t xml:space="preserve"> Included within UMPI’s UNV experience is financial literacy, advising with degree planning, student support services including counseling, </w:t>
      </w:r>
      <w:proofErr w:type="gramStart"/>
      <w:r w:rsidR="009B56E4">
        <w:rPr>
          <w:sz w:val="24"/>
          <w:szCs w:val="24"/>
        </w:rPr>
        <w:t>testing</w:t>
      </w:r>
      <w:proofErr w:type="gramEnd"/>
      <w:r w:rsidR="009B56E4">
        <w:rPr>
          <w:sz w:val="24"/>
          <w:szCs w:val="24"/>
        </w:rPr>
        <w:t xml:space="preserve"> and tutoring and transitions to college workshops including time management, stress reduction, research strategies and acclimating to campus.</w:t>
      </w:r>
    </w:p>
    <w:p w14:paraId="224C2018" w14:textId="77777777" w:rsidR="009B3B13" w:rsidRDefault="009B3B13" w:rsidP="00F45588">
      <w:pPr>
        <w:pStyle w:val="ListParagraph"/>
        <w:spacing w:after="0"/>
        <w:rPr>
          <w:sz w:val="24"/>
          <w:szCs w:val="24"/>
        </w:rPr>
      </w:pPr>
    </w:p>
    <w:p w14:paraId="5D78078B" w14:textId="6EF680F2" w:rsidR="009B3B13" w:rsidRDefault="009B3B13" w:rsidP="00F45588">
      <w:pPr>
        <w:pStyle w:val="ListParagraph"/>
        <w:spacing w:after="0"/>
        <w:rPr>
          <w:sz w:val="24"/>
          <w:szCs w:val="24"/>
        </w:rPr>
      </w:pPr>
      <w:r>
        <w:rPr>
          <w:sz w:val="24"/>
          <w:szCs w:val="24"/>
        </w:rPr>
        <w:t>In conjunction with the professional advising staff, UMPI’s Career Readiness Office meets with every exploratory (undeclared) student to assist and support them in initial class scheduling assistance, strategies for academic success, provide referrals to campus offices and resources</w:t>
      </w:r>
      <w:r w:rsidR="004C6CAC">
        <w:rPr>
          <w:sz w:val="24"/>
          <w:szCs w:val="24"/>
        </w:rPr>
        <w:t xml:space="preserve">, and </w:t>
      </w:r>
      <w:r>
        <w:rPr>
          <w:sz w:val="24"/>
          <w:szCs w:val="24"/>
        </w:rPr>
        <w:t>discuss career goals.</w:t>
      </w:r>
      <w:r w:rsidR="004C6CAC">
        <w:rPr>
          <w:sz w:val="24"/>
          <w:szCs w:val="24"/>
        </w:rPr>
        <w:t xml:space="preserve"> Staff use a variety of methods to help students find a major that fits into their goal including O*NET, My Next Move and NACE.</w:t>
      </w:r>
    </w:p>
    <w:p w14:paraId="01BDB85B" w14:textId="00A53721" w:rsidR="00BA7F32" w:rsidRDefault="00BA7F32" w:rsidP="00F45588">
      <w:pPr>
        <w:pStyle w:val="ListParagraph"/>
        <w:spacing w:after="0"/>
        <w:rPr>
          <w:sz w:val="24"/>
          <w:szCs w:val="24"/>
        </w:rPr>
      </w:pPr>
    </w:p>
    <w:p w14:paraId="3010E43A" w14:textId="280EFE6B" w:rsidR="00311AC9" w:rsidRDefault="005C6273" w:rsidP="00F45588">
      <w:pPr>
        <w:pStyle w:val="ListParagraph"/>
        <w:spacing w:after="0"/>
        <w:rPr>
          <w:sz w:val="24"/>
          <w:szCs w:val="24"/>
        </w:rPr>
      </w:pPr>
      <w:r>
        <w:rPr>
          <w:sz w:val="24"/>
          <w:szCs w:val="24"/>
        </w:rPr>
        <w:t>All campuses</w:t>
      </w:r>
      <w:r w:rsidR="00A32442">
        <w:rPr>
          <w:sz w:val="24"/>
          <w:szCs w:val="24"/>
        </w:rPr>
        <w:t xml:space="preserve"> have implemented</w:t>
      </w:r>
      <w:r w:rsidR="008B7A10">
        <w:rPr>
          <w:sz w:val="24"/>
          <w:szCs w:val="24"/>
        </w:rPr>
        <w:t xml:space="preserve"> EAB Navigate</w:t>
      </w:r>
      <w:r w:rsidR="004C6CAC">
        <w:rPr>
          <w:sz w:val="24"/>
          <w:szCs w:val="24"/>
        </w:rPr>
        <w:t xml:space="preserve"> which is </w:t>
      </w:r>
      <w:proofErr w:type="gramStart"/>
      <w:r w:rsidR="004C6CAC">
        <w:rPr>
          <w:sz w:val="24"/>
          <w:szCs w:val="24"/>
        </w:rPr>
        <w:t>on</w:t>
      </w:r>
      <w:r w:rsidR="00F6043C">
        <w:rPr>
          <w:sz w:val="24"/>
          <w:szCs w:val="24"/>
        </w:rPr>
        <w:t>e</w:t>
      </w:r>
      <w:r w:rsidR="004C6CAC">
        <w:rPr>
          <w:sz w:val="24"/>
          <w:szCs w:val="24"/>
        </w:rPr>
        <w:t xml:space="preserve"> part</w:t>
      </w:r>
      <w:proofErr w:type="gramEnd"/>
      <w:r w:rsidR="000E3328" w:rsidRPr="004C3BEF">
        <w:rPr>
          <w:sz w:val="24"/>
          <w:szCs w:val="24"/>
        </w:rPr>
        <w:t xml:space="preserve"> mobile app which provides “nudges” for students related to critical deadlines, trigger personalized outreach when appropriate and even schedule appointments with advisors and other service providers</w:t>
      </w:r>
      <w:r w:rsidR="004C6CAC">
        <w:rPr>
          <w:sz w:val="24"/>
          <w:szCs w:val="24"/>
        </w:rPr>
        <w:t xml:space="preserve"> and also is used as an early warning/intervention tool which allows faculty to submit progress reports which then trigger coordinated follow up from various offices to ensure students get the help and support they need</w:t>
      </w:r>
      <w:r w:rsidR="00814724" w:rsidRPr="004C3BEF">
        <w:rPr>
          <w:sz w:val="24"/>
          <w:szCs w:val="24"/>
        </w:rPr>
        <w:t>;</w:t>
      </w:r>
    </w:p>
    <w:p w14:paraId="13104297" w14:textId="77777777" w:rsidR="00F45588" w:rsidRPr="00F45588" w:rsidRDefault="00F45588" w:rsidP="00F45588">
      <w:pPr>
        <w:spacing w:after="0"/>
        <w:rPr>
          <w:sz w:val="24"/>
          <w:szCs w:val="24"/>
        </w:rPr>
      </w:pPr>
    </w:p>
    <w:p w14:paraId="6C9FBC24" w14:textId="1F532368" w:rsidR="00F45588" w:rsidRDefault="004C3BEF" w:rsidP="009E4650">
      <w:pPr>
        <w:numPr>
          <w:ilvl w:val="0"/>
          <w:numId w:val="3"/>
        </w:numPr>
        <w:shd w:val="clear" w:color="auto" w:fill="FFFFFF"/>
        <w:spacing w:before="100" w:beforeAutospacing="1" w:after="240" w:line="240" w:lineRule="auto"/>
        <w:rPr>
          <w:sz w:val="24"/>
          <w:szCs w:val="24"/>
        </w:rPr>
      </w:pPr>
      <w:r w:rsidRPr="009E4650">
        <w:rPr>
          <w:i/>
          <w:sz w:val="24"/>
          <w:szCs w:val="24"/>
        </w:rPr>
        <w:lastRenderedPageBreak/>
        <w:t xml:space="preserve">Think 30 or 15 to Finish Programs – </w:t>
      </w:r>
      <w:r w:rsidRPr="009E4650">
        <w:rPr>
          <w:sz w:val="24"/>
          <w:szCs w:val="24"/>
        </w:rPr>
        <w:t xml:space="preserve">UM initiated its Think 30 initiative (which encourages students to complete 30 credits each year in order to graduate in four years) which has seen </w:t>
      </w:r>
      <w:r w:rsidR="005C6273" w:rsidRPr="009E4650">
        <w:rPr>
          <w:sz w:val="24"/>
          <w:szCs w:val="24"/>
        </w:rPr>
        <w:t>83</w:t>
      </w:r>
      <w:r w:rsidRPr="009E4650">
        <w:rPr>
          <w:sz w:val="24"/>
          <w:szCs w:val="24"/>
        </w:rPr>
        <w:t>% of first time,</w:t>
      </w:r>
      <w:r w:rsidR="00FC53F1" w:rsidRPr="009E4650">
        <w:rPr>
          <w:sz w:val="24"/>
          <w:szCs w:val="24"/>
        </w:rPr>
        <w:t xml:space="preserve"> full time students in Fall 201</w:t>
      </w:r>
      <w:r w:rsidR="005C6273" w:rsidRPr="009E4650">
        <w:rPr>
          <w:sz w:val="24"/>
          <w:szCs w:val="24"/>
        </w:rPr>
        <w:t>9</w:t>
      </w:r>
      <w:r w:rsidRPr="009E4650">
        <w:rPr>
          <w:sz w:val="24"/>
          <w:szCs w:val="24"/>
        </w:rPr>
        <w:t xml:space="preserve"> at</w:t>
      </w:r>
      <w:r w:rsidR="00FC53F1" w:rsidRPr="009E4650">
        <w:rPr>
          <w:sz w:val="24"/>
          <w:szCs w:val="24"/>
        </w:rPr>
        <w:t>tempting 15 or more credits</w:t>
      </w:r>
      <w:r w:rsidR="005C6273" w:rsidRPr="009E4650">
        <w:rPr>
          <w:sz w:val="24"/>
          <w:szCs w:val="24"/>
        </w:rPr>
        <w:t xml:space="preserve"> (a 23% increase from 2015, the first year of the initiative)</w:t>
      </w:r>
      <w:r w:rsidR="00FC53F1" w:rsidRPr="009E4650">
        <w:rPr>
          <w:sz w:val="24"/>
          <w:szCs w:val="24"/>
        </w:rPr>
        <w:t>, the four-year graduation rate for the fall 2015 cohort (the first since the introduction of Think30) was 41% (the highest four-year graduation rate UM has reported since the regular reporting of graduation rates began with the 1997 cohort)</w:t>
      </w:r>
      <w:r w:rsidRPr="009E4650">
        <w:rPr>
          <w:sz w:val="24"/>
          <w:szCs w:val="24"/>
        </w:rPr>
        <w:t xml:space="preserve">; a </w:t>
      </w:r>
      <w:proofErr w:type="spellStart"/>
      <w:r w:rsidRPr="009E4650">
        <w:rPr>
          <w:sz w:val="24"/>
          <w:szCs w:val="24"/>
        </w:rPr>
        <w:t>WinterSession</w:t>
      </w:r>
      <w:proofErr w:type="spellEnd"/>
      <w:r w:rsidRPr="009E4650">
        <w:rPr>
          <w:sz w:val="24"/>
          <w:szCs w:val="24"/>
        </w:rPr>
        <w:t xml:space="preserve"> </w:t>
      </w:r>
      <w:r w:rsidR="005C6273" w:rsidRPr="009E4650">
        <w:rPr>
          <w:sz w:val="24"/>
          <w:szCs w:val="24"/>
        </w:rPr>
        <w:t xml:space="preserve">was </w:t>
      </w:r>
      <w:r w:rsidRPr="009E4650">
        <w:rPr>
          <w:sz w:val="24"/>
          <w:szCs w:val="24"/>
        </w:rPr>
        <w:t>added to further assist students in being able to complete 30 credits within the yea</w:t>
      </w:r>
      <w:r w:rsidR="00E67D42" w:rsidRPr="009E4650">
        <w:rPr>
          <w:sz w:val="24"/>
          <w:szCs w:val="24"/>
        </w:rPr>
        <w:t>r.</w:t>
      </w:r>
      <w:r w:rsidR="00E67D42" w:rsidRPr="009E4650">
        <w:rPr>
          <w:rFonts w:ascii="Arial" w:eastAsia="Times New Roman" w:hAnsi="Arial" w:cs="Arial"/>
          <w:color w:val="222222"/>
          <w:sz w:val="24"/>
          <w:szCs w:val="24"/>
        </w:rPr>
        <w:t xml:space="preserve"> </w:t>
      </w:r>
      <w:r w:rsidR="00E67D42" w:rsidRPr="009E4650">
        <w:rPr>
          <w:rFonts w:eastAsia="Times New Roman" w:cstheme="minorHAnsi"/>
          <w:color w:val="222222"/>
          <w:sz w:val="24"/>
          <w:szCs w:val="24"/>
        </w:rPr>
        <w:t>The percentage of all first-year students returning for their second year with 30 credits increased from 64% for the 2014 cohort (the year before the implementation of Think30) to a high of 78% for the 2019 cohort. The 2020 cohort dipped back down to 73% during the pandemic.</w:t>
      </w:r>
      <w:r w:rsidR="009E4650" w:rsidRPr="009E4650">
        <w:rPr>
          <w:rFonts w:ascii="Arial" w:eastAsia="Times New Roman" w:hAnsi="Arial" w:cs="Arial"/>
          <w:color w:val="222222"/>
          <w:sz w:val="24"/>
          <w:szCs w:val="24"/>
        </w:rPr>
        <w:t xml:space="preserve"> </w:t>
      </w:r>
      <w:r w:rsidR="00075B5A">
        <w:rPr>
          <w:rFonts w:eastAsia="Times New Roman" w:cstheme="minorHAnsi"/>
          <w:color w:val="222222"/>
          <w:sz w:val="24"/>
          <w:szCs w:val="24"/>
        </w:rPr>
        <w:t>The gap in student success (percent</w:t>
      </w:r>
      <w:r w:rsidR="009E4650" w:rsidRPr="009E4650">
        <w:rPr>
          <w:rFonts w:eastAsia="Times New Roman" w:cstheme="minorHAnsi"/>
          <w:color w:val="222222"/>
          <w:sz w:val="24"/>
          <w:szCs w:val="24"/>
        </w:rPr>
        <w:t xml:space="preserve"> of those wh</w:t>
      </w:r>
      <w:r w:rsidR="00075B5A">
        <w:rPr>
          <w:rFonts w:eastAsia="Times New Roman" w:cstheme="minorHAnsi"/>
          <w:color w:val="222222"/>
          <w:sz w:val="24"/>
          <w:szCs w:val="24"/>
        </w:rPr>
        <w:t>o earned 30 credits who attempt</w:t>
      </w:r>
      <w:r w:rsidR="009E4650" w:rsidRPr="009E4650">
        <w:rPr>
          <w:rFonts w:eastAsia="Times New Roman" w:cstheme="minorHAnsi"/>
          <w:color w:val="222222"/>
          <w:sz w:val="24"/>
          <w:szCs w:val="24"/>
        </w:rPr>
        <w:t xml:space="preserve"> 30 credits) between first-generation students and not-first-generation students narrowed from 9% in 2014 to 7% in the fall of 2019, and overall credit completion success increased in both groups.  First generation credit completion success</w:t>
      </w:r>
      <w:proofErr w:type="gramStart"/>
      <w:r w:rsidR="009E4650" w:rsidRPr="009E4650">
        <w:rPr>
          <w:rFonts w:eastAsia="Times New Roman" w:cstheme="minorHAnsi"/>
          <w:color w:val="222222"/>
          <w:sz w:val="24"/>
          <w:szCs w:val="24"/>
        </w:rPr>
        <w:t>, in particular, increased</w:t>
      </w:r>
      <w:proofErr w:type="gramEnd"/>
      <w:r w:rsidR="009E4650" w:rsidRPr="009E4650">
        <w:rPr>
          <w:rFonts w:eastAsia="Times New Roman" w:cstheme="minorHAnsi"/>
          <w:color w:val="222222"/>
          <w:sz w:val="24"/>
          <w:szCs w:val="24"/>
        </w:rPr>
        <w:t xml:space="preserve"> from 66% to 73% during that period.</w:t>
      </w:r>
      <w:r w:rsidR="00E67D42" w:rsidRPr="009E4650">
        <w:rPr>
          <w:sz w:val="24"/>
          <w:szCs w:val="24"/>
        </w:rPr>
        <w:t xml:space="preserve"> </w:t>
      </w:r>
      <w:r w:rsidRPr="009E4650">
        <w:rPr>
          <w:sz w:val="24"/>
          <w:szCs w:val="24"/>
        </w:rPr>
        <w:t>Similar programs, modelled after Think 30 or Complete College America’s 15 to Finish, are underway at USM, UMF and UMPI as examples.</w:t>
      </w:r>
    </w:p>
    <w:p w14:paraId="4701B194" w14:textId="226E39F5" w:rsidR="00DF0062" w:rsidRDefault="00DF0062" w:rsidP="00F45588">
      <w:pPr>
        <w:pStyle w:val="ListParagraph"/>
        <w:numPr>
          <w:ilvl w:val="0"/>
          <w:numId w:val="3"/>
        </w:numPr>
        <w:spacing w:after="0"/>
        <w:rPr>
          <w:sz w:val="24"/>
          <w:szCs w:val="24"/>
        </w:rPr>
      </w:pPr>
      <w:r w:rsidRPr="00F45588">
        <w:rPr>
          <w:i/>
          <w:sz w:val="24"/>
          <w:szCs w:val="24"/>
        </w:rPr>
        <w:t>Financial Literacy</w:t>
      </w:r>
      <w:r w:rsidRPr="00F45588">
        <w:rPr>
          <w:sz w:val="24"/>
          <w:szCs w:val="24"/>
        </w:rPr>
        <w:t xml:space="preserve"> – All campus</w:t>
      </w:r>
      <w:r w:rsidR="009B6C90">
        <w:rPr>
          <w:sz w:val="24"/>
          <w:szCs w:val="24"/>
        </w:rPr>
        <w:t xml:space="preserve">es are participating in the </w:t>
      </w:r>
      <w:proofErr w:type="spellStart"/>
      <w:r w:rsidR="009B6C90">
        <w:rPr>
          <w:sz w:val="24"/>
          <w:szCs w:val="24"/>
        </w:rPr>
        <w:t>IGrad</w:t>
      </w:r>
      <w:proofErr w:type="spellEnd"/>
      <w:r w:rsidR="009B6C90">
        <w:rPr>
          <w:sz w:val="24"/>
          <w:szCs w:val="24"/>
        </w:rPr>
        <w:t>, financial literacy program which is includes</w:t>
      </w:r>
      <w:r w:rsidRPr="00F45588">
        <w:rPr>
          <w:sz w:val="24"/>
          <w:szCs w:val="24"/>
        </w:rPr>
        <w:t xml:space="preserve"> </w:t>
      </w:r>
      <w:proofErr w:type="gramStart"/>
      <w:r w:rsidRPr="00F45588">
        <w:rPr>
          <w:sz w:val="24"/>
          <w:szCs w:val="24"/>
        </w:rPr>
        <w:t>on line</w:t>
      </w:r>
      <w:proofErr w:type="gramEnd"/>
      <w:r w:rsidRPr="00F45588">
        <w:rPr>
          <w:sz w:val="24"/>
          <w:szCs w:val="24"/>
        </w:rPr>
        <w:t xml:space="preserve"> tool, supplemented by campus-based programming, that encourages responsible financial management, and among other resou</w:t>
      </w:r>
      <w:r w:rsidR="00323E55" w:rsidRPr="00F45588">
        <w:rPr>
          <w:sz w:val="24"/>
          <w:szCs w:val="24"/>
        </w:rPr>
        <w:t>rces, provides answers and advic</w:t>
      </w:r>
      <w:r w:rsidRPr="00F45588">
        <w:rPr>
          <w:sz w:val="24"/>
          <w:szCs w:val="24"/>
        </w:rPr>
        <w:t>e regarding budgeting, taking out loans or, upon</w:t>
      </w:r>
      <w:r w:rsidR="00814724" w:rsidRPr="00F45588">
        <w:rPr>
          <w:sz w:val="24"/>
          <w:szCs w:val="24"/>
        </w:rPr>
        <w:t xml:space="preserve"> graduation, loan consolidation</w:t>
      </w:r>
      <w:r w:rsidR="00F45588">
        <w:rPr>
          <w:sz w:val="24"/>
          <w:szCs w:val="24"/>
        </w:rPr>
        <w:t>. A financial literacy peer-to-p</w:t>
      </w:r>
      <w:r w:rsidR="009B6C90">
        <w:rPr>
          <w:sz w:val="24"/>
          <w:szCs w:val="24"/>
        </w:rPr>
        <w:t>eer program overseen by UMF is</w:t>
      </w:r>
      <w:r w:rsidR="00F45588">
        <w:rPr>
          <w:sz w:val="24"/>
          <w:szCs w:val="24"/>
        </w:rPr>
        <w:t xml:space="preserve"> be</w:t>
      </w:r>
      <w:r w:rsidR="009B6C90">
        <w:rPr>
          <w:sz w:val="24"/>
          <w:szCs w:val="24"/>
        </w:rPr>
        <w:t>ing</w:t>
      </w:r>
      <w:r w:rsidR="00F45588">
        <w:rPr>
          <w:sz w:val="24"/>
          <w:szCs w:val="24"/>
        </w:rPr>
        <w:t xml:space="preserve"> implemented at all campuses</w:t>
      </w:r>
      <w:r w:rsidR="009B6C90">
        <w:rPr>
          <w:sz w:val="24"/>
          <w:szCs w:val="24"/>
        </w:rPr>
        <w:t xml:space="preserve">. All campuses are also participating in ECMC’s default prevention </w:t>
      </w:r>
      <w:proofErr w:type="gramStart"/>
      <w:r w:rsidR="009B6C90">
        <w:rPr>
          <w:sz w:val="24"/>
          <w:szCs w:val="24"/>
        </w:rPr>
        <w:t>program</w:t>
      </w:r>
      <w:r w:rsidR="00814724" w:rsidRPr="00F45588">
        <w:rPr>
          <w:sz w:val="24"/>
          <w:szCs w:val="24"/>
        </w:rPr>
        <w:t>;</w:t>
      </w:r>
      <w:proofErr w:type="gramEnd"/>
    </w:p>
    <w:p w14:paraId="27066863" w14:textId="77777777" w:rsidR="00F45588" w:rsidRPr="00F45588" w:rsidRDefault="00F45588" w:rsidP="00F45588">
      <w:pPr>
        <w:pStyle w:val="ListParagraph"/>
        <w:rPr>
          <w:sz w:val="24"/>
          <w:szCs w:val="24"/>
        </w:rPr>
      </w:pPr>
    </w:p>
    <w:p w14:paraId="3BDF6DD7" w14:textId="5BE34B9F" w:rsidR="00066485" w:rsidRDefault="00AC7A39" w:rsidP="00536CF2">
      <w:pPr>
        <w:pStyle w:val="ListParagraph"/>
        <w:numPr>
          <w:ilvl w:val="0"/>
          <w:numId w:val="3"/>
        </w:numPr>
        <w:spacing w:after="0"/>
        <w:rPr>
          <w:sz w:val="24"/>
          <w:szCs w:val="24"/>
        </w:rPr>
      </w:pPr>
      <w:r w:rsidRPr="006C57CE">
        <w:rPr>
          <w:i/>
          <w:sz w:val="24"/>
          <w:szCs w:val="24"/>
        </w:rPr>
        <w:t>Affordability</w:t>
      </w:r>
      <w:r w:rsidRPr="0061483E">
        <w:rPr>
          <w:sz w:val="24"/>
          <w:szCs w:val="24"/>
        </w:rPr>
        <w:t xml:space="preserve"> – The</w:t>
      </w:r>
      <w:r w:rsidR="008B7A10">
        <w:rPr>
          <w:sz w:val="24"/>
          <w:szCs w:val="24"/>
        </w:rPr>
        <w:t xml:space="preserve"> University of Maine System froze</w:t>
      </w:r>
      <w:r w:rsidRPr="0061483E">
        <w:rPr>
          <w:sz w:val="24"/>
          <w:szCs w:val="24"/>
        </w:rPr>
        <w:t xml:space="preserve"> tui</w:t>
      </w:r>
      <w:r w:rsidR="00F32CBE">
        <w:rPr>
          <w:sz w:val="24"/>
          <w:szCs w:val="24"/>
        </w:rPr>
        <w:t>tion at the same le</w:t>
      </w:r>
      <w:r w:rsidR="00D75C37">
        <w:rPr>
          <w:sz w:val="24"/>
          <w:szCs w:val="24"/>
        </w:rPr>
        <w:t>vel for six</w:t>
      </w:r>
      <w:r w:rsidRPr="0061483E">
        <w:rPr>
          <w:sz w:val="24"/>
          <w:szCs w:val="24"/>
        </w:rPr>
        <w:t xml:space="preserve"> years </w:t>
      </w:r>
      <w:r w:rsidR="008B7A10">
        <w:rPr>
          <w:sz w:val="24"/>
          <w:szCs w:val="24"/>
        </w:rPr>
        <w:t>through 2018</w:t>
      </w:r>
      <w:r w:rsidR="002239A8">
        <w:rPr>
          <w:sz w:val="24"/>
          <w:szCs w:val="24"/>
        </w:rPr>
        <w:t xml:space="preserve"> and froze tuition again for the 2021-2022 academic year</w:t>
      </w:r>
      <w:r w:rsidR="008B7A10">
        <w:rPr>
          <w:sz w:val="24"/>
          <w:szCs w:val="24"/>
        </w:rPr>
        <w:t xml:space="preserve">. At the same time, </w:t>
      </w:r>
      <w:r w:rsidRPr="0061483E">
        <w:rPr>
          <w:sz w:val="24"/>
          <w:szCs w:val="24"/>
        </w:rPr>
        <w:t>financial aid</w:t>
      </w:r>
      <w:r w:rsidR="008B7A10">
        <w:rPr>
          <w:sz w:val="24"/>
          <w:szCs w:val="24"/>
        </w:rPr>
        <w:t xml:space="preserve"> availability was expanded</w:t>
      </w:r>
      <w:r w:rsidRPr="0061483E">
        <w:rPr>
          <w:sz w:val="24"/>
          <w:szCs w:val="24"/>
        </w:rPr>
        <w:t xml:space="preserve"> during the same </w:t>
      </w:r>
      <w:proofErr w:type="gramStart"/>
      <w:r w:rsidRPr="0061483E">
        <w:rPr>
          <w:sz w:val="24"/>
          <w:szCs w:val="24"/>
        </w:rPr>
        <w:t>time period</w:t>
      </w:r>
      <w:proofErr w:type="gramEnd"/>
      <w:r w:rsidRPr="0061483E">
        <w:rPr>
          <w:sz w:val="24"/>
          <w:szCs w:val="24"/>
        </w:rPr>
        <w:t xml:space="preserve">. </w:t>
      </w:r>
      <w:r w:rsidR="0067102D">
        <w:rPr>
          <w:sz w:val="24"/>
          <w:szCs w:val="24"/>
        </w:rPr>
        <w:t xml:space="preserve">Although tuition </w:t>
      </w:r>
      <w:r w:rsidR="00204F0A">
        <w:rPr>
          <w:sz w:val="24"/>
          <w:szCs w:val="24"/>
        </w:rPr>
        <w:t>increased</w:t>
      </w:r>
      <w:r w:rsidR="0067102D">
        <w:rPr>
          <w:sz w:val="24"/>
          <w:szCs w:val="24"/>
        </w:rPr>
        <w:t xml:space="preserve"> slightly this year, financial aid will increase as well. </w:t>
      </w:r>
      <w:r w:rsidRPr="0061483E">
        <w:rPr>
          <w:sz w:val="24"/>
          <w:szCs w:val="24"/>
        </w:rPr>
        <w:t>Major scholarship funding for adu</w:t>
      </w:r>
      <w:r w:rsidR="00F32CBE">
        <w:rPr>
          <w:sz w:val="24"/>
          <w:szCs w:val="24"/>
        </w:rPr>
        <w:t>lts returning to</w:t>
      </w:r>
      <w:r w:rsidR="00F71382">
        <w:rPr>
          <w:sz w:val="24"/>
          <w:szCs w:val="24"/>
        </w:rPr>
        <w:t xml:space="preserve"> college is avail</w:t>
      </w:r>
      <w:r w:rsidR="003428BE">
        <w:rPr>
          <w:sz w:val="24"/>
          <w:szCs w:val="24"/>
        </w:rPr>
        <w:t>a</w:t>
      </w:r>
      <w:r w:rsidR="002239A8">
        <w:rPr>
          <w:sz w:val="24"/>
          <w:szCs w:val="24"/>
        </w:rPr>
        <w:t>ble and we added</w:t>
      </w:r>
      <w:r w:rsidR="005C6273">
        <w:rPr>
          <w:sz w:val="24"/>
          <w:szCs w:val="24"/>
        </w:rPr>
        <w:t xml:space="preserve"> a second scholarship for adults who have never attended college (“Opening Doors” scholarship). </w:t>
      </w:r>
      <w:r w:rsidR="009B6C90">
        <w:rPr>
          <w:sz w:val="24"/>
          <w:szCs w:val="24"/>
        </w:rPr>
        <w:t>Four</w:t>
      </w:r>
      <w:r w:rsidR="0067102D">
        <w:rPr>
          <w:sz w:val="24"/>
          <w:szCs w:val="24"/>
        </w:rPr>
        <w:t xml:space="preserve"> of our campuses (UMA, UMFK</w:t>
      </w:r>
      <w:r w:rsidR="009B6C90">
        <w:rPr>
          <w:sz w:val="24"/>
          <w:szCs w:val="24"/>
        </w:rPr>
        <w:t>, UMM</w:t>
      </w:r>
      <w:r w:rsidR="0067102D">
        <w:rPr>
          <w:sz w:val="24"/>
          <w:szCs w:val="24"/>
        </w:rPr>
        <w:t xml:space="preserve"> and UMPI) are offering zero-tuition programs for Pell recipients (UMA is also exten</w:t>
      </w:r>
      <w:r w:rsidR="002239A8">
        <w:rPr>
          <w:sz w:val="24"/>
          <w:szCs w:val="24"/>
        </w:rPr>
        <w:t>ding this to transfer students). A</w:t>
      </w:r>
      <w:r w:rsidR="00FF0781">
        <w:rPr>
          <w:sz w:val="24"/>
          <w:szCs w:val="24"/>
        </w:rPr>
        <w:t xml:space="preserve">s a part of our Adult Degree Completion work, we </w:t>
      </w:r>
      <w:r w:rsidR="002239A8">
        <w:rPr>
          <w:sz w:val="24"/>
          <w:szCs w:val="24"/>
        </w:rPr>
        <w:t>implemented a small debt forgiven</w:t>
      </w:r>
      <w:r w:rsidR="00075B5A">
        <w:rPr>
          <w:sz w:val="24"/>
          <w:szCs w:val="24"/>
        </w:rPr>
        <w:t>e</w:t>
      </w:r>
      <w:r w:rsidR="002239A8">
        <w:rPr>
          <w:sz w:val="24"/>
          <w:szCs w:val="24"/>
        </w:rPr>
        <w:t xml:space="preserve">ss program </w:t>
      </w:r>
      <w:r w:rsidR="005C6273">
        <w:rPr>
          <w:sz w:val="24"/>
          <w:szCs w:val="24"/>
        </w:rPr>
        <w:t>across the System during the Spring 2021 semester</w:t>
      </w:r>
      <w:r w:rsidR="00FF0781">
        <w:rPr>
          <w:sz w:val="24"/>
          <w:szCs w:val="24"/>
        </w:rPr>
        <w:t xml:space="preserve">. </w:t>
      </w:r>
      <w:r w:rsidR="00204F0A">
        <w:rPr>
          <w:sz w:val="24"/>
          <w:szCs w:val="24"/>
        </w:rPr>
        <w:t>As mentioned pr</w:t>
      </w:r>
      <w:r w:rsidR="002239A8">
        <w:rPr>
          <w:sz w:val="24"/>
          <w:szCs w:val="24"/>
        </w:rPr>
        <w:t xml:space="preserve">eviously, several campuses </w:t>
      </w:r>
      <w:r w:rsidR="00204F0A">
        <w:rPr>
          <w:sz w:val="24"/>
          <w:szCs w:val="24"/>
        </w:rPr>
        <w:t>launched fund raising campaigns to add scholarship and emergency funding for students during the pandemic</w:t>
      </w:r>
      <w:r w:rsidR="00256018">
        <w:rPr>
          <w:sz w:val="24"/>
          <w:szCs w:val="24"/>
        </w:rPr>
        <w:t>, and all campuses provided emer</w:t>
      </w:r>
      <w:r w:rsidR="00F6043C">
        <w:rPr>
          <w:sz w:val="24"/>
          <w:szCs w:val="24"/>
        </w:rPr>
        <w:t>gency grants to support student</w:t>
      </w:r>
      <w:r w:rsidR="00256018">
        <w:rPr>
          <w:sz w:val="24"/>
          <w:szCs w:val="24"/>
        </w:rPr>
        <w:t xml:space="preserve"> needs</w:t>
      </w:r>
      <w:r w:rsidR="00204F0A">
        <w:rPr>
          <w:sz w:val="24"/>
          <w:szCs w:val="24"/>
        </w:rPr>
        <w:t xml:space="preserve">. </w:t>
      </w:r>
      <w:r w:rsidR="00EF3EE2">
        <w:rPr>
          <w:sz w:val="24"/>
          <w:szCs w:val="24"/>
        </w:rPr>
        <w:t xml:space="preserve">UM </w:t>
      </w:r>
      <w:r w:rsidR="00204F0A">
        <w:rPr>
          <w:sz w:val="24"/>
          <w:szCs w:val="24"/>
        </w:rPr>
        <w:t xml:space="preserve">has </w:t>
      </w:r>
      <w:r w:rsidR="00EF3EE2">
        <w:rPr>
          <w:sz w:val="24"/>
          <w:szCs w:val="24"/>
        </w:rPr>
        <w:t>implement</w:t>
      </w:r>
      <w:r w:rsidR="00204F0A">
        <w:rPr>
          <w:sz w:val="24"/>
          <w:szCs w:val="24"/>
        </w:rPr>
        <w:t>ed</w:t>
      </w:r>
      <w:r w:rsidR="00EF3EE2">
        <w:rPr>
          <w:sz w:val="24"/>
          <w:szCs w:val="24"/>
        </w:rPr>
        <w:t xml:space="preserve"> a scholarship management tool which </w:t>
      </w:r>
      <w:r w:rsidR="00EF3EE2">
        <w:rPr>
          <w:sz w:val="24"/>
          <w:szCs w:val="24"/>
        </w:rPr>
        <w:lastRenderedPageBreak/>
        <w:t>would provide students with better knowledge about, and access to, the full range of available scholarships.</w:t>
      </w:r>
    </w:p>
    <w:p w14:paraId="05859CB6" w14:textId="77777777" w:rsidR="00066485" w:rsidRPr="00066485" w:rsidRDefault="00066485" w:rsidP="00066485">
      <w:pPr>
        <w:pStyle w:val="ListParagraph"/>
        <w:rPr>
          <w:rFonts w:cs="Arial"/>
          <w:sz w:val="24"/>
          <w:szCs w:val="24"/>
          <w:shd w:val="clear" w:color="auto" w:fill="FFFFFF"/>
        </w:rPr>
      </w:pPr>
    </w:p>
    <w:p w14:paraId="71D9B028" w14:textId="26A0E3C8" w:rsidR="00AC7A39" w:rsidRDefault="00AD0110" w:rsidP="00066485">
      <w:pPr>
        <w:pStyle w:val="ListParagraph"/>
        <w:spacing w:after="0"/>
        <w:rPr>
          <w:rFonts w:cs="Arial"/>
          <w:sz w:val="24"/>
          <w:szCs w:val="24"/>
          <w:shd w:val="clear" w:color="auto" w:fill="FFFFFF"/>
        </w:rPr>
      </w:pPr>
      <w:r>
        <w:rPr>
          <w:rFonts w:cs="Arial"/>
          <w:sz w:val="24"/>
          <w:szCs w:val="24"/>
          <w:shd w:val="clear" w:color="auto" w:fill="FFFFFF"/>
        </w:rPr>
        <w:t xml:space="preserve">In 2017, </w:t>
      </w:r>
      <w:r w:rsidR="00066485" w:rsidRPr="00066485">
        <w:rPr>
          <w:rFonts w:cs="Arial"/>
          <w:sz w:val="24"/>
          <w:szCs w:val="24"/>
          <w:shd w:val="clear" w:color="auto" w:fill="FFFFFF"/>
        </w:rPr>
        <w:t xml:space="preserve">USM </w:t>
      </w:r>
      <w:r>
        <w:rPr>
          <w:rFonts w:cs="Arial"/>
          <w:sz w:val="24"/>
          <w:szCs w:val="24"/>
          <w:shd w:val="clear" w:color="auto" w:fill="FFFFFF"/>
        </w:rPr>
        <w:t>introduced the Promise Scholarship program.</w:t>
      </w:r>
      <w:r w:rsidR="003428BE">
        <w:rPr>
          <w:rFonts w:cs="Arial"/>
          <w:sz w:val="24"/>
          <w:szCs w:val="24"/>
          <w:shd w:val="clear" w:color="auto" w:fill="FFFFFF"/>
        </w:rPr>
        <w:t xml:space="preserve"> </w:t>
      </w:r>
      <w:r w:rsidR="00066485" w:rsidRPr="00066485">
        <w:rPr>
          <w:rFonts w:cs="Arial"/>
          <w:sz w:val="24"/>
          <w:szCs w:val="24"/>
          <w:shd w:val="clear" w:color="auto" w:fill="FFFFFF"/>
        </w:rPr>
        <w:t xml:space="preserve">The Promise Scholarship is designed to help disadvantaged young achievers from Maine overcome financial, academic, social, and cultural barriers, remain in school, and graduate in four years with little or no debt — prepared to make their own contributions to Maine’s social and economic well-being.   Preference is given to first generation students who have demonstrated financial need.  </w:t>
      </w:r>
      <w:r w:rsidR="00B702E9">
        <w:rPr>
          <w:rFonts w:cs="Arial"/>
          <w:sz w:val="24"/>
          <w:szCs w:val="24"/>
          <w:shd w:val="clear" w:color="auto" w:fill="FFFFFF"/>
        </w:rPr>
        <w:t>100% of Promise Scholars are currently first generation, 65% of them receive Pell grants</w:t>
      </w:r>
      <w:r>
        <w:rPr>
          <w:rFonts w:cs="Arial"/>
          <w:sz w:val="24"/>
          <w:szCs w:val="24"/>
          <w:shd w:val="clear" w:color="auto" w:fill="FFFFFF"/>
        </w:rPr>
        <w:t xml:space="preserve"> and 100% could not afford college without scholarships. </w:t>
      </w:r>
      <w:r w:rsidR="001034C3">
        <w:rPr>
          <w:rFonts w:cs="Arial"/>
          <w:sz w:val="24"/>
          <w:szCs w:val="24"/>
          <w:shd w:val="clear" w:color="auto" w:fill="FFFFFF"/>
        </w:rPr>
        <w:t>Now in its fourth year, the program has provided a total of 83 scholarships.</w:t>
      </w:r>
      <w:r w:rsidR="00075B5A">
        <w:rPr>
          <w:rFonts w:cs="Arial"/>
          <w:sz w:val="24"/>
          <w:szCs w:val="24"/>
          <w:shd w:val="clear" w:color="auto" w:fill="FFFFFF"/>
        </w:rPr>
        <w:t xml:space="preserve"> </w:t>
      </w:r>
      <w:r w:rsidR="00066485">
        <w:rPr>
          <w:rFonts w:cs="Arial"/>
          <w:sz w:val="24"/>
          <w:szCs w:val="24"/>
          <w:shd w:val="clear" w:color="auto" w:fill="FFFFFF"/>
        </w:rPr>
        <w:t xml:space="preserve">Additionally, </w:t>
      </w:r>
      <w:r w:rsidR="00066485" w:rsidRPr="00066485">
        <w:rPr>
          <w:rFonts w:cs="Arial"/>
          <w:sz w:val="24"/>
          <w:szCs w:val="24"/>
          <w:shd w:val="clear" w:color="auto" w:fill="FFFFFF"/>
        </w:rPr>
        <w:t>USM has reduced the indebtedness of gra</w:t>
      </w:r>
      <w:r w:rsidR="00075B5A">
        <w:rPr>
          <w:rFonts w:cs="Arial"/>
          <w:sz w:val="24"/>
          <w:szCs w:val="24"/>
          <w:shd w:val="clear" w:color="auto" w:fill="FFFFFF"/>
        </w:rPr>
        <w:t>duates for over the last four years</w:t>
      </w:r>
      <w:r w:rsidR="00066485" w:rsidRPr="00066485">
        <w:rPr>
          <w:rFonts w:cs="Arial"/>
          <w:sz w:val="24"/>
          <w:szCs w:val="24"/>
          <w:shd w:val="clear" w:color="auto" w:fill="FFFFFF"/>
        </w:rPr>
        <w:t xml:space="preserve">.  The new financial aid strategies are helping students progress towards their goal of graduation.  Also, more students are going full-time and taking out fewer loans.  </w:t>
      </w:r>
    </w:p>
    <w:p w14:paraId="56172047" w14:textId="7CFD50D3" w:rsidR="0015692E" w:rsidRDefault="0015692E" w:rsidP="00C86071">
      <w:pPr>
        <w:spacing w:after="0"/>
        <w:rPr>
          <w:sz w:val="24"/>
          <w:szCs w:val="24"/>
        </w:rPr>
      </w:pPr>
    </w:p>
    <w:p w14:paraId="1D12B108" w14:textId="2AF6B35E" w:rsidR="0015692E" w:rsidRPr="00C86071" w:rsidRDefault="0015692E" w:rsidP="00C86071">
      <w:pPr>
        <w:pStyle w:val="ListParagraph"/>
        <w:numPr>
          <w:ilvl w:val="0"/>
          <w:numId w:val="3"/>
        </w:numPr>
        <w:spacing w:after="0"/>
        <w:rPr>
          <w:sz w:val="24"/>
          <w:szCs w:val="24"/>
        </w:rPr>
      </w:pPr>
      <w:r>
        <w:rPr>
          <w:i/>
          <w:sz w:val="24"/>
          <w:szCs w:val="24"/>
        </w:rPr>
        <w:t xml:space="preserve">“Make the Grade” Program </w:t>
      </w:r>
      <w:r>
        <w:rPr>
          <w:sz w:val="24"/>
          <w:szCs w:val="24"/>
        </w:rPr>
        <w:t>– thi</w:t>
      </w:r>
      <w:r w:rsidR="00C218AF">
        <w:rPr>
          <w:sz w:val="24"/>
          <w:szCs w:val="24"/>
        </w:rPr>
        <w:t xml:space="preserve">s program was introduced </w:t>
      </w:r>
      <w:r>
        <w:rPr>
          <w:sz w:val="24"/>
          <w:szCs w:val="24"/>
        </w:rPr>
        <w:t>early in Spring 2020; it enables students who failed a course in the fall semester to retake the course at no cost</w:t>
      </w:r>
      <w:r w:rsidR="001456BD">
        <w:rPr>
          <w:sz w:val="24"/>
          <w:szCs w:val="24"/>
        </w:rPr>
        <w:t xml:space="preserve">. Studies show that students who fail courses in their first semester frequently stop out or stop attending entirely. This program has served as a valuable retention tool for first year students, and </w:t>
      </w:r>
      <w:proofErr w:type="gramStart"/>
      <w:r w:rsidR="001456BD">
        <w:rPr>
          <w:sz w:val="24"/>
          <w:szCs w:val="24"/>
        </w:rPr>
        <w:t>first generation</w:t>
      </w:r>
      <w:proofErr w:type="gramEnd"/>
      <w:r w:rsidR="001456BD">
        <w:rPr>
          <w:sz w:val="24"/>
          <w:szCs w:val="24"/>
        </w:rPr>
        <w:t xml:space="preserve"> students specifically, and </w:t>
      </w:r>
      <w:r w:rsidR="009E4650">
        <w:rPr>
          <w:sz w:val="24"/>
          <w:szCs w:val="24"/>
        </w:rPr>
        <w:t>is still available across multiple campuses.</w:t>
      </w:r>
    </w:p>
    <w:p w14:paraId="4747D7A8" w14:textId="77777777" w:rsidR="00F45588" w:rsidRPr="00F45588" w:rsidRDefault="00F45588" w:rsidP="00F45588">
      <w:pPr>
        <w:pStyle w:val="ListParagraph"/>
        <w:rPr>
          <w:sz w:val="24"/>
          <w:szCs w:val="24"/>
        </w:rPr>
      </w:pPr>
    </w:p>
    <w:p w14:paraId="2A291BE1" w14:textId="5B06FE84" w:rsidR="000E3328" w:rsidRDefault="000E3328" w:rsidP="00536CF2">
      <w:pPr>
        <w:pStyle w:val="ListParagraph"/>
        <w:numPr>
          <w:ilvl w:val="0"/>
          <w:numId w:val="3"/>
        </w:numPr>
        <w:spacing w:after="0"/>
        <w:rPr>
          <w:sz w:val="24"/>
          <w:szCs w:val="24"/>
        </w:rPr>
      </w:pPr>
      <w:proofErr w:type="spellStart"/>
      <w:r>
        <w:rPr>
          <w:i/>
          <w:sz w:val="24"/>
          <w:szCs w:val="24"/>
        </w:rPr>
        <w:t>Ombuds</w:t>
      </w:r>
      <w:proofErr w:type="spellEnd"/>
      <w:r>
        <w:rPr>
          <w:i/>
          <w:sz w:val="24"/>
          <w:szCs w:val="24"/>
        </w:rPr>
        <w:t xml:space="preserve"> Services </w:t>
      </w:r>
      <w:r>
        <w:rPr>
          <w:sz w:val="24"/>
          <w:szCs w:val="24"/>
        </w:rPr>
        <w:t xml:space="preserve">– Some campuses have an </w:t>
      </w:r>
      <w:proofErr w:type="spellStart"/>
      <w:r>
        <w:rPr>
          <w:sz w:val="24"/>
          <w:szCs w:val="24"/>
        </w:rPr>
        <w:t>Ombuds</w:t>
      </w:r>
      <w:proofErr w:type="spellEnd"/>
      <w:r>
        <w:rPr>
          <w:sz w:val="24"/>
          <w:szCs w:val="24"/>
        </w:rPr>
        <w:t xml:space="preserve"> Program</w:t>
      </w:r>
      <w:r w:rsidR="00F45588">
        <w:rPr>
          <w:sz w:val="24"/>
          <w:szCs w:val="24"/>
        </w:rPr>
        <w:t xml:space="preserve"> or “navigators” which help</w:t>
      </w:r>
      <w:r>
        <w:rPr>
          <w:sz w:val="24"/>
          <w:szCs w:val="24"/>
        </w:rPr>
        <w:t xml:space="preserve"> students navigate the bureaucracy of campus, eliminate red </w:t>
      </w:r>
      <w:proofErr w:type="gramStart"/>
      <w:r>
        <w:rPr>
          <w:sz w:val="24"/>
          <w:szCs w:val="24"/>
        </w:rPr>
        <w:t>tape</w:t>
      </w:r>
      <w:proofErr w:type="gramEnd"/>
      <w:r>
        <w:rPr>
          <w:sz w:val="24"/>
          <w:szCs w:val="24"/>
        </w:rPr>
        <w:t xml:space="preserve"> and help students connect to the right people.</w:t>
      </w:r>
      <w:r w:rsidR="009B6C90">
        <w:rPr>
          <w:sz w:val="24"/>
          <w:szCs w:val="24"/>
        </w:rPr>
        <w:t xml:space="preserve"> We also have designated “navigators” for our adult </w:t>
      </w:r>
      <w:proofErr w:type="gramStart"/>
      <w:r w:rsidR="009B6C90">
        <w:rPr>
          <w:sz w:val="24"/>
          <w:szCs w:val="24"/>
        </w:rPr>
        <w:t>population</w:t>
      </w:r>
      <w:r w:rsidR="009E4650">
        <w:rPr>
          <w:sz w:val="24"/>
          <w:szCs w:val="24"/>
        </w:rPr>
        <w:t>, and</w:t>
      </w:r>
      <w:proofErr w:type="gramEnd"/>
      <w:r w:rsidR="009E4650">
        <w:rPr>
          <w:sz w:val="24"/>
          <w:szCs w:val="24"/>
        </w:rPr>
        <w:t xml:space="preserve"> have hired</w:t>
      </w:r>
      <w:r w:rsidR="005C6273">
        <w:rPr>
          <w:sz w:val="24"/>
          <w:szCs w:val="24"/>
        </w:rPr>
        <w:t xml:space="preserve"> student success coaches to further serve and support this population</w:t>
      </w:r>
      <w:r w:rsidR="009B6C90">
        <w:rPr>
          <w:sz w:val="24"/>
          <w:szCs w:val="24"/>
        </w:rPr>
        <w:t>.</w:t>
      </w:r>
    </w:p>
    <w:p w14:paraId="061F4409" w14:textId="77777777" w:rsidR="004C3BEF" w:rsidRPr="0061483E" w:rsidRDefault="004C3BEF" w:rsidP="004C3BEF">
      <w:pPr>
        <w:pStyle w:val="ListParagraph"/>
        <w:spacing w:after="0"/>
        <w:rPr>
          <w:sz w:val="24"/>
          <w:szCs w:val="24"/>
        </w:rPr>
      </w:pPr>
    </w:p>
    <w:p w14:paraId="7881B0B5" w14:textId="77777777" w:rsidR="00F45588" w:rsidRDefault="00D12A7D" w:rsidP="001C721D">
      <w:pPr>
        <w:spacing w:after="0"/>
        <w:rPr>
          <w:b/>
          <w:i/>
          <w:sz w:val="24"/>
          <w:szCs w:val="24"/>
        </w:rPr>
      </w:pPr>
      <w:r w:rsidRPr="0061483E">
        <w:rPr>
          <w:sz w:val="24"/>
          <w:szCs w:val="24"/>
        </w:rPr>
        <w:t xml:space="preserve">These are just some of the many services and supports in place for students as they progress toward their higher education goal. Hundreds of organizations, activities, events, </w:t>
      </w:r>
      <w:proofErr w:type="gramStart"/>
      <w:r w:rsidRPr="0061483E">
        <w:rPr>
          <w:sz w:val="24"/>
          <w:szCs w:val="24"/>
        </w:rPr>
        <w:t>workshops</w:t>
      </w:r>
      <w:proofErr w:type="gramEnd"/>
      <w:r w:rsidRPr="0061483E">
        <w:rPr>
          <w:sz w:val="24"/>
          <w:szCs w:val="24"/>
        </w:rPr>
        <w:t xml:space="preserve"> and many additional opportunities for connections to faculty, staff and students on each campus create a rich menu for every student, and most especially for first-generation students who many times need the help of the larger university community to ultimately be successful.</w:t>
      </w:r>
    </w:p>
    <w:p w14:paraId="22650CBD" w14:textId="77777777" w:rsidR="00F45588" w:rsidRDefault="00F45588" w:rsidP="001C721D">
      <w:pPr>
        <w:spacing w:after="0"/>
        <w:rPr>
          <w:b/>
          <w:i/>
          <w:sz w:val="24"/>
          <w:szCs w:val="24"/>
        </w:rPr>
      </w:pPr>
    </w:p>
    <w:p w14:paraId="19A6613D" w14:textId="77777777" w:rsidR="004E6669" w:rsidRPr="0061483E" w:rsidRDefault="004E6669" w:rsidP="00B772DF">
      <w:pPr>
        <w:pStyle w:val="Heading3"/>
      </w:pPr>
      <w:r w:rsidRPr="0061483E">
        <w:t>Grant Programs which serve First-Generation Students</w:t>
      </w:r>
    </w:p>
    <w:p w14:paraId="1EED2BF1" w14:textId="77777777" w:rsidR="001C721D" w:rsidRPr="0061483E" w:rsidRDefault="001C721D" w:rsidP="001C721D">
      <w:pPr>
        <w:spacing w:after="0"/>
        <w:rPr>
          <w:sz w:val="24"/>
          <w:szCs w:val="24"/>
        </w:rPr>
      </w:pPr>
    </w:p>
    <w:p w14:paraId="0BBB7AAB" w14:textId="77777777" w:rsidR="00D51D0C" w:rsidRPr="00D51D0C" w:rsidRDefault="00D12A7D" w:rsidP="00D51D0C">
      <w:pPr>
        <w:shd w:val="clear" w:color="auto" w:fill="FFFFFF"/>
        <w:rPr>
          <w:rFonts w:ascii="Calibri" w:eastAsia="Times New Roman" w:hAnsi="Calibri" w:cs="Arial"/>
          <w:color w:val="222222"/>
          <w:sz w:val="24"/>
          <w:szCs w:val="24"/>
        </w:rPr>
      </w:pPr>
      <w:r w:rsidRPr="0061483E">
        <w:rPr>
          <w:sz w:val="24"/>
          <w:szCs w:val="24"/>
        </w:rPr>
        <w:t>In addition to our current population which has significant numbers of first-generation students, s</w:t>
      </w:r>
      <w:r w:rsidR="001C721D" w:rsidRPr="0061483E">
        <w:rPr>
          <w:sz w:val="24"/>
          <w:szCs w:val="24"/>
        </w:rPr>
        <w:t>ix of seven universities of the University of Maine S</w:t>
      </w:r>
      <w:r w:rsidR="00970943" w:rsidRPr="0061483E">
        <w:rPr>
          <w:sz w:val="24"/>
          <w:szCs w:val="24"/>
        </w:rPr>
        <w:t>ystem have federally funded TRIO</w:t>
      </w:r>
      <w:r w:rsidR="001C721D" w:rsidRPr="0061483E">
        <w:rPr>
          <w:sz w:val="24"/>
          <w:szCs w:val="24"/>
        </w:rPr>
        <w:t xml:space="preserve"> </w:t>
      </w:r>
      <w:r w:rsidR="001C721D" w:rsidRPr="0061483E">
        <w:rPr>
          <w:sz w:val="24"/>
          <w:szCs w:val="24"/>
        </w:rPr>
        <w:lastRenderedPageBreak/>
        <w:t>programs which serve, as a part of their mission, first-generation college students. The primary purpose of TRIO programs is to prepare underserved populations for entry into, persistenc</w:t>
      </w:r>
      <w:r w:rsidR="007F1890" w:rsidRPr="0061483E">
        <w:rPr>
          <w:sz w:val="24"/>
          <w:szCs w:val="24"/>
        </w:rPr>
        <w:t>e within and completion of post</w:t>
      </w:r>
      <w:r w:rsidR="001C721D" w:rsidRPr="0061483E">
        <w:rPr>
          <w:sz w:val="24"/>
          <w:szCs w:val="24"/>
        </w:rPr>
        <w:t xml:space="preserve">secondary education. </w:t>
      </w:r>
      <w:r w:rsidR="00D51D0C" w:rsidRPr="00D51D0C">
        <w:rPr>
          <w:rFonts w:ascii="Calibri" w:eastAsia="Times New Roman" w:hAnsi="Calibri" w:cs="Arial"/>
          <w:color w:val="000000"/>
          <w:sz w:val="24"/>
          <w:szCs w:val="24"/>
        </w:rPr>
        <w:t>Federal TRIO Programs help students overcome class, social, academic, and cultural barriers to higher education</w:t>
      </w:r>
      <w:r w:rsidR="00D51D0C">
        <w:rPr>
          <w:rFonts w:ascii="Calibri" w:eastAsia="Times New Roman" w:hAnsi="Calibri" w:cs="Arial"/>
          <w:color w:val="000000"/>
          <w:sz w:val="24"/>
          <w:szCs w:val="24"/>
        </w:rPr>
        <w:t xml:space="preserve"> and help increase their chance for academic success</w:t>
      </w:r>
      <w:r w:rsidR="00D51D0C" w:rsidRPr="00D51D0C">
        <w:rPr>
          <w:rFonts w:ascii="Calibri" w:eastAsia="Times New Roman" w:hAnsi="Calibri" w:cs="Arial"/>
          <w:color w:val="000000"/>
          <w:sz w:val="24"/>
          <w:szCs w:val="24"/>
        </w:rPr>
        <w:t>. TRIO services include — assistance in choosing a college; tutoring; personal and financial counseling; career counseling; assistance in applying to college; workplace and college visits; special instruction in reading, writing, study skills, and mathematics; assistance in applying for financial aid; and academic assistance in high school or assistance to reenter high school or college.</w:t>
      </w:r>
      <w:r w:rsidR="00D51D0C" w:rsidRPr="00D51D0C">
        <w:rPr>
          <w:rFonts w:ascii="Calibri" w:eastAsia="Times New Roman" w:hAnsi="Calibri" w:cs="Arial"/>
          <w:color w:val="222222"/>
          <w:sz w:val="24"/>
          <w:szCs w:val="24"/>
        </w:rPr>
        <w:t>  </w:t>
      </w:r>
    </w:p>
    <w:p w14:paraId="325DBBDA" w14:textId="77777777" w:rsidR="00D12A7D" w:rsidRPr="0061483E" w:rsidRDefault="004E6669" w:rsidP="001C721D">
      <w:pPr>
        <w:spacing w:after="0"/>
        <w:rPr>
          <w:sz w:val="24"/>
          <w:szCs w:val="24"/>
        </w:rPr>
      </w:pPr>
      <w:r w:rsidRPr="0061483E">
        <w:rPr>
          <w:sz w:val="24"/>
          <w:szCs w:val="24"/>
        </w:rPr>
        <w:t>T</w:t>
      </w:r>
      <w:r w:rsidR="00EC35AF" w:rsidRPr="0061483E">
        <w:rPr>
          <w:sz w:val="24"/>
          <w:szCs w:val="24"/>
        </w:rPr>
        <w:t>he range of TRIO programs is geared toward smooth transitions along t</w:t>
      </w:r>
      <w:r w:rsidRPr="0061483E">
        <w:rPr>
          <w:sz w:val="24"/>
          <w:szCs w:val="24"/>
        </w:rPr>
        <w:t xml:space="preserve">he path toward higher education:  </w:t>
      </w:r>
    </w:p>
    <w:p w14:paraId="50FC69D8" w14:textId="77777777" w:rsidR="00D12A7D" w:rsidRPr="0061483E" w:rsidRDefault="004E6669" w:rsidP="00D12A7D">
      <w:pPr>
        <w:pStyle w:val="ListParagraph"/>
        <w:numPr>
          <w:ilvl w:val="0"/>
          <w:numId w:val="4"/>
        </w:numPr>
        <w:spacing w:after="0"/>
        <w:rPr>
          <w:sz w:val="24"/>
          <w:szCs w:val="24"/>
        </w:rPr>
      </w:pPr>
      <w:r w:rsidRPr="0061483E">
        <w:rPr>
          <w:sz w:val="24"/>
          <w:szCs w:val="24"/>
        </w:rPr>
        <w:t>Educational Talent Search</w:t>
      </w:r>
      <w:r w:rsidR="00F71382">
        <w:rPr>
          <w:sz w:val="24"/>
          <w:szCs w:val="24"/>
        </w:rPr>
        <w:t xml:space="preserve"> (ETS): serves students </w:t>
      </w:r>
      <w:r w:rsidRPr="0061483E">
        <w:rPr>
          <w:sz w:val="24"/>
          <w:szCs w:val="24"/>
        </w:rPr>
        <w:t xml:space="preserve">between the ages of 11 and 27 who have completed at least five years of elementary education </w:t>
      </w:r>
      <w:r w:rsidR="00F71382">
        <w:rPr>
          <w:sz w:val="24"/>
          <w:szCs w:val="24"/>
        </w:rPr>
        <w:t xml:space="preserve">– UM and UMPI have this </w:t>
      </w:r>
      <w:proofErr w:type="gramStart"/>
      <w:r w:rsidR="00F71382">
        <w:rPr>
          <w:sz w:val="24"/>
          <w:szCs w:val="24"/>
        </w:rPr>
        <w:t>program</w:t>
      </w:r>
      <w:r w:rsidRPr="0061483E">
        <w:rPr>
          <w:sz w:val="24"/>
          <w:szCs w:val="24"/>
        </w:rPr>
        <w:t>;</w:t>
      </w:r>
      <w:proofErr w:type="gramEnd"/>
      <w:r w:rsidRPr="0061483E">
        <w:rPr>
          <w:sz w:val="24"/>
          <w:szCs w:val="24"/>
        </w:rPr>
        <w:t xml:space="preserve"> </w:t>
      </w:r>
    </w:p>
    <w:p w14:paraId="7E756087" w14:textId="03FD79E9" w:rsidR="00D12A7D" w:rsidRDefault="004E6669" w:rsidP="00D12A7D">
      <w:pPr>
        <w:pStyle w:val="ListParagraph"/>
        <w:numPr>
          <w:ilvl w:val="0"/>
          <w:numId w:val="4"/>
        </w:numPr>
        <w:spacing w:after="0"/>
        <w:rPr>
          <w:sz w:val="24"/>
          <w:szCs w:val="24"/>
        </w:rPr>
      </w:pPr>
      <w:r w:rsidRPr="0061483E">
        <w:rPr>
          <w:sz w:val="24"/>
          <w:szCs w:val="24"/>
        </w:rPr>
        <w:t>Upward Bound</w:t>
      </w:r>
      <w:r w:rsidR="00F71382">
        <w:rPr>
          <w:sz w:val="24"/>
          <w:szCs w:val="24"/>
        </w:rPr>
        <w:t xml:space="preserve"> (UB): serves students </w:t>
      </w:r>
      <w:r w:rsidRPr="0061483E">
        <w:rPr>
          <w:sz w:val="24"/>
          <w:szCs w:val="24"/>
        </w:rPr>
        <w:t>between the ages of 13 and 19 who have completed 8</w:t>
      </w:r>
      <w:r w:rsidRPr="0061483E">
        <w:rPr>
          <w:sz w:val="24"/>
          <w:szCs w:val="24"/>
          <w:vertAlign w:val="superscript"/>
        </w:rPr>
        <w:t>th</w:t>
      </w:r>
      <w:r w:rsidRPr="0061483E">
        <w:rPr>
          <w:sz w:val="24"/>
          <w:szCs w:val="24"/>
        </w:rPr>
        <w:t xml:space="preserve"> grade and are planning to go to college – UMF, UMP</w:t>
      </w:r>
      <w:r w:rsidR="00036A54">
        <w:rPr>
          <w:sz w:val="24"/>
          <w:szCs w:val="24"/>
        </w:rPr>
        <w:t>I and USM have these programs</w:t>
      </w:r>
      <w:r w:rsidR="00A76E57">
        <w:rPr>
          <w:sz w:val="24"/>
          <w:szCs w:val="24"/>
        </w:rPr>
        <w:t xml:space="preserve"> (USM also has an Upward Bound program specific </w:t>
      </w:r>
      <w:r w:rsidR="00BD5AF7">
        <w:rPr>
          <w:sz w:val="24"/>
          <w:szCs w:val="24"/>
        </w:rPr>
        <w:t xml:space="preserve">to Bonney Eagle, Massabesic, </w:t>
      </w:r>
      <w:proofErr w:type="spellStart"/>
      <w:r w:rsidR="00A76E57">
        <w:rPr>
          <w:sz w:val="24"/>
          <w:szCs w:val="24"/>
        </w:rPr>
        <w:t>Sacopee</w:t>
      </w:r>
      <w:proofErr w:type="spellEnd"/>
      <w:r w:rsidR="00A76E57">
        <w:rPr>
          <w:sz w:val="24"/>
          <w:szCs w:val="24"/>
        </w:rPr>
        <w:t xml:space="preserve"> Valley</w:t>
      </w:r>
      <w:r w:rsidR="00BD5AF7">
        <w:rPr>
          <w:sz w:val="24"/>
          <w:szCs w:val="24"/>
        </w:rPr>
        <w:t xml:space="preserve"> and Westbrook</w:t>
      </w:r>
      <w:r w:rsidR="00A76E57">
        <w:rPr>
          <w:sz w:val="24"/>
          <w:szCs w:val="24"/>
        </w:rPr>
        <w:t xml:space="preserve"> high schools</w:t>
      </w:r>
      <w:r w:rsidR="00BD5AF7">
        <w:rPr>
          <w:sz w:val="24"/>
          <w:szCs w:val="24"/>
        </w:rPr>
        <w:t xml:space="preserve"> serving 127 students</w:t>
      </w:r>
      <w:r w:rsidR="00A76E57">
        <w:rPr>
          <w:sz w:val="24"/>
          <w:szCs w:val="24"/>
        </w:rPr>
        <w:t>)</w:t>
      </w:r>
      <w:r w:rsidR="00D51D0C">
        <w:rPr>
          <w:sz w:val="24"/>
          <w:szCs w:val="24"/>
        </w:rPr>
        <w:t>. 455 students at 42 target high sch</w:t>
      </w:r>
      <w:r w:rsidR="00075B5A">
        <w:rPr>
          <w:sz w:val="24"/>
          <w:szCs w:val="24"/>
        </w:rPr>
        <w:t xml:space="preserve">ools are served across the </w:t>
      </w:r>
      <w:proofErr w:type="gramStart"/>
      <w:r w:rsidR="00075B5A">
        <w:rPr>
          <w:sz w:val="24"/>
          <w:szCs w:val="24"/>
        </w:rPr>
        <w:t>state</w:t>
      </w:r>
      <w:r w:rsidRPr="0061483E">
        <w:rPr>
          <w:sz w:val="24"/>
          <w:szCs w:val="24"/>
        </w:rPr>
        <w:t>;</w:t>
      </w:r>
      <w:proofErr w:type="gramEnd"/>
      <w:r w:rsidRPr="0061483E">
        <w:rPr>
          <w:sz w:val="24"/>
          <w:szCs w:val="24"/>
        </w:rPr>
        <w:t xml:space="preserve"> </w:t>
      </w:r>
    </w:p>
    <w:p w14:paraId="78050BCF" w14:textId="1188875A" w:rsidR="00BD5AF7" w:rsidRPr="0061483E" w:rsidRDefault="00BD5AF7" w:rsidP="00D12A7D">
      <w:pPr>
        <w:pStyle w:val="ListParagraph"/>
        <w:numPr>
          <w:ilvl w:val="0"/>
          <w:numId w:val="4"/>
        </w:numPr>
        <w:spacing w:after="0"/>
        <w:rPr>
          <w:sz w:val="24"/>
          <w:szCs w:val="24"/>
        </w:rPr>
      </w:pPr>
      <w:r>
        <w:rPr>
          <w:sz w:val="24"/>
          <w:szCs w:val="24"/>
        </w:rPr>
        <w:t>Veterans Upward Bound: serves veterans statewide who wish to prepare to enter college or return to college after a five-year absence – USM received the first Veterans</w:t>
      </w:r>
      <w:r w:rsidR="00807052">
        <w:rPr>
          <w:sz w:val="24"/>
          <w:szCs w:val="24"/>
        </w:rPr>
        <w:t xml:space="preserve"> UB grant in Fall 2017 and </w:t>
      </w:r>
      <w:r>
        <w:rPr>
          <w:sz w:val="24"/>
          <w:szCs w:val="24"/>
        </w:rPr>
        <w:t>provide</w:t>
      </w:r>
      <w:r w:rsidR="00807052">
        <w:rPr>
          <w:sz w:val="24"/>
          <w:szCs w:val="24"/>
        </w:rPr>
        <w:t>s</w:t>
      </w:r>
      <w:r>
        <w:rPr>
          <w:sz w:val="24"/>
          <w:szCs w:val="24"/>
        </w:rPr>
        <w:t xml:space="preserve"> services to 125 veterans to help them successfully transition from their military experience to their college </w:t>
      </w:r>
      <w:proofErr w:type="gramStart"/>
      <w:r>
        <w:rPr>
          <w:sz w:val="24"/>
          <w:szCs w:val="24"/>
        </w:rPr>
        <w:t>experience;</w:t>
      </w:r>
      <w:proofErr w:type="gramEnd"/>
    </w:p>
    <w:p w14:paraId="74A2EC46" w14:textId="77777777" w:rsidR="00D12A7D" w:rsidRPr="0061483E" w:rsidRDefault="004E6669" w:rsidP="00D12A7D">
      <w:pPr>
        <w:pStyle w:val="ListParagraph"/>
        <w:numPr>
          <w:ilvl w:val="0"/>
          <w:numId w:val="4"/>
        </w:numPr>
        <w:spacing w:after="0"/>
        <w:rPr>
          <w:sz w:val="24"/>
          <w:szCs w:val="24"/>
        </w:rPr>
      </w:pPr>
      <w:r w:rsidRPr="0061483E">
        <w:rPr>
          <w:sz w:val="24"/>
          <w:szCs w:val="24"/>
        </w:rPr>
        <w:t>Upward Bound Math/Science</w:t>
      </w:r>
      <w:r w:rsidR="00F71382">
        <w:rPr>
          <w:sz w:val="24"/>
          <w:szCs w:val="24"/>
        </w:rPr>
        <w:t xml:space="preserve"> (UB-Math/Science): serves the same population</w:t>
      </w:r>
      <w:r w:rsidRPr="0061483E">
        <w:rPr>
          <w:sz w:val="24"/>
          <w:szCs w:val="24"/>
        </w:rPr>
        <w:t xml:space="preserve"> as Upward Bound but have an interest in and aptitude for careers in math and science – U</w:t>
      </w:r>
      <w:r w:rsidR="00F71382">
        <w:rPr>
          <w:sz w:val="24"/>
          <w:szCs w:val="24"/>
        </w:rPr>
        <w:t xml:space="preserve">M has this </w:t>
      </w:r>
      <w:proofErr w:type="gramStart"/>
      <w:r w:rsidR="00F71382">
        <w:rPr>
          <w:sz w:val="24"/>
          <w:szCs w:val="24"/>
        </w:rPr>
        <w:t>program</w:t>
      </w:r>
      <w:r w:rsidRPr="0061483E">
        <w:rPr>
          <w:sz w:val="24"/>
          <w:szCs w:val="24"/>
        </w:rPr>
        <w:t>;</w:t>
      </w:r>
      <w:proofErr w:type="gramEnd"/>
    </w:p>
    <w:p w14:paraId="294F1ECF" w14:textId="59F489BD" w:rsidR="00D12A7D" w:rsidRPr="0061483E" w:rsidRDefault="004E6669" w:rsidP="00D12A7D">
      <w:pPr>
        <w:pStyle w:val="ListParagraph"/>
        <w:numPr>
          <w:ilvl w:val="0"/>
          <w:numId w:val="4"/>
        </w:numPr>
        <w:spacing w:after="0"/>
        <w:rPr>
          <w:sz w:val="24"/>
          <w:szCs w:val="24"/>
        </w:rPr>
      </w:pPr>
      <w:r w:rsidRPr="0061483E">
        <w:rPr>
          <w:sz w:val="24"/>
          <w:szCs w:val="24"/>
        </w:rPr>
        <w:t xml:space="preserve"> Student Support Services</w:t>
      </w:r>
      <w:r w:rsidR="00F71382">
        <w:rPr>
          <w:sz w:val="24"/>
          <w:szCs w:val="24"/>
        </w:rPr>
        <w:t xml:space="preserve"> (SSS): serves </w:t>
      </w:r>
      <w:r w:rsidR="003D7B76">
        <w:rPr>
          <w:sz w:val="24"/>
          <w:szCs w:val="24"/>
        </w:rPr>
        <w:t xml:space="preserve">low-income and </w:t>
      </w:r>
      <w:proofErr w:type="gramStart"/>
      <w:r w:rsidR="003D7B76">
        <w:rPr>
          <w:sz w:val="24"/>
          <w:szCs w:val="24"/>
        </w:rPr>
        <w:t>first generation</w:t>
      </w:r>
      <w:proofErr w:type="gramEnd"/>
      <w:r w:rsidR="003D7B76">
        <w:rPr>
          <w:sz w:val="24"/>
          <w:szCs w:val="24"/>
        </w:rPr>
        <w:t xml:space="preserve"> </w:t>
      </w:r>
      <w:r w:rsidRPr="0061483E">
        <w:rPr>
          <w:sz w:val="24"/>
          <w:szCs w:val="24"/>
        </w:rPr>
        <w:t>students who are enrolled/accepted into a sponsoring postsecondary institution and have an established need for academic assistance – UM, UMA, UMF, UMFK,</w:t>
      </w:r>
      <w:r w:rsidR="00F71382">
        <w:rPr>
          <w:sz w:val="24"/>
          <w:szCs w:val="24"/>
        </w:rPr>
        <w:t xml:space="preserve"> UMPI and USM have this progra</w:t>
      </w:r>
      <w:r w:rsidR="005C6273">
        <w:rPr>
          <w:sz w:val="24"/>
          <w:szCs w:val="24"/>
        </w:rPr>
        <w:t>m</w:t>
      </w:r>
      <w:r w:rsidR="00204F0A">
        <w:rPr>
          <w:sz w:val="24"/>
          <w:szCs w:val="24"/>
        </w:rPr>
        <w:t xml:space="preserve"> (USM has a second SSS grant specific to students majoring in STEM fields)</w:t>
      </w:r>
      <w:r w:rsidR="003A3EC0">
        <w:rPr>
          <w:sz w:val="24"/>
          <w:szCs w:val="24"/>
        </w:rPr>
        <w:t>;</w:t>
      </w:r>
      <w:r w:rsidR="00075B5A">
        <w:rPr>
          <w:sz w:val="24"/>
          <w:szCs w:val="24"/>
        </w:rPr>
        <w:t xml:space="preserve"> </w:t>
      </w:r>
    </w:p>
    <w:p w14:paraId="5B5DBBE5" w14:textId="1540C7A6" w:rsidR="008A47B8" w:rsidRDefault="004E6669" w:rsidP="00D12A7D">
      <w:pPr>
        <w:pStyle w:val="ListParagraph"/>
        <w:numPr>
          <w:ilvl w:val="0"/>
          <w:numId w:val="4"/>
        </w:numPr>
        <w:spacing w:after="0"/>
        <w:rPr>
          <w:sz w:val="24"/>
          <w:szCs w:val="24"/>
        </w:rPr>
      </w:pPr>
      <w:r w:rsidRPr="0061483E">
        <w:rPr>
          <w:sz w:val="24"/>
          <w:szCs w:val="24"/>
        </w:rPr>
        <w:t>Educational Opportunity Center</w:t>
      </w:r>
      <w:r w:rsidR="00F71382">
        <w:rPr>
          <w:sz w:val="24"/>
          <w:szCs w:val="24"/>
        </w:rPr>
        <w:t xml:space="preserve"> (EOC): </w:t>
      </w:r>
      <w:r w:rsidRPr="0061483E">
        <w:rPr>
          <w:sz w:val="24"/>
          <w:szCs w:val="24"/>
        </w:rPr>
        <w:t>serves ages 19 and above who have expressed an interest in pursuing postsecondary options and require project</w:t>
      </w:r>
      <w:r w:rsidR="00F71382">
        <w:rPr>
          <w:sz w:val="24"/>
          <w:szCs w:val="24"/>
        </w:rPr>
        <w:t xml:space="preserve"> services – UM has this program</w:t>
      </w:r>
      <w:r w:rsidRPr="0061483E">
        <w:rPr>
          <w:sz w:val="24"/>
          <w:szCs w:val="24"/>
        </w:rPr>
        <w:t xml:space="preserve">. </w:t>
      </w:r>
    </w:p>
    <w:p w14:paraId="7137D6E9" w14:textId="0E3583C1" w:rsidR="009E4650" w:rsidRPr="0061483E" w:rsidRDefault="009E4650" w:rsidP="00D12A7D">
      <w:pPr>
        <w:pStyle w:val="ListParagraph"/>
        <w:numPr>
          <w:ilvl w:val="0"/>
          <w:numId w:val="4"/>
        </w:numPr>
        <w:spacing w:after="0"/>
        <w:rPr>
          <w:sz w:val="24"/>
          <w:szCs w:val="24"/>
        </w:rPr>
      </w:pPr>
      <w:r>
        <w:rPr>
          <w:sz w:val="24"/>
          <w:szCs w:val="24"/>
        </w:rPr>
        <w:t>Ronald McNair Postbaccalaureate Achievement Program – Two campuses (UM and USM) have submitted applications for this new TRIO</w:t>
      </w:r>
      <w:r w:rsidR="00337022">
        <w:rPr>
          <w:sz w:val="24"/>
          <w:szCs w:val="24"/>
        </w:rPr>
        <w:t xml:space="preserve"> program </w:t>
      </w:r>
      <w:r w:rsidR="00337022" w:rsidRPr="002161B4">
        <w:rPr>
          <w:rFonts w:eastAsia="Times New Roman" w:cstheme="minorHAnsi"/>
          <w:sz w:val="24"/>
          <w:szCs w:val="24"/>
        </w:rPr>
        <w:t>wh</w:t>
      </w:r>
      <w:r w:rsidR="00337022">
        <w:rPr>
          <w:rFonts w:eastAsia="Times New Roman" w:cstheme="minorHAnsi"/>
          <w:sz w:val="24"/>
          <w:szCs w:val="24"/>
        </w:rPr>
        <w:t xml:space="preserve">ich will serve </w:t>
      </w:r>
      <w:r w:rsidR="00337022" w:rsidRPr="002161B4">
        <w:rPr>
          <w:rFonts w:eastAsia="Times New Roman" w:cstheme="minorHAnsi"/>
          <w:sz w:val="24"/>
          <w:szCs w:val="24"/>
        </w:rPr>
        <w:t xml:space="preserve">high achieving first-generation/income-eligible and/or underrepresented undergraduate </w:t>
      </w:r>
      <w:r w:rsidR="00337022" w:rsidRPr="002161B4">
        <w:rPr>
          <w:rFonts w:eastAsia="Times New Roman" w:cstheme="minorHAnsi"/>
          <w:sz w:val="24"/>
          <w:szCs w:val="24"/>
        </w:rPr>
        <w:lastRenderedPageBreak/>
        <w:t xml:space="preserve">students to involve them in research opportunities and scholarly activities </w:t>
      </w:r>
      <w:proofErr w:type="gramStart"/>
      <w:r w:rsidR="00337022" w:rsidRPr="002161B4">
        <w:rPr>
          <w:rFonts w:eastAsia="Times New Roman" w:cstheme="minorHAnsi"/>
          <w:sz w:val="24"/>
          <w:szCs w:val="24"/>
        </w:rPr>
        <w:t>in order to</w:t>
      </w:r>
      <w:proofErr w:type="gramEnd"/>
      <w:r w:rsidR="00337022" w:rsidRPr="002161B4">
        <w:rPr>
          <w:rFonts w:eastAsia="Times New Roman" w:cstheme="minorHAnsi"/>
          <w:sz w:val="24"/>
          <w:szCs w:val="24"/>
        </w:rPr>
        <w:t xml:space="preserve"> encourage them to apply for and enroll in graduate studies.</w:t>
      </w:r>
    </w:p>
    <w:p w14:paraId="35FE3215" w14:textId="77777777" w:rsidR="00201735" w:rsidRDefault="00201735" w:rsidP="00E42D9D">
      <w:pPr>
        <w:spacing w:after="0"/>
        <w:rPr>
          <w:sz w:val="24"/>
          <w:szCs w:val="24"/>
        </w:rPr>
      </w:pPr>
    </w:p>
    <w:p w14:paraId="73D42D10" w14:textId="7B38A01B" w:rsidR="00E42D9D" w:rsidRDefault="00E42D9D" w:rsidP="00E42D9D">
      <w:pPr>
        <w:spacing w:after="0"/>
        <w:rPr>
          <w:sz w:val="24"/>
          <w:szCs w:val="24"/>
        </w:rPr>
      </w:pPr>
      <w:r w:rsidRPr="0061483E">
        <w:rPr>
          <w:sz w:val="24"/>
          <w:szCs w:val="24"/>
        </w:rPr>
        <w:t>Although all TRIO programs serve first generation students, not every student who participates in EOC, ETS or UB attends a UMS campus. However, all UMS institutions that have a Student Support Service</w:t>
      </w:r>
      <w:r w:rsidR="00D12A7D" w:rsidRPr="0061483E">
        <w:rPr>
          <w:sz w:val="24"/>
          <w:szCs w:val="24"/>
        </w:rPr>
        <w:t xml:space="preserve"> (SSS)</w:t>
      </w:r>
      <w:r w:rsidRPr="0061483E">
        <w:rPr>
          <w:sz w:val="24"/>
          <w:szCs w:val="24"/>
        </w:rPr>
        <w:t xml:space="preserve"> grant are serving a wide range of first-generation students as a part of the grant</w:t>
      </w:r>
      <w:r w:rsidR="0049417F" w:rsidRPr="0061483E">
        <w:rPr>
          <w:sz w:val="24"/>
          <w:szCs w:val="24"/>
        </w:rPr>
        <w:t xml:space="preserve"> (at least two-thirds tend to be low income and first-generation)</w:t>
      </w:r>
      <w:r w:rsidRPr="0061483E">
        <w:rPr>
          <w:sz w:val="24"/>
          <w:szCs w:val="24"/>
        </w:rPr>
        <w:t xml:space="preserve">. </w:t>
      </w:r>
      <w:r w:rsidR="00E55169" w:rsidRPr="0061483E">
        <w:rPr>
          <w:sz w:val="24"/>
          <w:szCs w:val="24"/>
        </w:rPr>
        <w:t xml:space="preserve">The goal of SSS programs is to help students become successful by providing additional supports that supplement services already available on the campus, and by working closely with students to assist them as they progress through their college career. </w:t>
      </w:r>
      <w:r w:rsidR="00337022">
        <w:rPr>
          <w:sz w:val="24"/>
          <w:szCs w:val="24"/>
        </w:rPr>
        <w:t>Beginning in 2019 and continuing since that time</w:t>
      </w:r>
      <w:r w:rsidR="00256018">
        <w:rPr>
          <w:sz w:val="24"/>
          <w:szCs w:val="24"/>
        </w:rPr>
        <w:t xml:space="preserve">, </w:t>
      </w:r>
      <w:proofErr w:type="gramStart"/>
      <w:r w:rsidR="00256018">
        <w:rPr>
          <w:sz w:val="24"/>
          <w:szCs w:val="24"/>
        </w:rPr>
        <w:t>all of</w:t>
      </w:r>
      <w:proofErr w:type="gramEnd"/>
      <w:r w:rsidR="00256018">
        <w:rPr>
          <w:sz w:val="24"/>
          <w:szCs w:val="24"/>
        </w:rPr>
        <w:t xml:space="preserve"> our TRIO SSS programs held a “First Generation Celebration” event which is designed to celebrate and affirm these students through stories and panel presentations. </w:t>
      </w:r>
      <w:r w:rsidRPr="0061483E">
        <w:rPr>
          <w:sz w:val="24"/>
          <w:szCs w:val="24"/>
        </w:rPr>
        <w:t>Some examples of initiatives and results are as follows</w:t>
      </w:r>
      <w:r w:rsidR="00764DB8">
        <w:rPr>
          <w:sz w:val="24"/>
          <w:szCs w:val="24"/>
        </w:rPr>
        <w:t xml:space="preserve"> (please note that some reporting is from 2020 as reporting has been delayed for 2021</w:t>
      </w:r>
      <w:r w:rsidR="00C11C95">
        <w:rPr>
          <w:sz w:val="24"/>
          <w:szCs w:val="24"/>
        </w:rPr>
        <w:t xml:space="preserve"> due to impacts from the pandemic</w:t>
      </w:r>
      <w:r w:rsidR="00764DB8">
        <w:rPr>
          <w:sz w:val="24"/>
          <w:szCs w:val="24"/>
        </w:rPr>
        <w:t>)</w:t>
      </w:r>
      <w:r w:rsidRPr="0061483E">
        <w:rPr>
          <w:sz w:val="24"/>
          <w:szCs w:val="24"/>
        </w:rPr>
        <w:t>:</w:t>
      </w:r>
    </w:p>
    <w:p w14:paraId="46632305" w14:textId="77777777" w:rsidR="009B56E4" w:rsidRDefault="009B56E4" w:rsidP="00E42D9D">
      <w:pPr>
        <w:spacing w:after="0"/>
        <w:rPr>
          <w:sz w:val="24"/>
          <w:szCs w:val="24"/>
        </w:rPr>
      </w:pPr>
    </w:p>
    <w:p w14:paraId="2DD1AC0F" w14:textId="05F37F52" w:rsidR="00444EB2" w:rsidRPr="009B6C90" w:rsidRDefault="00444EB2" w:rsidP="00E42D9D">
      <w:pPr>
        <w:pStyle w:val="ListParagraph"/>
        <w:numPr>
          <w:ilvl w:val="0"/>
          <w:numId w:val="7"/>
        </w:numPr>
        <w:spacing w:after="0" w:line="240" w:lineRule="auto"/>
        <w:rPr>
          <w:sz w:val="24"/>
          <w:szCs w:val="24"/>
        </w:rPr>
      </w:pPr>
      <w:proofErr w:type="spellStart"/>
      <w:r w:rsidRPr="00444EB2">
        <w:rPr>
          <w:rFonts w:eastAsia="Times New Roman" w:cs="Arial"/>
          <w:sz w:val="24"/>
          <w:szCs w:val="24"/>
          <w:u w:val="single"/>
          <w:shd w:val="clear" w:color="auto" w:fill="FFFFFF"/>
        </w:rPr>
        <w:t>UMaine’s</w:t>
      </w:r>
      <w:proofErr w:type="spellEnd"/>
      <w:r w:rsidRPr="00444EB2">
        <w:rPr>
          <w:rFonts w:eastAsia="Times New Roman" w:cs="Arial"/>
          <w:sz w:val="24"/>
          <w:szCs w:val="24"/>
          <w:u w:val="single"/>
          <w:shd w:val="clear" w:color="auto" w:fill="FFFFFF"/>
        </w:rPr>
        <w:t xml:space="preserve"> SSS (TRIO SSS)</w:t>
      </w:r>
      <w:r w:rsidR="009B56E4">
        <w:rPr>
          <w:rFonts w:eastAsia="Times New Roman" w:cs="Arial"/>
          <w:sz w:val="24"/>
          <w:szCs w:val="24"/>
          <w:shd w:val="clear" w:color="auto" w:fill="FFFFFF"/>
        </w:rPr>
        <w:t xml:space="preserve"> program supports 400 students annually; in 2020-</w:t>
      </w:r>
      <w:proofErr w:type="gramStart"/>
      <w:r w:rsidR="009B56E4">
        <w:rPr>
          <w:rFonts w:eastAsia="Times New Roman" w:cs="Arial"/>
          <w:sz w:val="24"/>
          <w:szCs w:val="24"/>
          <w:shd w:val="clear" w:color="auto" w:fill="FFFFFF"/>
        </w:rPr>
        <w:t>21,  served</w:t>
      </w:r>
      <w:proofErr w:type="gramEnd"/>
      <w:r w:rsidR="009B56E4">
        <w:rPr>
          <w:rFonts w:eastAsia="Times New Roman" w:cs="Arial"/>
          <w:sz w:val="24"/>
          <w:szCs w:val="24"/>
          <w:shd w:val="clear" w:color="auto" w:fill="FFFFFF"/>
        </w:rPr>
        <w:t xml:space="preserve"> 248 first-generation students, of which approximately 79% were</w:t>
      </w:r>
      <w:r w:rsidRPr="00444EB2">
        <w:rPr>
          <w:rFonts w:eastAsia="Times New Roman" w:cs="Arial"/>
          <w:sz w:val="24"/>
          <w:szCs w:val="24"/>
          <w:shd w:val="clear" w:color="auto" w:fill="FFFFFF"/>
        </w:rPr>
        <w:t xml:space="preserve"> first-generation</w:t>
      </w:r>
      <w:r w:rsidR="00FD299E">
        <w:rPr>
          <w:rFonts w:eastAsia="Times New Roman" w:cs="Arial"/>
          <w:sz w:val="24"/>
          <w:szCs w:val="24"/>
          <w:shd w:val="clear" w:color="auto" w:fill="FFFFFF"/>
        </w:rPr>
        <w:t xml:space="preserve"> and</w:t>
      </w:r>
      <w:r w:rsidR="0015692E">
        <w:rPr>
          <w:rFonts w:eastAsia="Times New Roman" w:cs="Arial"/>
          <w:sz w:val="24"/>
          <w:szCs w:val="24"/>
          <w:shd w:val="clear" w:color="auto" w:fill="FFFFFF"/>
        </w:rPr>
        <w:t>/or</w:t>
      </w:r>
      <w:r w:rsidR="00FD299E">
        <w:rPr>
          <w:rFonts w:eastAsia="Times New Roman" w:cs="Arial"/>
          <w:sz w:val="24"/>
          <w:szCs w:val="24"/>
          <w:shd w:val="clear" w:color="auto" w:fill="FFFFFF"/>
        </w:rPr>
        <w:t xml:space="preserve"> low-income</w:t>
      </w:r>
      <w:r w:rsidRPr="00444EB2">
        <w:rPr>
          <w:rFonts w:eastAsia="Times New Roman" w:cs="Arial"/>
          <w:sz w:val="24"/>
          <w:szCs w:val="24"/>
          <w:shd w:val="clear" w:color="auto" w:fill="FFFFFF"/>
        </w:rPr>
        <w:t>. TRIO SSS provide</w:t>
      </w:r>
      <w:r w:rsidR="00FD299E">
        <w:rPr>
          <w:rFonts w:eastAsia="Times New Roman" w:cs="Arial"/>
          <w:sz w:val="24"/>
          <w:szCs w:val="24"/>
          <w:shd w:val="clear" w:color="auto" w:fill="FFFFFF"/>
        </w:rPr>
        <w:t xml:space="preserve">s one-on-one tutoring in </w:t>
      </w:r>
      <w:r w:rsidRPr="00444EB2">
        <w:rPr>
          <w:rFonts w:eastAsia="Times New Roman" w:cs="Arial"/>
          <w:sz w:val="24"/>
          <w:szCs w:val="24"/>
          <w:shd w:val="clear" w:color="auto" w:fill="FFFFFF"/>
        </w:rPr>
        <w:t xml:space="preserve">all courses taught at </w:t>
      </w:r>
      <w:proofErr w:type="spellStart"/>
      <w:proofErr w:type="gramStart"/>
      <w:r w:rsidRPr="00444EB2">
        <w:rPr>
          <w:rFonts w:eastAsia="Times New Roman" w:cs="Arial"/>
          <w:sz w:val="24"/>
          <w:szCs w:val="24"/>
          <w:shd w:val="clear" w:color="auto" w:fill="FFFFFF"/>
        </w:rPr>
        <w:t>UMaine</w:t>
      </w:r>
      <w:proofErr w:type="spellEnd"/>
      <w:r w:rsidRPr="00444EB2">
        <w:rPr>
          <w:rFonts w:eastAsia="Times New Roman" w:cs="Arial"/>
          <w:sz w:val="24"/>
          <w:szCs w:val="24"/>
          <w:shd w:val="clear" w:color="auto" w:fill="FFFFFF"/>
        </w:rPr>
        <w:t>, and</w:t>
      </w:r>
      <w:proofErr w:type="gramEnd"/>
      <w:r w:rsidRPr="00444EB2">
        <w:rPr>
          <w:rFonts w:eastAsia="Times New Roman" w:cs="Arial"/>
          <w:sz w:val="24"/>
          <w:szCs w:val="24"/>
          <w:shd w:val="clear" w:color="auto" w:fill="FFFFFF"/>
        </w:rPr>
        <w:t xml:space="preserve"> offers </w:t>
      </w:r>
      <w:r w:rsidR="0015692E">
        <w:rPr>
          <w:rFonts w:eastAsia="Times New Roman" w:cs="Arial"/>
          <w:sz w:val="24"/>
          <w:szCs w:val="24"/>
          <w:shd w:val="clear" w:color="auto" w:fill="FFFFFF"/>
        </w:rPr>
        <w:t xml:space="preserve">peer academic coaching </w:t>
      </w:r>
      <w:r w:rsidRPr="00444EB2">
        <w:rPr>
          <w:rFonts w:eastAsia="Times New Roman" w:cs="Arial"/>
          <w:sz w:val="24"/>
          <w:szCs w:val="24"/>
          <w:shd w:val="clear" w:color="auto" w:fill="FFFFFF"/>
        </w:rPr>
        <w:t>to first and second year students in order to increase students’ level of engagement and connection with the university. The program also provides supplementary services to existing University services in the areas of academic advising</w:t>
      </w:r>
      <w:r w:rsidR="00FD299E">
        <w:rPr>
          <w:rFonts w:eastAsia="Times New Roman" w:cs="Arial"/>
          <w:sz w:val="24"/>
          <w:szCs w:val="24"/>
          <w:shd w:val="clear" w:color="auto" w:fill="FFFFFF"/>
        </w:rPr>
        <w:t xml:space="preserve"> (including supplemental advising with a program advisor)</w:t>
      </w:r>
      <w:r w:rsidRPr="00444EB2">
        <w:rPr>
          <w:rFonts w:eastAsia="Times New Roman" w:cs="Arial"/>
          <w:sz w:val="24"/>
          <w:szCs w:val="24"/>
          <w:shd w:val="clear" w:color="auto" w:fill="FFFFFF"/>
        </w:rPr>
        <w:t xml:space="preserve"> and coaching, financial aid advising, financial literacy skills building, academic skills building, personal counseling, and resume development and pre</w:t>
      </w:r>
      <w:r w:rsidR="00FD299E">
        <w:rPr>
          <w:rFonts w:eastAsia="Times New Roman" w:cs="Arial"/>
          <w:sz w:val="24"/>
          <w:szCs w:val="24"/>
          <w:shd w:val="clear" w:color="auto" w:fill="FFFFFF"/>
        </w:rPr>
        <w:t xml:space="preserve">paration for graduate school. </w:t>
      </w:r>
      <w:r w:rsidR="0015692E">
        <w:rPr>
          <w:rFonts w:eastAsia="Times New Roman" w:cs="Arial"/>
          <w:sz w:val="24"/>
          <w:szCs w:val="24"/>
          <w:shd w:val="clear" w:color="auto" w:fill="FFFFFF"/>
        </w:rPr>
        <w:t>90</w:t>
      </w:r>
      <w:r w:rsidRPr="00444EB2">
        <w:rPr>
          <w:rFonts w:eastAsia="Times New Roman" w:cs="Arial"/>
          <w:sz w:val="24"/>
          <w:szCs w:val="24"/>
          <w:shd w:val="clear" w:color="auto" w:fill="FFFFFF"/>
        </w:rPr>
        <w:t>% of participating first-generation students are in good academic standing</w:t>
      </w:r>
      <w:r w:rsidR="00FD299E">
        <w:rPr>
          <w:rFonts w:eastAsia="Times New Roman" w:cs="Arial"/>
          <w:sz w:val="24"/>
          <w:szCs w:val="24"/>
          <w:shd w:val="clear" w:color="auto" w:fill="FFFFFF"/>
        </w:rPr>
        <w:t xml:space="preserve"> and have a </w:t>
      </w:r>
      <w:r w:rsidR="009B56E4">
        <w:rPr>
          <w:rFonts w:eastAsia="Times New Roman" w:cs="Arial"/>
          <w:sz w:val="24"/>
          <w:szCs w:val="24"/>
          <w:shd w:val="clear" w:color="auto" w:fill="FFFFFF"/>
        </w:rPr>
        <w:t>62</w:t>
      </w:r>
      <w:r w:rsidR="00BD0095">
        <w:rPr>
          <w:rFonts w:eastAsia="Times New Roman" w:cs="Arial"/>
          <w:sz w:val="24"/>
          <w:szCs w:val="24"/>
          <w:shd w:val="clear" w:color="auto" w:fill="FFFFFF"/>
        </w:rPr>
        <w:t>% six-year graduation rate</w:t>
      </w:r>
      <w:r w:rsidRPr="00444EB2">
        <w:rPr>
          <w:rFonts w:eastAsia="Times New Roman" w:cs="Arial"/>
          <w:sz w:val="24"/>
          <w:szCs w:val="24"/>
          <w:shd w:val="clear" w:color="auto" w:fill="FFFFFF"/>
        </w:rPr>
        <w:t>.</w:t>
      </w:r>
      <w:r w:rsidR="00FD299E">
        <w:rPr>
          <w:rFonts w:eastAsia="Times New Roman" w:cs="Arial"/>
          <w:sz w:val="24"/>
          <w:szCs w:val="24"/>
          <w:shd w:val="clear" w:color="auto" w:fill="FFFFFF"/>
        </w:rPr>
        <w:t xml:space="preserve"> 8</w:t>
      </w:r>
      <w:r w:rsidR="0015692E">
        <w:rPr>
          <w:rFonts w:eastAsia="Times New Roman" w:cs="Arial"/>
          <w:sz w:val="24"/>
          <w:szCs w:val="24"/>
          <w:shd w:val="clear" w:color="auto" w:fill="FFFFFF"/>
        </w:rPr>
        <w:t>2</w:t>
      </w:r>
      <w:r w:rsidR="00BD0095">
        <w:rPr>
          <w:rFonts w:eastAsia="Times New Roman" w:cs="Arial"/>
          <w:sz w:val="24"/>
          <w:szCs w:val="24"/>
          <w:shd w:val="clear" w:color="auto" w:fill="FFFFFF"/>
        </w:rPr>
        <w:t xml:space="preserve">% of </w:t>
      </w:r>
      <w:proofErr w:type="gramStart"/>
      <w:r w:rsidR="00BD0095">
        <w:rPr>
          <w:rFonts w:eastAsia="Times New Roman" w:cs="Arial"/>
          <w:sz w:val="24"/>
          <w:szCs w:val="24"/>
          <w:shd w:val="clear" w:color="auto" w:fill="FFFFFF"/>
        </w:rPr>
        <w:t>first generation</w:t>
      </w:r>
      <w:proofErr w:type="gramEnd"/>
      <w:r w:rsidR="00BD0095">
        <w:rPr>
          <w:rFonts w:eastAsia="Times New Roman" w:cs="Arial"/>
          <w:sz w:val="24"/>
          <w:szCs w:val="24"/>
          <w:shd w:val="clear" w:color="auto" w:fill="FFFFFF"/>
        </w:rPr>
        <w:t xml:space="preserve"> TRIO SSS students persist from their first to second year. </w:t>
      </w:r>
      <w:proofErr w:type="spellStart"/>
      <w:r w:rsidR="00BD0095">
        <w:rPr>
          <w:rFonts w:eastAsia="Times New Roman" w:cs="Arial"/>
          <w:sz w:val="24"/>
          <w:szCs w:val="24"/>
          <w:shd w:val="clear" w:color="auto" w:fill="FFFFFF"/>
        </w:rPr>
        <w:t>UMaine’s</w:t>
      </w:r>
      <w:proofErr w:type="spellEnd"/>
      <w:r w:rsidR="00BD0095">
        <w:rPr>
          <w:rFonts w:eastAsia="Times New Roman" w:cs="Arial"/>
          <w:sz w:val="24"/>
          <w:szCs w:val="24"/>
          <w:shd w:val="clear" w:color="auto" w:fill="FFFFFF"/>
        </w:rPr>
        <w:t xml:space="preserve"> TRIO SSS implemented Signal Vine to utilize texting between staff and students, which has increased engagement and responsiveness. </w:t>
      </w:r>
      <w:r w:rsidR="0015692E">
        <w:rPr>
          <w:rFonts w:eastAsia="Times New Roman" w:cs="Arial"/>
          <w:sz w:val="24"/>
          <w:szCs w:val="24"/>
          <w:shd w:val="clear" w:color="auto" w:fill="FFFFFF"/>
        </w:rPr>
        <w:t>Additionally, UM’s TRIO SSS began a Scholarship Coaching program to help address the funding gap many program participants face (students are paired with a Peer Scholarship</w:t>
      </w:r>
      <w:r w:rsidR="001858EF">
        <w:rPr>
          <w:rFonts w:eastAsia="Times New Roman" w:cs="Arial"/>
          <w:sz w:val="24"/>
          <w:szCs w:val="24"/>
          <w:shd w:val="clear" w:color="auto" w:fill="FFFFFF"/>
        </w:rPr>
        <w:t xml:space="preserve"> Coach with whom they meet week</w:t>
      </w:r>
      <w:r w:rsidR="0015692E">
        <w:rPr>
          <w:rFonts w:eastAsia="Times New Roman" w:cs="Arial"/>
          <w:sz w:val="24"/>
          <w:szCs w:val="24"/>
          <w:shd w:val="clear" w:color="auto" w:fill="FFFFFF"/>
        </w:rPr>
        <w:t xml:space="preserve">ly). </w:t>
      </w:r>
      <w:r w:rsidR="00BD0095">
        <w:rPr>
          <w:rFonts w:eastAsia="Times New Roman" w:cs="Arial"/>
          <w:sz w:val="24"/>
          <w:szCs w:val="24"/>
          <w:shd w:val="clear" w:color="auto" w:fill="FFFFFF"/>
        </w:rPr>
        <w:t>Finally, TRIO SSS sponsors the Scholarship Fair at the UM campus which brings together campus and community partners to help students become awar</w:t>
      </w:r>
      <w:r w:rsidR="00FD299E">
        <w:rPr>
          <w:rFonts w:eastAsia="Times New Roman" w:cs="Arial"/>
          <w:sz w:val="24"/>
          <w:szCs w:val="24"/>
          <w:shd w:val="clear" w:color="auto" w:fill="FFFFFF"/>
        </w:rPr>
        <w:t>e of the scholarships available</w:t>
      </w:r>
      <w:r w:rsidR="0015692E">
        <w:rPr>
          <w:rFonts w:eastAsia="Times New Roman" w:cs="Arial"/>
          <w:sz w:val="24"/>
          <w:szCs w:val="24"/>
          <w:shd w:val="clear" w:color="auto" w:fill="FFFFFF"/>
        </w:rPr>
        <w:t>.</w:t>
      </w:r>
    </w:p>
    <w:p w14:paraId="5FC28EFE" w14:textId="5B5537EC" w:rsidR="008E55C4" w:rsidRPr="008E55C4" w:rsidRDefault="009B6C90" w:rsidP="00DB3193">
      <w:pPr>
        <w:pStyle w:val="ListParagraph"/>
        <w:numPr>
          <w:ilvl w:val="0"/>
          <w:numId w:val="7"/>
        </w:numPr>
        <w:spacing w:after="0" w:line="240" w:lineRule="auto"/>
        <w:rPr>
          <w:sz w:val="24"/>
          <w:szCs w:val="24"/>
        </w:rPr>
      </w:pPr>
      <w:proofErr w:type="spellStart"/>
      <w:r w:rsidRPr="008E55C4">
        <w:rPr>
          <w:rFonts w:eastAsia="Times New Roman" w:cs="Arial"/>
          <w:sz w:val="24"/>
          <w:szCs w:val="24"/>
          <w:u w:val="single"/>
          <w:shd w:val="clear" w:color="auto" w:fill="FFFFFF"/>
        </w:rPr>
        <w:t>UMaine’</w:t>
      </w:r>
      <w:r w:rsidR="003D7B76" w:rsidRPr="008E55C4">
        <w:rPr>
          <w:rFonts w:eastAsia="Times New Roman" w:cs="Arial"/>
          <w:sz w:val="24"/>
          <w:szCs w:val="24"/>
          <w:u w:val="single"/>
          <w:shd w:val="clear" w:color="auto" w:fill="FFFFFF"/>
        </w:rPr>
        <w:t>s</w:t>
      </w:r>
      <w:proofErr w:type="spellEnd"/>
      <w:r w:rsidR="003D7B76" w:rsidRPr="008E55C4">
        <w:rPr>
          <w:rFonts w:eastAsia="Times New Roman" w:cs="Arial"/>
          <w:sz w:val="24"/>
          <w:szCs w:val="24"/>
          <w:u w:val="single"/>
          <w:shd w:val="clear" w:color="auto" w:fill="FFFFFF"/>
        </w:rPr>
        <w:t xml:space="preserve"> EOC</w:t>
      </w:r>
      <w:r w:rsidRPr="008E55C4">
        <w:rPr>
          <w:rFonts w:eastAsia="Times New Roman" w:cs="Arial"/>
          <w:sz w:val="24"/>
          <w:szCs w:val="24"/>
          <w:u w:val="single"/>
          <w:shd w:val="clear" w:color="auto" w:fill="FFFFFF"/>
        </w:rPr>
        <w:t xml:space="preserve"> Program</w:t>
      </w:r>
      <w:r w:rsidR="008E55C4" w:rsidRPr="008E55C4">
        <w:rPr>
          <w:rFonts w:eastAsia="Times New Roman" w:cs="Arial"/>
          <w:sz w:val="24"/>
          <w:szCs w:val="24"/>
          <w:shd w:val="clear" w:color="auto" w:fill="FFFFFF"/>
        </w:rPr>
        <w:t xml:space="preserve"> </w:t>
      </w:r>
      <w:r w:rsidR="00764DB8">
        <w:rPr>
          <w:rFonts w:eastAsia="Times New Roman" w:cs="Arial"/>
          <w:sz w:val="24"/>
          <w:szCs w:val="24"/>
          <w:shd w:val="clear" w:color="auto" w:fill="FFFFFF"/>
        </w:rPr>
        <w:t>had 400</w:t>
      </w:r>
      <w:r w:rsidR="001858EF">
        <w:rPr>
          <w:rFonts w:eastAsia="Times New Roman" w:cs="Arial"/>
          <w:sz w:val="24"/>
          <w:szCs w:val="24"/>
          <w:shd w:val="clear" w:color="auto" w:fill="FFFFFF"/>
        </w:rPr>
        <w:t xml:space="preserve"> college starts at public instituti</w:t>
      </w:r>
      <w:r w:rsidR="00764DB8">
        <w:rPr>
          <w:rFonts w:eastAsia="Times New Roman" w:cs="Arial"/>
          <w:sz w:val="24"/>
          <w:szCs w:val="24"/>
          <w:shd w:val="clear" w:color="auto" w:fill="FFFFFF"/>
        </w:rPr>
        <w:t>ons in Maine; 45.4</w:t>
      </w:r>
      <w:r w:rsidR="001858EF">
        <w:rPr>
          <w:rFonts w:eastAsia="Times New Roman" w:cs="Arial"/>
          <w:sz w:val="24"/>
          <w:szCs w:val="24"/>
          <w:shd w:val="clear" w:color="auto" w:fill="FFFFFF"/>
        </w:rPr>
        <w:t>% were low-income and/or first generations students. Like many college access programs, there was a significant decline in college starts this fall given the impact of the pandemic.</w:t>
      </w:r>
    </w:p>
    <w:p w14:paraId="45F4946B" w14:textId="33EA9A11" w:rsidR="009B6C90" w:rsidRPr="008E55C4" w:rsidRDefault="009B6C90" w:rsidP="00DB3193">
      <w:pPr>
        <w:pStyle w:val="ListParagraph"/>
        <w:numPr>
          <w:ilvl w:val="0"/>
          <w:numId w:val="7"/>
        </w:numPr>
        <w:spacing w:after="0" w:line="240" w:lineRule="auto"/>
        <w:rPr>
          <w:sz w:val="24"/>
          <w:szCs w:val="24"/>
        </w:rPr>
      </w:pPr>
      <w:proofErr w:type="spellStart"/>
      <w:r w:rsidRPr="008E55C4">
        <w:rPr>
          <w:rFonts w:eastAsia="Times New Roman" w:cs="Arial"/>
          <w:sz w:val="24"/>
          <w:szCs w:val="24"/>
          <w:u w:val="single"/>
          <w:shd w:val="clear" w:color="auto" w:fill="FFFFFF"/>
        </w:rPr>
        <w:t>UMaine’s</w:t>
      </w:r>
      <w:proofErr w:type="spellEnd"/>
      <w:r w:rsidRPr="008E55C4">
        <w:rPr>
          <w:rFonts w:eastAsia="Times New Roman" w:cs="Arial"/>
          <w:sz w:val="24"/>
          <w:szCs w:val="24"/>
          <w:u w:val="single"/>
          <w:shd w:val="clear" w:color="auto" w:fill="FFFFFF"/>
        </w:rPr>
        <w:t xml:space="preserve"> Talent Search</w:t>
      </w:r>
      <w:r w:rsidR="008E55C4">
        <w:rPr>
          <w:rFonts w:eastAsia="Times New Roman" w:cs="Arial"/>
          <w:sz w:val="24"/>
          <w:szCs w:val="24"/>
          <w:shd w:val="clear" w:color="auto" w:fill="FFFFFF"/>
        </w:rPr>
        <w:t xml:space="preserve"> program served 1,113</w:t>
      </w:r>
      <w:r w:rsidRPr="008E55C4">
        <w:rPr>
          <w:rFonts w:eastAsia="Times New Roman" w:cs="Arial"/>
          <w:sz w:val="24"/>
          <w:szCs w:val="24"/>
          <w:shd w:val="clear" w:color="auto" w:fill="FFFFFF"/>
        </w:rPr>
        <w:t xml:space="preserve"> stud</w:t>
      </w:r>
      <w:r w:rsidR="003A3EC0">
        <w:rPr>
          <w:rFonts w:eastAsia="Times New Roman" w:cs="Arial"/>
          <w:sz w:val="24"/>
          <w:szCs w:val="24"/>
          <w:shd w:val="clear" w:color="auto" w:fill="FFFFFF"/>
        </w:rPr>
        <w:t>ents in grades 6-12, of whom 744</w:t>
      </w:r>
      <w:r w:rsidRPr="008E55C4">
        <w:rPr>
          <w:rFonts w:eastAsia="Times New Roman" w:cs="Arial"/>
          <w:sz w:val="24"/>
          <w:szCs w:val="24"/>
          <w:shd w:val="clear" w:color="auto" w:fill="FFFFFF"/>
        </w:rPr>
        <w:t xml:space="preserve"> were both low-income and first generation</w:t>
      </w:r>
      <w:r w:rsidR="003A3EC0">
        <w:rPr>
          <w:rFonts w:eastAsia="Times New Roman" w:cs="Arial"/>
          <w:sz w:val="24"/>
          <w:szCs w:val="24"/>
          <w:shd w:val="clear" w:color="auto" w:fill="FFFFFF"/>
        </w:rPr>
        <w:t xml:space="preserve">; 929 of non-seniors were promoted to next grade level. Of the 182 TS seniors, 174 graduated high school in four years, 146 </w:t>
      </w:r>
      <w:r w:rsidR="003A3EC0">
        <w:rPr>
          <w:rFonts w:eastAsia="Times New Roman" w:cs="Arial"/>
          <w:sz w:val="24"/>
          <w:szCs w:val="24"/>
          <w:shd w:val="clear" w:color="auto" w:fill="FFFFFF"/>
        </w:rPr>
        <w:lastRenderedPageBreak/>
        <w:t>graduated completing a rigorous curriculum, 119 attended college immediately after graduat</w:t>
      </w:r>
      <w:r w:rsidR="00764DB8">
        <w:rPr>
          <w:rFonts w:eastAsia="Times New Roman" w:cs="Arial"/>
          <w:sz w:val="24"/>
          <w:szCs w:val="24"/>
          <w:shd w:val="clear" w:color="auto" w:fill="FFFFFF"/>
        </w:rPr>
        <w:t>ion; the 58.6% (68) of the 2015</w:t>
      </w:r>
      <w:r w:rsidR="003A3EC0">
        <w:rPr>
          <w:rFonts w:eastAsia="Times New Roman" w:cs="Arial"/>
          <w:sz w:val="24"/>
          <w:szCs w:val="24"/>
          <w:shd w:val="clear" w:color="auto" w:fill="FFFFFF"/>
        </w:rPr>
        <w:t xml:space="preserve"> cohort</w:t>
      </w:r>
      <w:r w:rsidR="00764DB8">
        <w:rPr>
          <w:rFonts w:eastAsia="Times New Roman" w:cs="Arial"/>
          <w:sz w:val="24"/>
          <w:szCs w:val="24"/>
          <w:shd w:val="clear" w:color="auto" w:fill="FFFFFF"/>
        </w:rPr>
        <w:t xml:space="preserve"> (116)</w:t>
      </w:r>
      <w:r w:rsidR="003A3EC0">
        <w:rPr>
          <w:rFonts w:eastAsia="Times New Roman" w:cs="Arial"/>
          <w:sz w:val="24"/>
          <w:szCs w:val="24"/>
          <w:shd w:val="clear" w:color="auto" w:fill="FFFFFF"/>
        </w:rPr>
        <w:t xml:space="preserve"> graduate</w:t>
      </w:r>
      <w:r w:rsidR="00764DB8">
        <w:rPr>
          <w:rFonts w:eastAsia="Times New Roman" w:cs="Arial"/>
          <w:sz w:val="24"/>
          <w:szCs w:val="24"/>
          <w:shd w:val="clear" w:color="auto" w:fill="FFFFFF"/>
        </w:rPr>
        <w:t>d</w:t>
      </w:r>
      <w:r w:rsidR="003A3EC0">
        <w:rPr>
          <w:rFonts w:eastAsia="Times New Roman" w:cs="Arial"/>
          <w:sz w:val="24"/>
          <w:szCs w:val="24"/>
          <w:shd w:val="clear" w:color="auto" w:fill="FFFFFF"/>
        </w:rPr>
        <w:t xml:space="preserve"> college in 6 years</w:t>
      </w:r>
      <w:r w:rsidRPr="008E55C4">
        <w:rPr>
          <w:rFonts w:eastAsia="Times New Roman" w:cs="Arial"/>
          <w:sz w:val="24"/>
          <w:szCs w:val="24"/>
          <w:shd w:val="clear" w:color="auto" w:fill="FFFFFF"/>
        </w:rPr>
        <w:t>.</w:t>
      </w:r>
    </w:p>
    <w:p w14:paraId="69043B25" w14:textId="01684F5C" w:rsidR="00255EDD" w:rsidRDefault="00E55169" w:rsidP="00255EDD">
      <w:pPr>
        <w:pStyle w:val="ListParagraph"/>
        <w:numPr>
          <w:ilvl w:val="0"/>
          <w:numId w:val="2"/>
        </w:numPr>
        <w:spacing w:after="0"/>
        <w:rPr>
          <w:sz w:val="24"/>
          <w:szCs w:val="24"/>
        </w:rPr>
      </w:pPr>
      <w:r w:rsidRPr="00444EB2">
        <w:rPr>
          <w:sz w:val="24"/>
          <w:szCs w:val="24"/>
          <w:u w:val="single"/>
        </w:rPr>
        <w:t>UM</w:t>
      </w:r>
      <w:r w:rsidR="00616C31" w:rsidRPr="00444EB2">
        <w:rPr>
          <w:sz w:val="24"/>
          <w:szCs w:val="24"/>
          <w:u w:val="single"/>
        </w:rPr>
        <w:t>A’s SSS</w:t>
      </w:r>
      <w:r w:rsidR="008D2CB2">
        <w:rPr>
          <w:sz w:val="24"/>
          <w:szCs w:val="24"/>
        </w:rPr>
        <w:t xml:space="preserve"> serves 360 students, 92</w:t>
      </w:r>
      <w:r w:rsidRPr="0061483E">
        <w:rPr>
          <w:sz w:val="24"/>
          <w:szCs w:val="24"/>
        </w:rPr>
        <w:t xml:space="preserve">% </w:t>
      </w:r>
      <w:r w:rsidR="00201735">
        <w:rPr>
          <w:sz w:val="24"/>
          <w:szCs w:val="24"/>
        </w:rPr>
        <w:t xml:space="preserve">of whom are first-generation. </w:t>
      </w:r>
      <w:r w:rsidR="00BD0095">
        <w:rPr>
          <w:sz w:val="24"/>
          <w:szCs w:val="24"/>
        </w:rPr>
        <w:t>Their average age is 34 (73% are women)</w:t>
      </w:r>
      <w:r w:rsidR="00BD5AF7">
        <w:rPr>
          <w:sz w:val="24"/>
          <w:szCs w:val="24"/>
        </w:rPr>
        <w:t xml:space="preserve">. </w:t>
      </w:r>
      <w:r w:rsidRPr="0061483E">
        <w:rPr>
          <w:sz w:val="24"/>
          <w:szCs w:val="24"/>
        </w:rPr>
        <w:t>Stu</w:t>
      </w:r>
      <w:r w:rsidR="002C7077">
        <w:rPr>
          <w:sz w:val="24"/>
          <w:szCs w:val="24"/>
        </w:rPr>
        <w:t>dents are provided with a wide range of</w:t>
      </w:r>
      <w:r w:rsidRPr="0061483E">
        <w:rPr>
          <w:sz w:val="24"/>
          <w:szCs w:val="24"/>
        </w:rPr>
        <w:t xml:space="preserve"> support and service including</w:t>
      </w:r>
      <w:r w:rsidR="00C11C95">
        <w:rPr>
          <w:sz w:val="24"/>
          <w:szCs w:val="24"/>
        </w:rPr>
        <w:t xml:space="preserve"> an intrusive advising and support </w:t>
      </w:r>
      <w:proofErr w:type="gramStart"/>
      <w:r w:rsidR="00C11C95">
        <w:rPr>
          <w:sz w:val="24"/>
          <w:szCs w:val="24"/>
        </w:rPr>
        <w:t xml:space="preserve">model, </w:t>
      </w:r>
      <w:r w:rsidRPr="0061483E">
        <w:rPr>
          <w:sz w:val="24"/>
          <w:szCs w:val="24"/>
        </w:rPr>
        <w:t xml:space="preserve"> the</w:t>
      </w:r>
      <w:proofErr w:type="gramEnd"/>
      <w:r w:rsidRPr="0061483E">
        <w:rPr>
          <w:sz w:val="24"/>
          <w:szCs w:val="24"/>
        </w:rPr>
        <w:t xml:space="preserve"> provision of </w:t>
      </w:r>
      <w:r w:rsidR="002C7077">
        <w:rPr>
          <w:sz w:val="24"/>
          <w:szCs w:val="24"/>
        </w:rPr>
        <w:t xml:space="preserve">professional and </w:t>
      </w:r>
      <w:r w:rsidRPr="0061483E">
        <w:rPr>
          <w:sz w:val="24"/>
          <w:szCs w:val="24"/>
        </w:rPr>
        <w:t>peer mentoring</w:t>
      </w:r>
      <w:r w:rsidR="002C7077">
        <w:rPr>
          <w:sz w:val="24"/>
          <w:szCs w:val="24"/>
        </w:rPr>
        <w:t xml:space="preserve"> and tutoring</w:t>
      </w:r>
      <w:r w:rsidRPr="0061483E">
        <w:rPr>
          <w:sz w:val="24"/>
          <w:szCs w:val="24"/>
        </w:rPr>
        <w:t>, suppleme</w:t>
      </w:r>
      <w:r w:rsidR="00BD0095">
        <w:rPr>
          <w:sz w:val="24"/>
          <w:szCs w:val="24"/>
        </w:rPr>
        <w:t xml:space="preserve">ntal tutoring, </w:t>
      </w:r>
      <w:r w:rsidR="00B762D9">
        <w:rPr>
          <w:sz w:val="24"/>
          <w:szCs w:val="24"/>
        </w:rPr>
        <w:t xml:space="preserve">individualized personal and academic counseling, </w:t>
      </w:r>
      <w:r w:rsidRPr="0061483E">
        <w:rPr>
          <w:sz w:val="24"/>
          <w:szCs w:val="24"/>
        </w:rPr>
        <w:t>workshops on financial literacy</w:t>
      </w:r>
      <w:r w:rsidR="002C7077">
        <w:rPr>
          <w:sz w:val="24"/>
          <w:szCs w:val="24"/>
        </w:rPr>
        <w:t xml:space="preserve"> and financial aid</w:t>
      </w:r>
      <w:r w:rsidRPr="0061483E">
        <w:rPr>
          <w:sz w:val="24"/>
          <w:szCs w:val="24"/>
        </w:rPr>
        <w:t>, extended summer programs to address deficiencies within writing and mathematics and close monitoring of progress by professional staff.</w:t>
      </w:r>
      <w:r w:rsidR="008D2CB2">
        <w:rPr>
          <w:sz w:val="24"/>
          <w:szCs w:val="24"/>
        </w:rPr>
        <w:t xml:space="preserve"> </w:t>
      </w:r>
      <w:r w:rsidR="00C11C95">
        <w:rPr>
          <w:sz w:val="24"/>
          <w:szCs w:val="24"/>
        </w:rPr>
        <w:t xml:space="preserve">Students enroll in COL 100 Introduction to the College Experience which works with students from the perspective of psychosocial and non-cognitive skills development. </w:t>
      </w:r>
      <w:r w:rsidR="008D2CB2">
        <w:rPr>
          <w:sz w:val="24"/>
          <w:szCs w:val="24"/>
        </w:rPr>
        <w:t>86</w:t>
      </w:r>
      <w:r w:rsidR="002C7077">
        <w:rPr>
          <w:sz w:val="24"/>
          <w:szCs w:val="24"/>
        </w:rPr>
        <w:t>% of the students are in good academic standing</w:t>
      </w:r>
      <w:r w:rsidR="008D2CB2">
        <w:rPr>
          <w:sz w:val="24"/>
          <w:szCs w:val="24"/>
        </w:rPr>
        <w:t xml:space="preserve"> and 73</w:t>
      </w:r>
      <w:r w:rsidR="00BD0095">
        <w:rPr>
          <w:sz w:val="24"/>
          <w:szCs w:val="24"/>
        </w:rPr>
        <w:t>% of them persist from the first to second year</w:t>
      </w:r>
      <w:r w:rsidR="002C7077">
        <w:rPr>
          <w:sz w:val="24"/>
          <w:szCs w:val="24"/>
        </w:rPr>
        <w:t>.</w:t>
      </w:r>
      <w:r w:rsidR="00C11C95">
        <w:rPr>
          <w:sz w:val="24"/>
          <w:szCs w:val="24"/>
        </w:rPr>
        <w:t xml:space="preserve"> Data cited is for 2020 (see earlier note from 2021 data).</w:t>
      </w:r>
    </w:p>
    <w:p w14:paraId="5D80CC6D" w14:textId="1449F131" w:rsidR="00255EDD" w:rsidRDefault="00550B75" w:rsidP="00255EDD">
      <w:pPr>
        <w:pStyle w:val="ListParagraph"/>
        <w:numPr>
          <w:ilvl w:val="0"/>
          <w:numId w:val="2"/>
        </w:numPr>
        <w:spacing w:after="0"/>
        <w:rPr>
          <w:sz w:val="24"/>
          <w:szCs w:val="24"/>
        </w:rPr>
      </w:pPr>
      <w:r w:rsidRPr="00255EDD">
        <w:rPr>
          <w:rFonts w:cs="Arial"/>
          <w:iCs/>
          <w:sz w:val="24"/>
          <w:szCs w:val="24"/>
          <w:u w:val="single"/>
          <w:shd w:val="clear" w:color="auto" w:fill="FFFFFF"/>
        </w:rPr>
        <w:t>UMF’s SSS Program (Johnson Scholars)</w:t>
      </w:r>
      <w:r w:rsidRPr="00255EDD">
        <w:rPr>
          <w:rFonts w:cs="Arial"/>
          <w:iCs/>
          <w:sz w:val="24"/>
          <w:szCs w:val="24"/>
          <w:shd w:val="clear" w:color="auto" w:fill="FFFFFF"/>
        </w:rPr>
        <w:t xml:space="preserve"> </w:t>
      </w:r>
      <w:r w:rsidR="00255EDD" w:rsidRPr="00942803">
        <w:rPr>
          <w:sz w:val="24"/>
          <w:szCs w:val="24"/>
        </w:rPr>
        <w:t xml:space="preserve">supports 180 first-generation and/or low-income students in accessing the resources they need to fully engage in and succeed in higher education. Eighty-eight percent of Johnson Scholars persisted or graduated from fall 2020 to fall 2021, and although COVID 19 forced a major shift in program delivery, 98% completed the 2020-2021 year in good academic standing. Fifty-seven percent of the 2015-2016 entering cohort graduated from UMF with bachelor’s degrees. </w:t>
      </w:r>
    </w:p>
    <w:p w14:paraId="73B6AAB5" w14:textId="77777777" w:rsidR="00942803" w:rsidRPr="00942803" w:rsidRDefault="00942803" w:rsidP="00942803">
      <w:pPr>
        <w:pStyle w:val="ListParagraph"/>
        <w:spacing w:after="0"/>
        <w:rPr>
          <w:sz w:val="24"/>
          <w:szCs w:val="24"/>
        </w:rPr>
      </w:pPr>
    </w:p>
    <w:p w14:paraId="7AEF6667" w14:textId="77777777" w:rsidR="00942803" w:rsidRDefault="00255EDD" w:rsidP="00255EDD">
      <w:pPr>
        <w:spacing w:after="0" w:line="240" w:lineRule="auto"/>
        <w:ind w:firstLine="720"/>
        <w:rPr>
          <w:sz w:val="24"/>
          <w:szCs w:val="24"/>
        </w:rPr>
      </w:pPr>
      <w:r w:rsidRPr="00942803">
        <w:rPr>
          <w:sz w:val="24"/>
          <w:szCs w:val="24"/>
        </w:rPr>
        <w:t xml:space="preserve">Central to the Johnson Scholars is encouraging students to know, understand, and build </w:t>
      </w:r>
    </w:p>
    <w:p w14:paraId="2A166F96" w14:textId="77777777" w:rsidR="00942803" w:rsidRDefault="00255EDD" w:rsidP="00255EDD">
      <w:pPr>
        <w:spacing w:after="0" w:line="240" w:lineRule="auto"/>
        <w:ind w:firstLine="720"/>
        <w:rPr>
          <w:sz w:val="24"/>
          <w:szCs w:val="24"/>
        </w:rPr>
      </w:pPr>
      <w:r w:rsidRPr="00942803">
        <w:rPr>
          <w:sz w:val="24"/>
          <w:szCs w:val="24"/>
        </w:rPr>
        <w:t>on their</w:t>
      </w:r>
      <w:r w:rsidR="00942803">
        <w:rPr>
          <w:sz w:val="24"/>
          <w:szCs w:val="24"/>
        </w:rPr>
        <w:t xml:space="preserve"> </w:t>
      </w:r>
      <w:r w:rsidRPr="00942803">
        <w:rPr>
          <w:sz w:val="24"/>
          <w:szCs w:val="24"/>
        </w:rPr>
        <w:t xml:space="preserve">strengths. Core principles of Appreciative Advising shape the academic and </w:t>
      </w:r>
    </w:p>
    <w:p w14:paraId="71BF90A9" w14:textId="77777777" w:rsidR="00942803" w:rsidRDefault="00255EDD" w:rsidP="00255EDD">
      <w:pPr>
        <w:spacing w:after="0" w:line="240" w:lineRule="auto"/>
        <w:ind w:firstLine="720"/>
        <w:rPr>
          <w:sz w:val="24"/>
          <w:szCs w:val="24"/>
        </w:rPr>
      </w:pPr>
      <w:r w:rsidRPr="00942803">
        <w:rPr>
          <w:sz w:val="24"/>
          <w:szCs w:val="24"/>
        </w:rPr>
        <w:t xml:space="preserve">personal advising of Johnson Scholars from their first year through graduation. Program </w:t>
      </w:r>
    </w:p>
    <w:p w14:paraId="116E0C9D" w14:textId="77777777" w:rsidR="00942803" w:rsidRDefault="00255EDD" w:rsidP="00255EDD">
      <w:pPr>
        <w:spacing w:after="0" w:line="240" w:lineRule="auto"/>
        <w:ind w:firstLine="720"/>
        <w:rPr>
          <w:sz w:val="24"/>
          <w:szCs w:val="24"/>
        </w:rPr>
      </w:pPr>
      <w:r w:rsidRPr="00942803">
        <w:rPr>
          <w:sz w:val="24"/>
          <w:szCs w:val="24"/>
        </w:rPr>
        <w:t>services include intensive advising, peer mentoring, professional tutoring, skills-building</w:t>
      </w:r>
    </w:p>
    <w:p w14:paraId="5AB54E95" w14:textId="77777777" w:rsidR="00942803" w:rsidRDefault="00255EDD" w:rsidP="00255EDD">
      <w:pPr>
        <w:spacing w:after="0" w:line="240" w:lineRule="auto"/>
        <w:ind w:firstLine="720"/>
        <w:rPr>
          <w:sz w:val="24"/>
          <w:szCs w:val="24"/>
        </w:rPr>
      </w:pPr>
      <w:r w:rsidRPr="00942803">
        <w:rPr>
          <w:sz w:val="24"/>
          <w:szCs w:val="24"/>
        </w:rPr>
        <w:t xml:space="preserve">workshops, financial literacy instruction, merit scholarships, leadership opportunities, </w:t>
      </w:r>
    </w:p>
    <w:p w14:paraId="77988DA9" w14:textId="77777777" w:rsidR="00942803" w:rsidRDefault="00255EDD" w:rsidP="00255EDD">
      <w:pPr>
        <w:spacing w:after="0" w:line="240" w:lineRule="auto"/>
        <w:ind w:firstLine="720"/>
        <w:rPr>
          <w:sz w:val="24"/>
          <w:szCs w:val="24"/>
        </w:rPr>
      </w:pPr>
      <w:r w:rsidRPr="00942803">
        <w:rPr>
          <w:sz w:val="24"/>
          <w:szCs w:val="24"/>
        </w:rPr>
        <w:t xml:space="preserve">and other enrichment events. All first-year students are provided access to peer </w:t>
      </w:r>
    </w:p>
    <w:p w14:paraId="15DC66A7" w14:textId="77777777" w:rsidR="00942803" w:rsidRDefault="00255EDD" w:rsidP="00255EDD">
      <w:pPr>
        <w:spacing w:after="0" w:line="240" w:lineRule="auto"/>
        <w:ind w:firstLine="720"/>
        <w:rPr>
          <w:sz w:val="24"/>
          <w:szCs w:val="24"/>
        </w:rPr>
      </w:pPr>
      <w:r w:rsidRPr="00942803">
        <w:rPr>
          <w:sz w:val="24"/>
          <w:szCs w:val="24"/>
        </w:rPr>
        <w:t xml:space="preserve">mentoring to help them identify and achieve their goals.  Additionally, even during the </w:t>
      </w:r>
    </w:p>
    <w:p w14:paraId="452957A6" w14:textId="77777777" w:rsidR="00942803" w:rsidRDefault="00255EDD" w:rsidP="00255EDD">
      <w:pPr>
        <w:spacing w:after="0" w:line="240" w:lineRule="auto"/>
        <w:ind w:firstLine="720"/>
        <w:rPr>
          <w:sz w:val="24"/>
          <w:szCs w:val="24"/>
        </w:rPr>
      </w:pPr>
      <w:r w:rsidRPr="00942803">
        <w:rPr>
          <w:sz w:val="24"/>
          <w:szCs w:val="24"/>
        </w:rPr>
        <w:t>pandemic, the Johnson Scholars lounge remained a bustling place with free printing, to-</w:t>
      </w:r>
    </w:p>
    <w:p w14:paraId="312F52A2" w14:textId="7CC621D5" w:rsidR="00255EDD" w:rsidRPr="00942803" w:rsidRDefault="00255EDD" w:rsidP="00255EDD">
      <w:pPr>
        <w:spacing w:after="0" w:line="240" w:lineRule="auto"/>
        <w:ind w:firstLine="720"/>
        <w:rPr>
          <w:sz w:val="24"/>
          <w:szCs w:val="24"/>
        </w:rPr>
      </w:pPr>
      <w:r w:rsidRPr="00942803">
        <w:rPr>
          <w:sz w:val="24"/>
          <w:szCs w:val="24"/>
        </w:rPr>
        <w:t xml:space="preserve">go snacks, tutoring, collaborative study sessions and community building. </w:t>
      </w:r>
    </w:p>
    <w:p w14:paraId="26507E3C" w14:textId="77777777" w:rsidR="00255EDD" w:rsidRPr="00942803" w:rsidRDefault="00255EDD" w:rsidP="00255EDD">
      <w:pPr>
        <w:spacing w:after="0" w:line="240" w:lineRule="auto"/>
        <w:ind w:firstLine="720"/>
        <w:rPr>
          <w:sz w:val="24"/>
          <w:szCs w:val="24"/>
        </w:rPr>
      </w:pPr>
    </w:p>
    <w:p w14:paraId="7659B8AA" w14:textId="77777777" w:rsidR="00942803" w:rsidRDefault="00255EDD" w:rsidP="00255EDD">
      <w:pPr>
        <w:spacing w:after="0" w:line="240" w:lineRule="auto"/>
        <w:ind w:firstLine="720"/>
        <w:rPr>
          <w:sz w:val="24"/>
          <w:szCs w:val="24"/>
        </w:rPr>
      </w:pPr>
      <w:r w:rsidRPr="00942803">
        <w:rPr>
          <w:sz w:val="24"/>
          <w:szCs w:val="24"/>
        </w:rPr>
        <w:t xml:space="preserve">Key to the Johnson Scholars program is collaboration among Johnson Scholars advisors, </w:t>
      </w:r>
    </w:p>
    <w:p w14:paraId="1662DA29" w14:textId="77777777" w:rsidR="00942803" w:rsidRDefault="00255EDD" w:rsidP="00255EDD">
      <w:pPr>
        <w:spacing w:after="0" w:line="240" w:lineRule="auto"/>
        <w:ind w:firstLine="720"/>
        <w:rPr>
          <w:sz w:val="24"/>
          <w:szCs w:val="24"/>
        </w:rPr>
      </w:pPr>
      <w:r w:rsidRPr="00942803">
        <w:rPr>
          <w:sz w:val="24"/>
          <w:szCs w:val="24"/>
        </w:rPr>
        <w:t xml:space="preserve">faculty, and professional staff in support of students’ well-being. In August, Johnson </w:t>
      </w:r>
    </w:p>
    <w:p w14:paraId="4AE857FB" w14:textId="77777777" w:rsidR="00942803" w:rsidRDefault="00255EDD" w:rsidP="00255EDD">
      <w:pPr>
        <w:spacing w:after="0" w:line="240" w:lineRule="auto"/>
        <w:ind w:firstLine="720"/>
        <w:rPr>
          <w:sz w:val="24"/>
          <w:szCs w:val="24"/>
        </w:rPr>
      </w:pPr>
      <w:r w:rsidRPr="00942803">
        <w:rPr>
          <w:sz w:val="24"/>
          <w:szCs w:val="24"/>
        </w:rPr>
        <w:t xml:space="preserve">Scholars benefitted from scholarships targeted to students enrolled in </w:t>
      </w:r>
      <w:proofErr w:type="gramStart"/>
      <w:r w:rsidRPr="00942803">
        <w:rPr>
          <w:sz w:val="24"/>
          <w:szCs w:val="24"/>
        </w:rPr>
        <w:t>first-year</w:t>
      </w:r>
      <w:proofErr w:type="gramEnd"/>
      <w:r w:rsidRPr="00942803">
        <w:rPr>
          <w:sz w:val="24"/>
          <w:szCs w:val="24"/>
        </w:rPr>
        <w:t xml:space="preserve"> </w:t>
      </w:r>
    </w:p>
    <w:p w14:paraId="30F435C2" w14:textId="77777777" w:rsidR="00942803" w:rsidRDefault="00942803" w:rsidP="00255EDD">
      <w:pPr>
        <w:spacing w:after="0" w:line="240" w:lineRule="auto"/>
        <w:ind w:firstLine="720"/>
        <w:rPr>
          <w:sz w:val="24"/>
          <w:szCs w:val="24"/>
        </w:rPr>
      </w:pPr>
      <w:r>
        <w:rPr>
          <w:sz w:val="24"/>
          <w:szCs w:val="24"/>
        </w:rPr>
        <w:t>e</w:t>
      </w:r>
      <w:r w:rsidR="00255EDD" w:rsidRPr="00942803">
        <w:rPr>
          <w:sz w:val="24"/>
          <w:szCs w:val="24"/>
        </w:rPr>
        <w:t xml:space="preserve">xperiential fusion courses and </w:t>
      </w:r>
      <w:proofErr w:type="gramStart"/>
      <w:r w:rsidR="00255EDD" w:rsidRPr="00942803">
        <w:rPr>
          <w:sz w:val="24"/>
          <w:szCs w:val="24"/>
        </w:rPr>
        <w:t>in</w:t>
      </w:r>
      <w:r>
        <w:rPr>
          <w:sz w:val="24"/>
          <w:szCs w:val="24"/>
        </w:rPr>
        <w:t xml:space="preserve"> </w:t>
      </w:r>
      <w:r w:rsidR="00255EDD" w:rsidRPr="00942803">
        <w:rPr>
          <w:sz w:val="24"/>
          <w:szCs w:val="24"/>
        </w:rPr>
        <w:t xml:space="preserve"> the</w:t>
      </w:r>
      <w:proofErr w:type="gramEnd"/>
      <w:r w:rsidR="00255EDD" w:rsidRPr="00942803">
        <w:rPr>
          <w:sz w:val="24"/>
          <w:szCs w:val="24"/>
        </w:rPr>
        <w:t xml:space="preserve"> summer of 2022, will benefit from the Monson </w:t>
      </w:r>
    </w:p>
    <w:p w14:paraId="5F927538" w14:textId="77777777" w:rsidR="00942803" w:rsidRDefault="00255EDD" w:rsidP="00255EDD">
      <w:pPr>
        <w:spacing w:after="0" w:line="240" w:lineRule="auto"/>
        <w:ind w:firstLine="720"/>
        <w:rPr>
          <w:sz w:val="24"/>
          <w:szCs w:val="24"/>
        </w:rPr>
      </w:pPr>
      <w:r w:rsidRPr="00942803">
        <w:rPr>
          <w:sz w:val="24"/>
          <w:szCs w:val="24"/>
        </w:rPr>
        <w:t xml:space="preserve">Scholars Arts seminar, a three-week residential course designed by UMF faculty </w:t>
      </w:r>
    </w:p>
    <w:p w14:paraId="19549F34" w14:textId="77777777" w:rsidR="00942803" w:rsidRDefault="00255EDD" w:rsidP="00255EDD">
      <w:pPr>
        <w:spacing w:after="0" w:line="240" w:lineRule="auto"/>
        <w:ind w:firstLine="720"/>
        <w:rPr>
          <w:sz w:val="24"/>
          <w:szCs w:val="24"/>
        </w:rPr>
      </w:pPr>
      <w:r w:rsidRPr="00942803">
        <w:rPr>
          <w:sz w:val="24"/>
          <w:szCs w:val="24"/>
        </w:rPr>
        <w:t xml:space="preserve">specifically for Pell-eligible students and offered in partnership with Monson Arts, a </w:t>
      </w:r>
    </w:p>
    <w:p w14:paraId="7F81CCF1" w14:textId="3F78B9B2" w:rsidR="00255EDD" w:rsidRPr="00942803" w:rsidRDefault="00255EDD" w:rsidP="00255EDD">
      <w:pPr>
        <w:spacing w:after="0" w:line="240" w:lineRule="auto"/>
        <w:ind w:firstLine="720"/>
        <w:rPr>
          <w:sz w:val="24"/>
          <w:szCs w:val="24"/>
        </w:rPr>
      </w:pPr>
      <w:r w:rsidRPr="00942803">
        <w:rPr>
          <w:sz w:val="24"/>
          <w:szCs w:val="24"/>
        </w:rPr>
        <w:t>nationally competitive artist residency program in Monson, Maine.</w:t>
      </w:r>
    </w:p>
    <w:p w14:paraId="43C2AF7F" w14:textId="393C60E8" w:rsidR="00201735" w:rsidRPr="00550B75" w:rsidRDefault="00201735" w:rsidP="00255EDD">
      <w:pPr>
        <w:pStyle w:val="ListParagraph"/>
        <w:numPr>
          <w:ilvl w:val="0"/>
          <w:numId w:val="2"/>
        </w:numPr>
        <w:spacing w:after="0"/>
        <w:rPr>
          <w:sz w:val="24"/>
          <w:szCs w:val="24"/>
        </w:rPr>
      </w:pPr>
      <w:r w:rsidRPr="00444EB2">
        <w:rPr>
          <w:sz w:val="24"/>
          <w:szCs w:val="24"/>
          <w:u w:val="single"/>
        </w:rPr>
        <w:t>UMFK’s SSS</w:t>
      </w:r>
      <w:r w:rsidR="003D7B76">
        <w:rPr>
          <w:sz w:val="24"/>
          <w:szCs w:val="24"/>
        </w:rPr>
        <w:t xml:space="preserve"> serves 165</w:t>
      </w:r>
      <w:r w:rsidRPr="00550B75">
        <w:rPr>
          <w:sz w:val="24"/>
          <w:szCs w:val="24"/>
        </w:rPr>
        <w:t xml:space="preserve"> students</w:t>
      </w:r>
      <w:r w:rsidR="00097073" w:rsidRPr="00550B75">
        <w:rPr>
          <w:sz w:val="24"/>
          <w:szCs w:val="24"/>
        </w:rPr>
        <w:t xml:space="preserve">. </w:t>
      </w:r>
      <w:r w:rsidR="00BD5AF7" w:rsidRPr="00550B75">
        <w:rPr>
          <w:sz w:val="24"/>
          <w:szCs w:val="24"/>
        </w:rPr>
        <w:t>98</w:t>
      </w:r>
      <w:r w:rsidR="00A76E57" w:rsidRPr="00550B75">
        <w:rPr>
          <w:sz w:val="24"/>
          <w:szCs w:val="24"/>
        </w:rPr>
        <w:t xml:space="preserve">% of the students are </w:t>
      </w:r>
      <w:r w:rsidR="002759A2">
        <w:rPr>
          <w:sz w:val="24"/>
          <w:szCs w:val="24"/>
        </w:rPr>
        <w:t>in good academic standing and 9</w:t>
      </w:r>
      <w:r w:rsidR="00255EDD">
        <w:rPr>
          <w:sz w:val="24"/>
          <w:szCs w:val="24"/>
        </w:rPr>
        <w:t>0</w:t>
      </w:r>
      <w:r w:rsidR="00A76E57" w:rsidRPr="00550B75">
        <w:rPr>
          <w:sz w:val="24"/>
          <w:szCs w:val="24"/>
        </w:rPr>
        <w:t>% of the students participa</w:t>
      </w:r>
      <w:r w:rsidR="00255EDD">
        <w:rPr>
          <w:sz w:val="24"/>
          <w:szCs w:val="24"/>
        </w:rPr>
        <w:t xml:space="preserve">ting in the program in 2020 persisted </w:t>
      </w:r>
      <w:r w:rsidR="003D7B76">
        <w:rPr>
          <w:sz w:val="24"/>
          <w:szCs w:val="24"/>
        </w:rPr>
        <w:t>to fall 20</w:t>
      </w:r>
      <w:r w:rsidR="00255EDD">
        <w:rPr>
          <w:sz w:val="24"/>
          <w:szCs w:val="24"/>
        </w:rPr>
        <w:t>21</w:t>
      </w:r>
      <w:r w:rsidR="00A76E57" w:rsidRPr="00550B75">
        <w:rPr>
          <w:sz w:val="24"/>
          <w:szCs w:val="24"/>
        </w:rPr>
        <w:t xml:space="preserve">. </w:t>
      </w:r>
      <w:r w:rsidR="00EA5C8F" w:rsidRPr="00550B75">
        <w:rPr>
          <w:sz w:val="24"/>
          <w:szCs w:val="24"/>
        </w:rPr>
        <w:t xml:space="preserve">Students are provided with numerous supports designed to aid in their success; supports include </w:t>
      </w:r>
      <w:r w:rsidR="00EA5C8F" w:rsidRPr="00550B75">
        <w:rPr>
          <w:sz w:val="24"/>
          <w:szCs w:val="24"/>
        </w:rPr>
        <w:lastRenderedPageBreak/>
        <w:t>intrusive advising</w:t>
      </w:r>
      <w:r w:rsidR="00A76E57" w:rsidRPr="00550B75">
        <w:rPr>
          <w:sz w:val="24"/>
          <w:szCs w:val="24"/>
        </w:rPr>
        <w:t xml:space="preserve"> and coaching</w:t>
      </w:r>
      <w:r w:rsidR="00EA5C8F" w:rsidRPr="00550B75">
        <w:rPr>
          <w:sz w:val="24"/>
          <w:szCs w:val="24"/>
        </w:rPr>
        <w:t xml:space="preserve">, </w:t>
      </w:r>
      <w:r w:rsidR="00A76E57" w:rsidRPr="00550B75">
        <w:rPr>
          <w:sz w:val="24"/>
          <w:szCs w:val="24"/>
        </w:rPr>
        <w:t xml:space="preserve">basic skills developmental classes, professional and peer </w:t>
      </w:r>
      <w:r w:rsidR="00EA5C8F" w:rsidRPr="00550B75">
        <w:rPr>
          <w:sz w:val="24"/>
          <w:szCs w:val="24"/>
        </w:rPr>
        <w:t xml:space="preserve">tutoring, </w:t>
      </w:r>
      <w:r w:rsidR="00A76E57" w:rsidRPr="00550B75">
        <w:rPr>
          <w:sz w:val="24"/>
          <w:szCs w:val="24"/>
        </w:rPr>
        <w:t xml:space="preserve">supplemental instruction and writing assistance, </w:t>
      </w:r>
      <w:r w:rsidR="00EA5C8F" w:rsidRPr="00550B75">
        <w:rPr>
          <w:sz w:val="24"/>
          <w:szCs w:val="24"/>
        </w:rPr>
        <w:t>personal and career counseling, workshops in time management, study skills, and financial literacy</w:t>
      </w:r>
      <w:r w:rsidR="003D7B76">
        <w:rPr>
          <w:sz w:val="24"/>
          <w:szCs w:val="24"/>
        </w:rPr>
        <w:t xml:space="preserve"> (through </w:t>
      </w:r>
      <w:proofErr w:type="spellStart"/>
      <w:r w:rsidR="003D7B76">
        <w:rPr>
          <w:sz w:val="24"/>
          <w:szCs w:val="24"/>
        </w:rPr>
        <w:t>IGrad</w:t>
      </w:r>
      <w:proofErr w:type="spellEnd"/>
      <w:r w:rsidR="002759A2">
        <w:rPr>
          <w:sz w:val="24"/>
          <w:szCs w:val="24"/>
        </w:rPr>
        <w:t xml:space="preserve"> and ECMC</w:t>
      </w:r>
      <w:r w:rsidR="003D7B76">
        <w:rPr>
          <w:sz w:val="24"/>
          <w:szCs w:val="24"/>
        </w:rPr>
        <w:t>)</w:t>
      </w:r>
      <w:r w:rsidR="00EA5C8F" w:rsidRPr="00550B75">
        <w:rPr>
          <w:sz w:val="24"/>
          <w:szCs w:val="24"/>
        </w:rPr>
        <w:t>, and other supports responsive to identified needs.</w:t>
      </w:r>
      <w:r w:rsidR="00A76E57" w:rsidRPr="00550B75">
        <w:rPr>
          <w:sz w:val="24"/>
          <w:szCs w:val="24"/>
        </w:rPr>
        <w:t xml:space="preserve"> There is some limited grant aid available to Pell-eligible students.</w:t>
      </w:r>
    </w:p>
    <w:p w14:paraId="1ED38503" w14:textId="726F86C5" w:rsidR="00097073" w:rsidRDefault="00097073" w:rsidP="00945AEC">
      <w:pPr>
        <w:pStyle w:val="ListParagraph"/>
        <w:numPr>
          <w:ilvl w:val="0"/>
          <w:numId w:val="2"/>
        </w:numPr>
        <w:spacing w:after="0"/>
        <w:rPr>
          <w:sz w:val="24"/>
          <w:szCs w:val="24"/>
        </w:rPr>
      </w:pPr>
      <w:r w:rsidRPr="00444EB2">
        <w:rPr>
          <w:sz w:val="24"/>
          <w:szCs w:val="24"/>
          <w:u w:val="single"/>
        </w:rPr>
        <w:t>UMPI’s SSS</w:t>
      </w:r>
      <w:r>
        <w:rPr>
          <w:sz w:val="24"/>
          <w:szCs w:val="24"/>
        </w:rPr>
        <w:t xml:space="preserve"> serves 180 students</w:t>
      </w:r>
      <w:r w:rsidR="00CD048C">
        <w:rPr>
          <w:sz w:val="24"/>
          <w:szCs w:val="24"/>
        </w:rPr>
        <w:t xml:space="preserve"> (approximately one-third are first generation)</w:t>
      </w:r>
      <w:r w:rsidR="00E33598">
        <w:rPr>
          <w:sz w:val="24"/>
          <w:szCs w:val="24"/>
        </w:rPr>
        <w:t xml:space="preserve">. </w:t>
      </w:r>
      <w:r w:rsidR="002759A2">
        <w:rPr>
          <w:sz w:val="24"/>
          <w:szCs w:val="24"/>
        </w:rPr>
        <w:t>9</w:t>
      </w:r>
      <w:r w:rsidR="001456BD">
        <w:rPr>
          <w:sz w:val="24"/>
          <w:szCs w:val="24"/>
        </w:rPr>
        <w:t>9</w:t>
      </w:r>
      <w:r w:rsidR="002759A2">
        <w:rPr>
          <w:sz w:val="24"/>
          <w:szCs w:val="24"/>
        </w:rPr>
        <w:t xml:space="preserve">% are in good academic standing and </w:t>
      </w:r>
      <w:r w:rsidR="00C14669">
        <w:rPr>
          <w:sz w:val="24"/>
          <w:szCs w:val="24"/>
        </w:rPr>
        <w:t>96%</w:t>
      </w:r>
      <w:r w:rsidR="001456BD">
        <w:rPr>
          <w:sz w:val="24"/>
          <w:szCs w:val="24"/>
        </w:rPr>
        <w:t xml:space="preserve"> </w:t>
      </w:r>
      <w:r w:rsidR="002759A2">
        <w:rPr>
          <w:sz w:val="24"/>
          <w:szCs w:val="24"/>
        </w:rPr>
        <w:t>remained enroll</w:t>
      </w:r>
      <w:r w:rsidR="001456BD">
        <w:rPr>
          <w:sz w:val="24"/>
          <w:szCs w:val="24"/>
        </w:rPr>
        <w:t>ed</w:t>
      </w:r>
      <w:r w:rsidR="002759A2">
        <w:rPr>
          <w:sz w:val="24"/>
          <w:szCs w:val="24"/>
        </w:rPr>
        <w:t xml:space="preserve"> Fall 201</w:t>
      </w:r>
      <w:r w:rsidR="001456BD">
        <w:rPr>
          <w:sz w:val="24"/>
          <w:szCs w:val="24"/>
        </w:rPr>
        <w:t>9</w:t>
      </w:r>
      <w:r w:rsidR="002759A2">
        <w:rPr>
          <w:sz w:val="24"/>
          <w:szCs w:val="24"/>
        </w:rPr>
        <w:t xml:space="preserve"> to Fall 20</w:t>
      </w:r>
      <w:r w:rsidR="001456BD">
        <w:rPr>
          <w:sz w:val="24"/>
          <w:szCs w:val="24"/>
        </w:rPr>
        <w:t>20</w:t>
      </w:r>
      <w:r w:rsidR="002759A2">
        <w:rPr>
          <w:sz w:val="24"/>
          <w:szCs w:val="24"/>
        </w:rPr>
        <w:t xml:space="preserve">. </w:t>
      </w:r>
      <w:r w:rsidR="00C14669">
        <w:rPr>
          <w:sz w:val="24"/>
          <w:szCs w:val="24"/>
        </w:rPr>
        <w:t>59</w:t>
      </w:r>
      <w:r w:rsidR="00921F84">
        <w:rPr>
          <w:sz w:val="24"/>
          <w:szCs w:val="24"/>
        </w:rPr>
        <w:t xml:space="preserve">% graduate within 6 years of entry. </w:t>
      </w:r>
      <w:r w:rsidR="00E33598">
        <w:rPr>
          <w:sz w:val="24"/>
          <w:szCs w:val="24"/>
        </w:rPr>
        <w:t xml:space="preserve">Students are provided with </w:t>
      </w:r>
      <w:r w:rsidR="002759A2">
        <w:rPr>
          <w:sz w:val="24"/>
          <w:szCs w:val="24"/>
        </w:rPr>
        <w:t xml:space="preserve">peer mentoring, </w:t>
      </w:r>
      <w:r w:rsidR="00E33598">
        <w:rPr>
          <w:sz w:val="24"/>
          <w:szCs w:val="24"/>
        </w:rPr>
        <w:t>academic, career, personal and financial counseling as well as tutoring.</w:t>
      </w:r>
      <w:r>
        <w:rPr>
          <w:sz w:val="24"/>
          <w:szCs w:val="24"/>
        </w:rPr>
        <w:t xml:space="preserve"> </w:t>
      </w:r>
      <w:r w:rsidR="002759A2">
        <w:rPr>
          <w:sz w:val="24"/>
          <w:szCs w:val="24"/>
        </w:rPr>
        <w:t xml:space="preserve"> In addition, students receive individualized counseling for personal, academic and career matters and around non-cognitive factors. This includes panels held during orientation at which TRIO participants address incoming students about their fears in attending college and the strategies they used to overcome barriers</w:t>
      </w:r>
      <w:r w:rsidR="00A11560">
        <w:rPr>
          <w:sz w:val="24"/>
          <w:szCs w:val="24"/>
        </w:rPr>
        <w:t xml:space="preserve"> – these panels have encouraged students to seek assistance at the very beginning of their college careers. Tutoring has also been expanded to meet the needs of students accessing coursework via different instructional modes (example include online tutoring also available to </w:t>
      </w:r>
      <w:proofErr w:type="spellStart"/>
      <w:r w:rsidR="00A11560">
        <w:rPr>
          <w:sz w:val="24"/>
          <w:szCs w:val="24"/>
        </w:rPr>
        <w:t>YourPace</w:t>
      </w:r>
      <w:proofErr w:type="spellEnd"/>
      <w:r w:rsidR="00A11560">
        <w:rPr>
          <w:sz w:val="24"/>
          <w:szCs w:val="24"/>
        </w:rPr>
        <w:t>/CBE students).</w:t>
      </w:r>
      <w:r w:rsidR="00A973E6">
        <w:rPr>
          <w:sz w:val="24"/>
          <w:szCs w:val="24"/>
        </w:rPr>
        <w:t xml:space="preserve"> It is interesting to note that a majority of UMPI’s leadership team were themselves first generation students.</w:t>
      </w:r>
    </w:p>
    <w:p w14:paraId="7CD6A357" w14:textId="77777777" w:rsidR="002161B4" w:rsidRDefault="00921F84" w:rsidP="002161B4">
      <w:pPr>
        <w:pStyle w:val="ListParagraph"/>
        <w:numPr>
          <w:ilvl w:val="0"/>
          <w:numId w:val="2"/>
        </w:numPr>
        <w:spacing w:after="0"/>
        <w:rPr>
          <w:sz w:val="24"/>
          <w:szCs w:val="24"/>
        </w:rPr>
      </w:pPr>
      <w:r>
        <w:rPr>
          <w:sz w:val="24"/>
          <w:szCs w:val="24"/>
          <w:u w:val="single"/>
        </w:rPr>
        <w:t>UMPI’s Talent Search Program</w:t>
      </w:r>
      <w:r>
        <w:rPr>
          <w:sz w:val="24"/>
          <w:szCs w:val="24"/>
        </w:rPr>
        <w:t xml:space="preserve"> serves 500 students in grades </w:t>
      </w:r>
      <w:proofErr w:type="gramStart"/>
      <w:r>
        <w:rPr>
          <w:sz w:val="24"/>
          <w:szCs w:val="24"/>
        </w:rPr>
        <w:t>6-12,</w:t>
      </w:r>
      <w:proofErr w:type="gramEnd"/>
      <w:r>
        <w:rPr>
          <w:sz w:val="24"/>
          <w:szCs w:val="24"/>
        </w:rPr>
        <w:t xml:space="preserve"> of whom </w:t>
      </w:r>
      <w:r w:rsidR="00C14669">
        <w:rPr>
          <w:sz w:val="24"/>
          <w:szCs w:val="24"/>
        </w:rPr>
        <w:t>two-thirds</w:t>
      </w:r>
      <w:r>
        <w:rPr>
          <w:sz w:val="24"/>
          <w:szCs w:val="24"/>
        </w:rPr>
        <w:t xml:space="preserve"> were low-income and first generation; this program also received a STEM supplemental grant to encourage students to purs</w:t>
      </w:r>
      <w:r w:rsidR="002161B4">
        <w:rPr>
          <w:sz w:val="24"/>
          <w:szCs w:val="24"/>
        </w:rPr>
        <w:t>ue their passion in STEM fields.</w:t>
      </w:r>
    </w:p>
    <w:p w14:paraId="5A49BB42" w14:textId="299CBBA0" w:rsidR="002161B4" w:rsidRPr="002161B4" w:rsidRDefault="00BD5AF7" w:rsidP="002161B4">
      <w:pPr>
        <w:pStyle w:val="ListParagraph"/>
        <w:numPr>
          <w:ilvl w:val="0"/>
          <w:numId w:val="2"/>
        </w:numPr>
        <w:spacing w:after="0"/>
        <w:rPr>
          <w:sz w:val="24"/>
          <w:szCs w:val="24"/>
        </w:rPr>
      </w:pPr>
      <w:r w:rsidRPr="002161B4">
        <w:rPr>
          <w:rFonts w:cstheme="minorHAnsi"/>
          <w:sz w:val="24"/>
          <w:szCs w:val="24"/>
          <w:u w:val="single"/>
        </w:rPr>
        <w:t>USM’s SSS</w:t>
      </w:r>
      <w:r w:rsidR="008E55C4" w:rsidRPr="002161B4">
        <w:rPr>
          <w:rFonts w:cstheme="minorHAnsi"/>
          <w:sz w:val="24"/>
          <w:szCs w:val="24"/>
        </w:rPr>
        <w:t xml:space="preserve"> currently serves</w:t>
      </w:r>
      <w:r w:rsidR="002161B4" w:rsidRPr="002161B4">
        <w:rPr>
          <w:rFonts w:cstheme="minorHAnsi"/>
          <w:sz w:val="24"/>
          <w:szCs w:val="24"/>
        </w:rPr>
        <w:t xml:space="preserve"> students in two programs: within the TRIO Scholars </w:t>
      </w:r>
      <w:proofErr w:type="gramStart"/>
      <w:r w:rsidR="002161B4" w:rsidRPr="002161B4">
        <w:rPr>
          <w:rFonts w:cstheme="minorHAnsi"/>
          <w:sz w:val="24"/>
          <w:szCs w:val="24"/>
        </w:rPr>
        <w:t xml:space="preserve">Program, </w:t>
      </w:r>
      <w:r w:rsidR="008E55C4" w:rsidRPr="002161B4">
        <w:rPr>
          <w:rFonts w:cstheme="minorHAnsi"/>
          <w:sz w:val="24"/>
          <w:szCs w:val="24"/>
        </w:rPr>
        <w:t xml:space="preserve"> 143</w:t>
      </w:r>
      <w:proofErr w:type="gramEnd"/>
      <w:r w:rsidRPr="002161B4">
        <w:rPr>
          <w:rFonts w:cstheme="minorHAnsi"/>
          <w:sz w:val="24"/>
          <w:szCs w:val="24"/>
        </w:rPr>
        <w:t xml:space="preserve"> </w:t>
      </w:r>
      <w:r w:rsidR="00514ED8" w:rsidRPr="002161B4">
        <w:rPr>
          <w:rFonts w:cstheme="minorHAnsi"/>
          <w:sz w:val="24"/>
          <w:szCs w:val="24"/>
        </w:rPr>
        <w:t>students</w:t>
      </w:r>
      <w:r w:rsidR="002161B4" w:rsidRPr="002161B4">
        <w:rPr>
          <w:rFonts w:cstheme="minorHAnsi"/>
          <w:sz w:val="24"/>
          <w:szCs w:val="24"/>
        </w:rPr>
        <w:t xml:space="preserve"> participate</w:t>
      </w:r>
      <w:r w:rsidR="008E55C4" w:rsidRPr="002161B4">
        <w:rPr>
          <w:rFonts w:cstheme="minorHAnsi"/>
          <w:sz w:val="24"/>
          <w:szCs w:val="24"/>
        </w:rPr>
        <w:t xml:space="preserve">, </w:t>
      </w:r>
      <w:r w:rsidR="002161B4" w:rsidRPr="002161B4">
        <w:rPr>
          <w:rFonts w:cstheme="minorHAnsi"/>
          <w:sz w:val="24"/>
          <w:szCs w:val="24"/>
        </w:rPr>
        <w:t>68</w:t>
      </w:r>
      <w:r w:rsidR="002C7077" w:rsidRPr="002161B4">
        <w:rPr>
          <w:rFonts w:cstheme="minorHAnsi"/>
          <w:sz w:val="24"/>
          <w:szCs w:val="24"/>
        </w:rPr>
        <w:t>% of whom are first generation students</w:t>
      </w:r>
      <w:r w:rsidR="002161B4" w:rsidRPr="002161B4">
        <w:rPr>
          <w:rFonts w:cstheme="minorHAnsi"/>
          <w:sz w:val="24"/>
          <w:szCs w:val="24"/>
        </w:rPr>
        <w:t xml:space="preserve"> and within the TRI STEM Scholars Program, 90 students participate, 72% of whom are first generation students</w:t>
      </w:r>
      <w:r w:rsidR="00514ED8" w:rsidRPr="002161B4">
        <w:rPr>
          <w:rFonts w:cstheme="minorHAnsi"/>
          <w:sz w:val="24"/>
          <w:szCs w:val="24"/>
        </w:rPr>
        <w:t xml:space="preserve">. </w:t>
      </w:r>
      <w:r w:rsidR="002161B4" w:rsidRPr="002161B4">
        <w:rPr>
          <w:rFonts w:eastAsia="Times New Roman" w:cstheme="minorHAnsi"/>
          <w:sz w:val="24"/>
          <w:szCs w:val="24"/>
        </w:rPr>
        <w:t xml:space="preserve">SSS services supplement existing USM services, and include proactive academic advising and coaching, financial aid assistance, financial literacy skills, academic support and tutoring, </w:t>
      </w:r>
      <w:proofErr w:type="gramStart"/>
      <w:r w:rsidR="002161B4" w:rsidRPr="002161B4">
        <w:rPr>
          <w:rFonts w:eastAsia="Times New Roman" w:cstheme="minorHAnsi"/>
          <w:sz w:val="24"/>
          <w:szCs w:val="24"/>
        </w:rPr>
        <w:t>career</w:t>
      </w:r>
      <w:proofErr w:type="gramEnd"/>
      <w:r w:rsidR="002161B4" w:rsidRPr="002161B4">
        <w:rPr>
          <w:rFonts w:eastAsia="Times New Roman" w:cstheme="minorHAnsi"/>
          <w:sz w:val="24"/>
          <w:szCs w:val="24"/>
        </w:rPr>
        <w:t xml:space="preserve"> and graduate school preparation, plus a summer bridge program designed to help first generation students acclimate to college life and get engaged on campus. SSS advisors work in collaboration with the student's USM Advisor and faculty advisor, and TRIO Ambassadors and Peer Mentors are in place to provide peer coaching and mentoring for TRIO students. USM is currently pursuing another TRIO grant (McNair Scholars) which will serve an additional 25 high achieving first-generation/income-eligible and/or underrepresented undergraduate students to involve them in research opportunities and scholarly activities </w:t>
      </w:r>
      <w:proofErr w:type="gramStart"/>
      <w:r w:rsidR="002161B4" w:rsidRPr="002161B4">
        <w:rPr>
          <w:rFonts w:eastAsia="Times New Roman" w:cstheme="minorHAnsi"/>
          <w:sz w:val="24"/>
          <w:szCs w:val="24"/>
        </w:rPr>
        <w:t>in order to</w:t>
      </w:r>
      <w:proofErr w:type="gramEnd"/>
      <w:r w:rsidR="002161B4" w:rsidRPr="002161B4">
        <w:rPr>
          <w:rFonts w:eastAsia="Times New Roman" w:cstheme="minorHAnsi"/>
          <w:sz w:val="24"/>
          <w:szCs w:val="24"/>
        </w:rPr>
        <w:t xml:space="preserve"> encourage them to apply for and enroll in graduate studies.</w:t>
      </w:r>
    </w:p>
    <w:p w14:paraId="078ADFE1" w14:textId="258F7EA1" w:rsidR="00570A29" w:rsidRPr="00C86071" w:rsidRDefault="00570A29" w:rsidP="002161B4">
      <w:pPr>
        <w:pStyle w:val="ListParagraph"/>
        <w:spacing w:after="0"/>
      </w:pPr>
    </w:p>
    <w:p w14:paraId="75BB6DE9" w14:textId="77777777" w:rsidR="00570A29" w:rsidRDefault="00570A29" w:rsidP="00570A29">
      <w:pPr>
        <w:spacing w:after="0"/>
        <w:rPr>
          <w:sz w:val="24"/>
          <w:szCs w:val="24"/>
        </w:rPr>
      </w:pPr>
      <w:r w:rsidRPr="0061483E">
        <w:rPr>
          <w:sz w:val="24"/>
          <w:szCs w:val="24"/>
        </w:rPr>
        <w:lastRenderedPageBreak/>
        <w:t>In addition to these TRIO</w:t>
      </w:r>
      <w:r w:rsidR="008A47B8" w:rsidRPr="0061483E">
        <w:rPr>
          <w:sz w:val="24"/>
          <w:szCs w:val="24"/>
        </w:rPr>
        <w:t xml:space="preserve"> grants</w:t>
      </w:r>
      <w:r w:rsidRPr="0061483E">
        <w:rPr>
          <w:sz w:val="24"/>
          <w:szCs w:val="24"/>
        </w:rPr>
        <w:t xml:space="preserve">, several campuses have MELMAC </w:t>
      </w:r>
      <w:r w:rsidR="005E0768">
        <w:rPr>
          <w:sz w:val="24"/>
          <w:szCs w:val="24"/>
        </w:rPr>
        <w:t xml:space="preserve">Education Foundation “Support Early </w:t>
      </w:r>
      <w:r w:rsidRPr="0061483E">
        <w:rPr>
          <w:sz w:val="24"/>
          <w:szCs w:val="24"/>
        </w:rPr>
        <w:t>Success</w:t>
      </w:r>
      <w:r w:rsidR="005E0768">
        <w:rPr>
          <w:sz w:val="24"/>
          <w:szCs w:val="24"/>
        </w:rPr>
        <w:t xml:space="preserve"> in College</w:t>
      </w:r>
      <w:r w:rsidRPr="0061483E">
        <w:rPr>
          <w:sz w:val="24"/>
          <w:szCs w:val="24"/>
        </w:rPr>
        <w:t>” grants which also are predominantly serving first-generation students through the provision of additional supports.</w:t>
      </w:r>
    </w:p>
    <w:p w14:paraId="3274862C" w14:textId="77777777" w:rsidR="006E55D3" w:rsidRPr="0061483E" w:rsidRDefault="006E55D3" w:rsidP="00570A29">
      <w:pPr>
        <w:spacing w:after="0"/>
        <w:rPr>
          <w:sz w:val="24"/>
          <w:szCs w:val="24"/>
        </w:rPr>
      </w:pPr>
    </w:p>
    <w:p w14:paraId="3B4C09A5" w14:textId="77777777" w:rsidR="00570A29" w:rsidRPr="0061483E" w:rsidRDefault="007C69C1" w:rsidP="00B772DF">
      <w:pPr>
        <w:pStyle w:val="Heading2"/>
      </w:pPr>
      <w:r w:rsidRPr="0061483E">
        <w:t>Plans or Recommendations Regarding Enrollment and Retention of First-Generation College Students</w:t>
      </w:r>
    </w:p>
    <w:p w14:paraId="6F1AD99A" w14:textId="77777777" w:rsidR="007C69C1" w:rsidRPr="0061483E" w:rsidRDefault="007C69C1" w:rsidP="00570A29">
      <w:pPr>
        <w:spacing w:after="0"/>
        <w:rPr>
          <w:sz w:val="24"/>
          <w:szCs w:val="24"/>
        </w:rPr>
      </w:pPr>
    </w:p>
    <w:p w14:paraId="741AE0E7" w14:textId="150C6524" w:rsidR="008A47B8" w:rsidRDefault="007C69C1" w:rsidP="00570A29">
      <w:pPr>
        <w:spacing w:after="0"/>
        <w:rPr>
          <w:sz w:val="24"/>
          <w:szCs w:val="24"/>
        </w:rPr>
      </w:pPr>
      <w:r w:rsidRPr="0061483E">
        <w:rPr>
          <w:sz w:val="24"/>
          <w:szCs w:val="24"/>
        </w:rPr>
        <w:t>As you can see from the many efforts already underway at our universities</w:t>
      </w:r>
      <w:r w:rsidR="0014387D">
        <w:rPr>
          <w:sz w:val="24"/>
          <w:szCs w:val="24"/>
        </w:rPr>
        <w:t xml:space="preserve"> and the extensive additional supports provided during the pandemic</w:t>
      </w:r>
      <w:r w:rsidRPr="0061483E">
        <w:rPr>
          <w:sz w:val="24"/>
          <w:szCs w:val="24"/>
        </w:rPr>
        <w:t>, a wide range of programs, services and supports are in place for our students from the time of first inquiry to enrollment, and enhanced services and supports are put in place every year as we further refine our student success efforts.</w:t>
      </w:r>
      <w:r w:rsidR="00C218AF">
        <w:rPr>
          <w:sz w:val="24"/>
          <w:szCs w:val="24"/>
        </w:rPr>
        <w:t xml:space="preserve"> We have implemented a Systemwide Student Success Steering Committee which is reviewing this data, discussing successful prog</w:t>
      </w:r>
      <w:r w:rsidR="00D2314F">
        <w:rPr>
          <w:sz w:val="24"/>
          <w:szCs w:val="24"/>
        </w:rPr>
        <w:t>r</w:t>
      </w:r>
      <w:r w:rsidR="00C218AF">
        <w:rPr>
          <w:sz w:val="24"/>
          <w:szCs w:val="24"/>
        </w:rPr>
        <w:t>ams already in place and examining national best practice in developing additional supports and/or revising some currently in place.</w:t>
      </w:r>
      <w:r w:rsidRPr="0061483E">
        <w:rPr>
          <w:sz w:val="24"/>
          <w:szCs w:val="24"/>
        </w:rPr>
        <w:t xml:space="preserve"> </w:t>
      </w:r>
    </w:p>
    <w:p w14:paraId="23AEF029" w14:textId="3534BABC" w:rsidR="0014387D" w:rsidRDefault="0014387D" w:rsidP="00570A29">
      <w:pPr>
        <w:spacing w:after="0"/>
        <w:rPr>
          <w:sz w:val="24"/>
          <w:szCs w:val="24"/>
        </w:rPr>
      </w:pPr>
    </w:p>
    <w:p w14:paraId="76050936" w14:textId="1B6A489B" w:rsidR="00C30DF4" w:rsidRDefault="005256DA" w:rsidP="0061483E">
      <w:pPr>
        <w:spacing w:after="0"/>
        <w:rPr>
          <w:sz w:val="24"/>
          <w:szCs w:val="24"/>
        </w:rPr>
      </w:pPr>
      <w:r w:rsidRPr="0061483E">
        <w:rPr>
          <w:sz w:val="24"/>
          <w:szCs w:val="24"/>
        </w:rPr>
        <w:t>From a statewide perspectiv</w:t>
      </w:r>
      <w:r w:rsidR="00514ED8">
        <w:rPr>
          <w:sz w:val="24"/>
          <w:szCs w:val="24"/>
        </w:rPr>
        <w:t xml:space="preserve">e, the report </w:t>
      </w:r>
      <w:r w:rsidR="00036A54">
        <w:rPr>
          <w:sz w:val="24"/>
          <w:szCs w:val="24"/>
        </w:rPr>
        <w:t>issued</w:t>
      </w:r>
      <w:r w:rsidR="006E55D3">
        <w:rPr>
          <w:sz w:val="24"/>
          <w:szCs w:val="24"/>
        </w:rPr>
        <w:t xml:space="preserve"> </w:t>
      </w:r>
      <w:r w:rsidR="00514ED8">
        <w:rPr>
          <w:sz w:val="24"/>
          <w:szCs w:val="24"/>
        </w:rPr>
        <w:t xml:space="preserve">in 2015 </w:t>
      </w:r>
      <w:r w:rsidR="006E55D3">
        <w:rPr>
          <w:sz w:val="24"/>
          <w:szCs w:val="24"/>
        </w:rPr>
        <w:t xml:space="preserve">by the legislative committee, Commission of Affordability and College Completion, </w:t>
      </w:r>
      <w:r w:rsidRPr="0061483E">
        <w:rPr>
          <w:sz w:val="24"/>
          <w:szCs w:val="24"/>
        </w:rPr>
        <w:t>serve</w:t>
      </w:r>
      <w:r w:rsidR="0036058F">
        <w:rPr>
          <w:sz w:val="24"/>
          <w:szCs w:val="24"/>
        </w:rPr>
        <w:t>d</w:t>
      </w:r>
      <w:r w:rsidRPr="0061483E">
        <w:rPr>
          <w:sz w:val="24"/>
          <w:szCs w:val="24"/>
        </w:rPr>
        <w:t xml:space="preserve"> as an important underpinning to the largest is</w:t>
      </w:r>
      <w:r w:rsidR="006E55D3">
        <w:rPr>
          <w:sz w:val="24"/>
          <w:szCs w:val="24"/>
        </w:rPr>
        <w:t>sue Maine students face which</w:t>
      </w:r>
      <w:r w:rsidRPr="0061483E">
        <w:rPr>
          <w:sz w:val="24"/>
          <w:szCs w:val="24"/>
        </w:rPr>
        <w:t xml:space="preserve"> is their ability to fund their college education</w:t>
      </w:r>
      <w:r w:rsidR="006E55D3">
        <w:rPr>
          <w:sz w:val="24"/>
          <w:szCs w:val="24"/>
        </w:rPr>
        <w:t xml:space="preserve"> and successfully complete it</w:t>
      </w:r>
      <w:r w:rsidRPr="0061483E">
        <w:rPr>
          <w:sz w:val="24"/>
          <w:szCs w:val="24"/>
        </w:rPr>
        <w:t>.</w:t>
      </w:r>
      <w:r w:rsidR="004C3BEF">
        <w:rPr>
          <w:sz w:val="24"/>
          <w:szCs w:val="24"/>
        </w:rPr>
        <w:t xml:space="preserve"> There has been much discussion about this important issue since the time of the report, and great interest in addressing the dual issues of college affordability and student debt.</w:t>
      </w:r>
      <w:r w:rsidR="00545715">
        <w:rPr>
          <w:sz w:val="24"/>
          <w:szCs w:val="24"/>
        </w:rPr>
        <w:t xml:space="preserve"> </w:t>
      </w:r>
      <w:r w:rsidR="002239A8">
        <w:rPr>
          <w:sz w:val="24"/>
          <w:szCs w:val="24"/>
        </w:rPr>
        <w:t>This Commission has been reformed; it will be interesting to see what new initiatives and thinking may emerge as a part of this new work.</w:t>
      </w:r>
    </w:p>
    <w:p w14:paraId="7607938C" w14:textId="239AF63C" w:rsidR="00C30DF4" w:rsidRDefault="00C30DF4" w:rsidP="0061483E">
      <w:pPr>
        <w:spacing w:after="0"/>
        <w:rPr>
          <w:sz w:val="24"/>
          <w:szCs w:val="24"/>
        </w:rPr>
      </w:pPr>
    </w:p>
    <w:p w14:paraId="38EC02BE" w14:textId="1C17F361" w:rsidR="00C30DF4" w:rsidRDefault="00C30DF4" w:rsidP="00C30DF4">
      <w:pPr>
        <w:spacing w:after="0"/>
        <w:rPr>
          <w:sz w:val="24"/>
          <w:szCs w:val="24"/>
        </w:rPr>
      </w:pPr>
      <w:r>
        <w:rPr>
          <w:sz w:val="24"/>
          <w:szCs w:val="24"/>
        </w:rPr>
        <w:t xml:space="preserve">The pandemic has brought many of the issues facing first generation students into stark relief – the access to broadband and an environment conducive to learning, the availability of </w:t>
      </w:r>
      <w:proofErr w:type="gramStart"/>
      <w:r>
        <w:rPr>
          <w:sz w:val="24"/>
          <w:szCs w:val="24"/>
        </w:rPr>
        <w:t>child care</w:t>
      </w:r>
      <w:proofErr w:type="gramEnd"/>
      <w:r>
        <w:rPr>
          <w:sz w:val="24"/>
          <w:szCs w:val="24"/>
        </w:rPr>
        <w:t xml:space="preserve"> for adult learners, issues of food and housing insecurity, concerns about finances and financing college, and, perhaps most significantly, an uncertainty about attending college and the importance of educational attainment. All institutions are focused on raising the attainment rate of Maine’s students – the impact of the pandemic has certainly impeded the progress on this</w:t>
      </w:r>
      <w:r w:rsidR="00C218AF">
        <w:rPr>
          <w:sz w:val="24"/>
          <w:szCs w:val="24"/>
        </w:rPr>
        <w:t xml:space="preserve"> for our </w:t>
      </w:r>
      <w:proofErr w:type="gramStart"/>
      <w:r w:rsidR="00C218AF">
        <w:rPr>
          <w:sz w:val="24"/>
          <w:szCs w:val="24"/>
        </w:rPr>
        <w:t>first generation</w:t>
      </w:r>
      <w:proofErr w:type="gramEnd"/>
      <w:r w:rsidR="00C218AF">
        <w:rPr>
          <w:sz w:val="24"/>
          <w:szCs w:val="24"/>
        </w:rPr>
        <w:t xml:space="preserve"> students</w:t>
      </w:r>
      <w:r>
        <w:rPr>
          <w:sz w:val="24"/>
          <w:szCs w:val="24"/>
        </w:rPr>
        <w:t xml:space="preserve"> and could take some time to recover.</w:t>
      </w:r>
      <w:r w:rsidR="008D2CB2">
        <w:rPr>
          <w:sz w:val="24"/>
          <w:szCs w:val="24"/>
        </w:rPr>
        <w:t xml:space="preserve"> </w:t>
      </w:r>
    </w:p>
    <w:p w14:paraId="5DE09E89" w14:textId="77777777" w:rsidR="008D2CB2" w:rsidRPr="0061483E" w:rsidRDefault="008D2CB2" w:rsidP="00C30DF4">
      <w:pPr>
        <w:spacing w:after="0"/>
        <w:rPr>
          <w:sz w:val="24"/>
          <w:szCs w:val="24"/>
        </w:rPr>
      </w:pPr>
    </w:p>
    <w:p w14:paraId="2C3209AF" w14:textId="014DBFD9" w:rsidR="00683AC9" w:rsidRDefault="008D2CB2" w:rsidP="0061483E">
      <w:pPr>
        <w:spacing w:after="0"/>
        <w:rPr>
          <w:sz w:val="24"/>
          <w:szCs w:val="24"/>
        </w:rPr>
      </w:pPr>
      <w:r>
        <w:rPr>
          <w:sz w:val="24"/>
          <w:szCs w:val="24"/>
        </w:rPr>
        <w:t xml:space="preserve">Many of these same issues were raised within the recent recommendations of the Economic Recovery Committee. </w:t>
      </w:r>
      <w:r w:rsidR="00545715">
        <w:rPr>
          <w:sz w:val="24"/>
          <w:szCs w:val="24"/>
        </w:rPr>
        <w:t>Finding a solution to this within the state</w:t>
      </w:r>
      <w:r w:rsidR="00C30DF4">
        <w:rPr>
          <w:sz w:val="24"/>
          <w:szCs w:val="24"/>
        </w:rPr>
        <w:t xml:space="preserve"> through a statewide solution to broadband access and </w:t>
      </w:r>
      <w:proofErr w:type="gramStart"/>
      <w:r w:rsidR="00C30DF4">
        <w:rPr>
          <w:sz w:val="24"/>
          <w:szCs w:val="24"/>
        </w:rPr>
        <w:t>child care</w:t>
      </w:r>
      <w:proofErr w:type="gramEnd"/>
      <w:r w:rsidR="00C30DF4">
        <w:rPr>
          <w:sz w:val="24"/>
          <w:szCs w:val="24"/>
        </w:rPr>
        <w:t xml:space="preserve"> availability, creative outreach, educational and aspiration campaigns and through thoughtful programs that can address affordability and student debt</w:t>
      </w:r>
      <w:r w:rsidR="00545715">
        <w:rPr>
          <w:sz w:val="24"/>
          <w:szCs w:val="24"/>
        </w:rPr>
        <w:t xml:space="preserve"> can only positively benefit Maine’s college st</w:t>
      </w:r>
      <w:r w:rsidR="00497C12">
        <w:rPr>
          <w:sz w:val="24"/>
          <w:szCs w:val="24"/>
        </w:rPr>
        <w:t xml:space="preserve">udents and their families and, </w:t>
      </w:r>
      <w:r w:rsidR="00545715">
        <w:rPr>
          <w:sz w:val="24"/>
          <w:szCs w:val="24"/>
        </w:rPr>
        <w:t xml:space="preserve">perhaps even more importantly, enable them to complete their degrees and live and work in Maine as vibrant contributors to the economy and </w:t>
      </w:r>
      <w:r w:rsidR="00497C12">
        <w:rPr>
          <w:sz w:val="24"/>
          <w:szCs w:val="24"/>
        </w:rPr>
        <w:t xml:space="preserve">the </w:t>
      </w:r>
      <w:r w:rsidR="00545715">
        <w:rPr>
          <w:sz w:val="24"/>
          <w:szCs w:val="24"/>
        </w:rPr>
        <w:t>future of the state</w:t>
      </w:r>
      <w:r w:rsidR="00514ED8">
        <w:rPr>
          <w:sz w:val="24"/>
          <w:szCs w:val="24"/>
        </w:rPr>
        <w:t>.</w:t>
      </w:r>
    </w:p>
    <w:p w14:paraId="3C60AC6D" w14:textId="50214C26" w:rsidR="00683AC9" w:rsidRPr="00C86071" w:rsidRDefault="00551658" w:rsidP="00A023CD">
      <w:pPr>
        <w:pStyle w:val="Heading1"/>
        <w:jc w:val="left"/>
      </w:pPr>
      <w:r>
        <w:lastRenderedPageBreak/>
        <w:t xml:space="preserve">TABLE 1:  </w:t>
      </w:r>
      <w:r w:rsidRPr="00B772DF">
        <w:t>2021</w:t>
      </w:r>
      <w:r w:rsidR="00C42A4A">
        <w:t xml:space="preserve"> COHORT</w:t>
      </w:r>
    </w:p>
    <w:p w14:paraId="63C3A2BE" w14:textId="267C78D1" w:rsidR="00FF4CED" w:rsidRDefault="00FF4CED" w:rsidP="0061483E">
      <w:pPr>
        <w:spacing w:after="0"/>
        <w:rPr>
          <w:sz w:val="24"/>
          <w:szCs w:val="24"/>
        </w:rPr>
      </w:pPr>
      <w:r>
        <w:rPr>
          <w:sz w:val="24"/>
          <w:szCs w:val="24"/>
        </w:rPr>
        <w:t>(Note: Includes degree seeking students only)</w:t>
      </w:r>
    </w:p>
    <w:p w14:paraId="1033BFB9" w14:textId="77777777" w:rsidR="00A023CD" w:rsidRDefault="00A023CD" w:rsidP="0061483E">
      <w:pPr>
        <w:spacing w:after="0"/>
        <w:rPr>
          <w:sz w:val="24"/>
          <w:szCs w:val="24"/>
        </w:rPr>
      </w:pPr>
    </w:p>
    <w:p w14:paraId="6347485C" w14:textId="23DD54B3" w:rsidR="00FF4CED" w:rsidRPr="00461D7A" w:rsidRDefault="003A5195" w:rsidP="00B772DF">
      <w:pPr>
        <w:pStyle w:val="Heading2"/>
        <w:jc w:val="center"/>
      </w:pPr>
      <w:r>
        <w:t>Fall 2021</w:t>
      </w:r>
      <w:r w:rsidR="00FF4CED" w:rsidRPr="00461D7A">
        <w:t xml:space="preserve"> All Entering Degree</w:t>
      </w:r>
      <w:r w:rsidR="00FF4CED">
        <w:t>-</w:t>
      </w:r>
      <w:r w:rsidR="00FF4CED" w:rsidRPr="00461D7A">
        <w:t>Seeking Students</w:t>
      </w:r>
    </w:p>
    <w:p w14:paraId="40AFDC7F" w14:textId="11B502FF" w:rsidR="00FF4CED" w:rsidRDefault="00FF4CED" w:rsidP="00B772DF">
      <w:pPr>
        <w:pStyle w:val="Heading3"/>
      </w:pPr>
      <w:r>
        <w:t xml:space="preserve">Table 1a. </w:t>
      </w:r>
      <w:r w:rsidRPr="00EA4BA0">
        <w:t>First-Time Students by Campus</w:t>
      </w:r>
    </w:p>
    <w:tbl>
      <w:tblPr>
        <w:tblStyle w:val="GridTable4-Accent11"/>
        <w:tblW w:w="9360" w:type="dxa"/>
        <w:tblLook w:val="04A0" w:firstRow="1" w:lastRow="0" w:firstColumn="1" w:lastColumn="0" w:noHBand="0" w:noVBand="1"/>
        <w:tblCaption w:val="First-Time Students by Campus"/>
        <w:tblDescription w:val="First-time students by campus. Includes both full- and part-time entering degree seeking students."/>
      </w:tblPr>
      <w:tblGrid>
        <w:gridCol w:w="2796"/>
        <w:gridCol w:w="820"/>
        <w:gridCol w:w="821"/>
        <w:gridCol w:w="820"/>
        <w:gridCol w:w="821"/>
        <w:gridCol w:w="820"/>
        <w:gridCol w:w="821"/>
        <w:gridCol w:w="820"/>
        <w:gridCol w:w="821"/>
      </w:tblGrid>
      <w:tr w:rsidR="003A5195" w:rsidRPr="00B11DBE" w14:paraId="69DE2BFB"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4417AB1C" w14:textId="77777777" w:rsidR="003A5195" w:rsidRPr="00EA4BA0" w:rsidRDefault="003A5195" w:rsidP="00712BA8">
            <w:pPr>
              <w:rPr>
                <w:rFonts w:eastAsia="Times New Roman" w:cstheme="minorHAnsi"/>
                <w:szCs w:val="24"/>
              </w:rPr>
            </w:pPr>
            <w:r>
              <w:rPr>
                <w:rFonts w:eastAsia="Times New Roman" w:cstheme="minorHAnsi"/>
                <w:szCs w:val="24"/>
              </w:rPr>
              <w:t>Student Type</w:t>
            </w:r>
          </w:p>
        </w:tc>
        <w:tc>
          <w:tcPr>
            <w:tcW w:w="820" w:type="dxa"/>
            <w:noWrap/>
            <w:hideMark/>
          </w:tcPr>
          <w:p w14:paraId="5B0C2C49"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7D0BC18F"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470D915F"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6E8EBE41"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7525AE29"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4197401F"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6283CE62"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75917FBB"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3A5195" w:rsidRPr="00B11DBE" w14:paraId="287EC316"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0B4A308D" w14:textId="77777777" w:rsidR="003A5195" w:rsidRPr="00EA4BA0" w:rsidRDefault="003A5195"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tcPr>
          <w:p w14:paraId="38354812" w14:textId="77777777" w:rsidR="003A5195" w:rsidRPr="00EA4BA0"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078B">
              <w:t>526</w:t>
            </w:r>
          </w:p>
        </w:tc>
        <w:tc>
          <w:tcPr>
            <w:tcW w:w="821" w:type="dxa"/>
            <w:noWrap/>
          </w:tcPr>
          <w:p w14:paraId="6F1AB2E1" w14:textId="77777777" w:rsidR="003A5195" w:rsidRPr="00EA4BA0"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078B">
              <w:t>227</w:t>
            </w:r>
          </w:p>
        </w:tc>
        <w:tc>
          <w:tcPr>
            <w:tcW w:w="820" w:type="dxa"/>
            <w:noWrap/>
          </w:tcPr>
          <w:p w14:paraId="6E4D417F" w14:textId="77777777" w:rsidR="003A5195" w:rsidRPr="00EA4BA0"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078B">
              <w:t>164</w:t>
            </w:r>
          </w:p>
        </w:tc>
        <w:tc>
          <w:tcPr>
            <w:tcW w:w="821" w:type="dxa"/>
            <w:noWrap/>
          </w:tcPr>
          <w:p w14:paraId="24D6845F" w14:textId="77777777" w:rsidR="003A5195" w:rsidRPr="00EA4BA0"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078B">
              <w:t>33</w:t>
            </w:r>
          </w:p>
        </w:tc>
        <w:tc>
          <w:tcPr>
            <w:tcW w:w="820" w:type="dxa"/>
            <w:noWrap/>
          </w:tcPr>
          <w:p w14:paraId="54A10541" w14:textId="77777777" w:rsidR="003A5195" w:rsidRPr="00EA4BA0"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078B">
              <w:t>46</w:t>
            </w:r>
          </w:p>
        </w:tc>
        <w:tc>
          <w:tcPr>
            <w:tcW w:w="821" w:type="dxa"/>
            <w:noWrap/>
          </w:tcPr>
          <w:p w14:paraId="40537929" w14:textId="77777777" w:rsidR="003A5195" w:rsidRPr="00EA4BA0"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078B">
              <w:t>77</w:t>
            </w:r>
          </w:p>
        </w:tc>
        <w:tc>
          <w:tcPr>
            <w:tcW w:w="820" w:type="dxa"/>
            <w:noWrap/>
          </w:tcPr>
          <w:p w14:paraId="5D5BFEF9" w14:textId="77777777" w:rsidR="003A5195" w:rsidRPr="00EA4BA0"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078B">
              <w:t>408</w:t>
            </w:r>
          </w:p>
        </w:tc>
        <w:tc>
          <w:tcPr>
            <w:tcW w:w="821" w:type="dxa"/>
            <w:noWrap/>
          </w:tcPr>
          <w:p w14:paraId="2D517192" w14:textId="77777777" w:rsidR="003A5195" w:rsidRPr="00031314"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031314">
              <w:rPr>
                <w:b/>
                <w:bCs/>
                <w:i/>
                <w:iCs/>
              </w:rPr>
              <w:t>1,481</w:t>
            </w:r>
          </w:p>
        </w:tc>
      </w:tr>
      <w:tr w:rsidR="003A5195" w:rsidRPr="00B11DBE" w14:paraId="09D8BDE3"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220EDCB0" w14:textId="77777777" w:rsidR="003A5195" w:rsidRPr="00EA4BA0" w:rsidRDefault="003A5195"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tcPr>
          <w:p w14:paraId="2F352088" w14:textId="77777777" w:rsidR="003A5195" w:rsidRPr="00EA4BA0"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3078B">
              <w:t>2,225</w:t>
            </w:r>
          </w:p>
        </w:tc>
        <w:tc>
          <w:tcPr>
            <w:tcW w:w="821" w:type="dxa"/>
            <w:noWrap/>
          </w:tcPr>
          <w:p w14:paraId="242DDE05" w14:textId="77777777" w:rsidR="003A5195" w:rsidRPr="00EA4BA0"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3078B">
              <w:t>323</w:t>
            </w:r>
          </w:p>
        </w:tc>
        <w:tc>
          <w:tcPr>
            <w:tcW w:w="820" w:type="dxa"/>
            <w:noWrap/>
          </w:tcPr>
          <w:p w14:paraId="0EAB2CC7" w14:textId="77777777" w:rsidR="003A5195" w:rsidRPr="00EA4BA0"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3078B">
              <w:t>345</w:t>
            </w:r>
          </w:p>
        </w:tc>
        <w:tc>
          <w:tcPr>
            <w:tcW w:w="821" w:type="dxa"/>
            <w:noWrap/>
          </w:tcPr>
          <w:p w14:paraId="57E1824B" w14:textId="77777777" w:rsidR="003A5195" w:rsidRPr="00EA4BA0"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3078B">
              <w:t>67</w:t>
            </w:r>
          </w:p>
        </w:tc>
        <w:tc>
          <w:tcPr>
            <w:tcW w:w="820" w:type="dxa"/>
            <w:noWrap/>
          </w:tcPr>
          <w:p w14:paraId="01505356" w14:textId="77777777" w:rsidR="003A5195" w:rsidRPr="00EA4BA0"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3078B">
              <w:t>92</w:t>
            </w:r>
          </w:p>
        </w:tc>
        <w:tc>
          <w:tcPr>
            <w:tcW w:w="821" w:type="dxa"/>
            <w:noWrap/>
          </w:tcPr>
          <w:p w14:paraId="0199C6CA" w14:textId="77777777" w:rsidR="003A5195" w:rsidRPr="00EA4BA0"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3078B">
              <w:t>170</w:t>
            </w:r>
          </w:p>
        </w:tc>
        <w:tc>
          <w:tcPr>
            <w:tcW w:w="820" w:type="dxa"/>
            <w:noWrap/>
          </w:tcPr>
          <w:p w14:paraId="036BDDDF" w14:textId="77777777" w:rsidR="003A5195" w:rsidRPr="00EA4BA0"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3078B">
              <w:t>896</w:t>
            </w:r>
          </w:p>
        </w:tc>
        <w:tc>
          <w:tcPr>
            <w:tcW w:w="821" w:type="dxa"/>
            <w:noWrap/>
          </w:tcPr>
          <w:p w14:paraId="5C2B729C" w14:textId="77777777" w:rsidR="003A5195" w:rsidRPr="00031314"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031314">
              <w:rPr>
                <w:b/>
                <w:bCs/>
                <w:i/>
                <w:iCs/>
              </w:rPr>
              <w:t>4,118</w:t>
            </w:r>
          </w:p>
        </w:tc>
      </w:tr>
      <w:tr w:rsidR="003A5195" w:rsidRPr="00B11DBE" w14:paraId="633F3FB6"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5AF96775" w14:textId="77777777" w:rsidR="003A5195" w:rsidRPr="00EA4BA0" w:rsidRDefault="003A5195"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tcPr>
          <w:p w14:paraId="2D02E3F9" w14:textId="77777777" w:rsidR="003A5195" w:rsidRPr="00EA4BA0"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078B">
              <w:t>23.6%</w:t>
            </w:r>
          </w:p>
        </w:tc>
        <w:tc>
          <w:tcPr>
            <w:tcW w:w="821" w:type="dxa"/>
            <w:noWrap/>
          </w:tcPr>
          <w:p w14:paraId="62F09395" w14:textId="77777777" w:rsidR="003A5195" w:rsidRPr="00EA4BA0"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078B">
              <w:t>70.3%</w:t>
            </w:r>
          </w:p>
        </w:tc>
        <w:tc>
          <w:tcPr>
            <w:tcW w:w="820" w:type="dxa"/>
            <w:noWrap/>
          </w:tcPr>
          <w:p w14:paraId="425AA9F3" w14:textId="77777777" w:rsidR="003A5195" w:rsidRPr="00EA4BA0"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078B">
              <w:t>47.5%</w:t>
            </w:r>
          </w:p>
        </w:tc>
        <w:tc>
          <w:tcPr>
            <w:tcW w:w="821" w:type="dxa"/>
            <w:noWrap/>
          </w:tcPr>
          <w:p w14:paraId="2B369B8E" w14:textId="77777777" w:rsidR="003A5195" w:rsidRPr="00EA4BA0"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078B">
              <w:t>49.3%</w:t>
            </w:r>
          </w:p>
        </w:tc>
        <w:tc>
          <w:tcPr>
            <w:tcW w:w="820" w:type="dxa"/>
            <w:noWrap/>
          </w:tcPr>
          <w:p w14:paraId="68FA6CFA" w14:textId="77777777" w:rsidR="003A5195" w:rsidRPr="00EA4BA0"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078B">
              <w:t>50.0%</w:t>
            </w:r>
          </w:p>
        </w:tc>
        <w:tc>
          <w:tcPr>
            <w:tcW w:w="821" w:type="dxa"/>
            <w:noWrap/>
          </w:tcPr>
          <w:p w14:paraId="6A339D37" w14:textId="77777777" w:rsidR="003A5195" w:rsidRPr="00EA4BA0"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078B">
              <w:t>45.3%</w:t>
            </w:r>
          </w:p>
        </w:tc>
        <w:tc>
          <w:tcPr>
            <w:tcW w:w="820" w:type="dxa"/>
            <w:noWrap/>
          </w:tcPr>
          <w:p w14:paraId="5923447C" w14:textId="77777777" w:rsidR="003A5195" w:rsidRPr="00EA4BA0"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3078B">
              <w:t>45.5%</w:t>
            </w:r>
          </w:p>
        </w:tc>
        <w:tc>
          <w:tcPr>
            <w:tcW w:w="821" w:type="dxa"/>
            <w:noWrap/>
          </w:tcPr>
          <w:p w14:paraId="39072C67" w14:textId="77777777" w:rsidR="003A5195" w:rsidRPr="00031314"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031314">
              <w:rPr>
                <w:b/>
                <w:bCs/>
                <w:i/>
                <w:iCs/>
              </w:rPr>
              <w:t>36.0%</w:t>
            </w:r>
          </w:p>
        </w:tc>
      </w:tr>
    </w:tbl>
    <w:p w14:paraId="6840BB1D" w14:textId="77777777" w:rsidR="003A5195" w:rsidRPr="003A5195" w:rsidRDefault="003A5195" w:rsidP="003A5195"/>
    <w:p w14:paraId="25096CDB" w14:textId="77777777" w:rsidR="00FF4CED" w:rsidRPr="00EA4BA0" w:rsidRDefault="00FF4CED" w:rsidP="00B772DF">
      <w:pPr>
        <w:pStyle w:val="Heading3"/>
      </w:pPr>
      <w:r>
        <w:t>Table 1b. Transfer</w:t>
      </w:r>
      <w:r w:rsidRPr="00EA4BA0">
        <w:t xml:space="preserve"> Students by Campus</w:t>
      </w:r>
    </w:p>
    <w:tbl>
      <w:tblPr>
        <w:tblStyle w:val="GridTable4-Accent11"/>
        <w:tblW w:w="9360" w:type="dxa"/>
        <w:tblLook w:val="04A0" w:firstRow="1" w:lastRow="0" w:firstColumn="1" w:lastColumn="0" w:noHBand="0" w:noVBand="1"/>
        <w:tblCaption w:val="Transfer Students by Campus"/>
        <w:tblDescription w:val="Transfer students by campus. Includes both full- and part-time entering degree seeking students."/>
      </w:tblPr>
      <w:tblGrid>
        <w:gridCol w:w="2796"/>
        <w:gridCol w:w="820"/>
        <w:gridCol w:w="821"/>
        <w:gridCol w:w="820"/>
        <w:gridCol w:w="821"/>
        <w:gridCol w:w="820"/>
        <w:gridCol w:w="821"/>
        <w:gridCol w:w="820"/>
        <w:gridCol w:w="821"/>
      </w:tblGrid>
      <w:tr w:rsidR="003A5195" w:rsidRPr="00B11DBE" w14:paraId="1F72FE03"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2CF7C156" w14:textId="77777777" w:rsidR="003A5195" w:rsidRPr="00EA4BA0" w:rsidRDefault="003A5195" w:rsidP="00712BA8">
            <w:pPr>
              <w:rPr>
                <w:rFonts w:eastAsia="Times New Roman" w:cstheme="minorHAnsi"/>
              </w:rPr>
            </w:pPr>
            <w:r>
              <w:rPr>
                <w:rFonts w:eastAsia="Times New Roman" w:cstheme="minorHAnsi"/>
                <w:szCs w:val="24"/>
              </w:rPr>
              <w:t>Student Type</w:t>
            </w:r>
          </w:p>
        </w:tc>
        <w:tc>
          <w:tcPr>
            <w:tcW w:w="820" w:type="dxa"/>
            <w:noWrap/>
            <w:hideMark/>
          </w:tcPr>
          <w:p w14:paraId="37C0D9B5"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7C6CC9F2"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748C36E8"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422354FF"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60809812"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4056D7C9"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5EA10D6A"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638C7BB7"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3A5195" w:rsidRPr="00B11DBE" w14:paraId="3850222A"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19878D76" w14:textId="77777777" w:rsidR="003A5195" w:rsidRPr="00EA4BA0" w:rsidRDefault="003A5195"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tcPr>
          <w:p w14:paraId="004AAF94"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46CD">
              <w:t>129</w:t>
            </w:r>
          </w:p>
        </w:tc>
        <w:tc>
          <w:tcPr>
            <w:tcW w:w="821" w:type="dxa"/>
            <w:noWrap/>
          </w:tcPr>
          <w:p w14:paraId="4C3E6DB9"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46CD">
              <w:t>338</w:t>
            </w:r>
          </w:p>
        </w:tc>
        <w:tc>
          <w:tcPr>
            <w:tcW w:w="820" w:type="dxa"/>
            <w:noWrap/>
          </w:tcPr>
          <w:p w14:paraId="12042B74"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46CD">
              <w:t>32</w:t>
            </w:r>
          </w:p>
        </w:tc>
        <w:tc>
          <w:tcPr>
            <w:tcW w:w="821" w:type="dxa"/>
            <w:noWrap/>
          </w:tcPr>
          <w:p w14:paraId="4503A974"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46CD">
              <w:t>84</w:t>
            </w:r>
          </w:p>
        </w:tc>
        <w:tc>
          <w:tcPr>
            <w:tcW w:w="820" w:type="dxa"/>
            <w:noWrap/>
          </w:tcPr>
          <w:p w14:paraId="38889657"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46CD">
              <w:t>21</w:t>
            </w:r>
          </w:p>
        </w:tc>
        <w:tc>
          <w:tcPr>
            <w:tcW w:w="821" w:type="dxa"/>
            <w:noWrap/>
          </w:tcPr>
          <w:p w14:paraId="6AFC6138"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46CD">
              <w:t>82</w:t>
            </w:r>
          </w:p>
        </w:tc>
        <w:tc>
          <w:tcPr>
            <w:tcW w:w="820" w:type="dxa"/>
            <w:noWrap/>
          </w:tcPr>
          <w:p w14:paraId="6F2A8479"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46CD">
              <w:t>292</w:t>
            </w:r>
          </w:p>
        </w:tc>
        <w:tc>
          <w:tcPr>
            <w:tcW w:w="821" w:type="dxa"/>
            <w:noWrap/>
          </w:tcPr>
          <w:p w14:paraId="4D28FBC9" w14:textId="77777777" w:rsidR="003A5195" w:rsidRPr="00031314"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031314">
              <w:rPr>
                <w:b/>
                <w:bCs/>
                <w:i/>
                <w:iCs/>
              </w:rPr>
              <w:t>978</w:t>
            </w:r>
          </w:p>
        </w:tc>
      </w:tr>
      <w:tr w:rsidR="003A5195" w:rsidRPr="00B11DBE" w14:paraId="286B8FE6"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753B7E6B" w14:textId="77777777" w:rsidR="003A5195" w:rsidRPr="00EA4BA0" w:rsidRDefault="003A5195"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tcPr>
          <w:p w14:paraId="066DD4EC"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646CD">
              <w:t>432</w:t>
            </w:r>
          </w:p>
        </w:tc>
        <w:tc>
          <w:tcPr>
            <w:tcW w:w="821" w:type="dxa"/>
            <w:noWrap/>
          </w:tcPr>
          <w:p w14:paraId="3E8E1390"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646CD">
              <w:t>492</w:t>
            </w:r>
          </w:p>
        </w:tc>
        <w:tc>
          <w:tcPr>
            <w:tcW w:w="820" w:type="dxa"/>
            <w:noWrap/>
          </w:tcPr>
          <w:p w14:paraId="6B914D22"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646CD">
              <w:t>67</w:t>
            </w:r>
          </w:p>
        </w:tc>
        <w:tc>
          <w:tcPr>
            <w:tcW w:w="821" w:type="dxa"/>
            <w:noWrap/>
          </w:tcPr>
          <w:p w14:paraId="4048F8AE"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646CD">
              <w:t>157</w:t>
            </w:r>
          </w:p>
        </w:tc>
        <w:tc>
          <w:tcPr>
            <w:tcW w:w="820" w:type="dxa"/>
            <w:noWrap/>
          </w:tcPr>
          <w:p w14:paraId="4A78F145"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646CD">
              <w:t>32</w:t>
            </w:r>
          </w:p>
        </w:tc>
        <w:tc>
          <w:tcPr>
            <w:tcW w:w="821" w:type="dxa"/>
            <w:noWrap/>
          </w:tcPr>
          <w:p w14:paraId="1CCCB78A"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646CD">
              <w:t>204</w:t>
            </w:r>
          </w:p>
        </w:tc>
        <w:tc>
          <w:tcPr>
            <w:tcW w:w="820" w:type="dxa"/>
            <w:noWrap/>
          </w:tcPr>
          <w:p w14:paraId="74A9E9F1"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646CD">
              <w:t>542</w:t>
            </w:r>
          </w:p>
        </w:tc>
        <w:tc>
          <w:tcPr>
            <w:tcW w:w="821" w:type="dxa"/>
            <w:noWrap/>
          </w:tcPr>
          <w:p w14:paraId="3580C753" w14:textId="77777777" w:rsidR="003A5195" w:rsidRPr="00031314"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sidRPr="00031314">
              <w:rPr>
                <w:b/>
                <w:bCs/>
                <w:i/>
                <w:iCs/>
              </w:rPr>
              <w:t>1,926</w:t>
            </w:r>
          </w:p>
        </w:tc>
      </w:tr>
      <w:tr w:rsidR="003A5195" w:rsidRPr="00B11DBE" w14:paraId="213F22F5"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417C2EBD" w14:textId="77777777" w:rsidR="003A5195" w:rsidRPr="00EA4BA0" w:rsidRDefault="003A5195"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tcPr>
          <w:p w14:paraId="5419EDBD"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46CD">
              <w:t>29.9%</w:t>
            </w:r>
          </w:p>
        </w:tc>
        <w:tc>
          <w:tcPr>
            <w:tcW w:w="821" w:type="dxa"/>
            <w:noWrap/>
          </w:tcPr>
          <w:p w14:paraId="01C246C7"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46CD">
              <w:t>68.7%</w:t>
            </w:r>
          </w:p>
        </w:tc>
        <w:tc>
          <w:tcPr>
            <w:tcW w:w="820" w:type="dxa"/>
            <w:noWrap/>
          </w:tcPr>
          <w:p w14:paraId="1521EEFA"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46CD">
              <w:t>47.8%</w:t>
            </w:r>
          </w:p>
        </w:tc>
        <w:tc>
          <w:tcPr>
            <w:tcW w:w="821" w:type="dxa"/>
            <w:noWrap/>
          </w:tcPr>
          <w:p w14:paraId="51D9A684"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46CD">
              <w:t>53.5%</w:t>
            </w:r>
          </w:p>
        </w:tc>
        <w:tc>
          <w:tcPr>
            <w:tcW w:w="820" w:type="dxa"/>
            <w:noWrap/>
          </w:tcPr>
          <w:p w14:paraId="25D6018D"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46CD">
              <w:t>65.6%</w:t>
            </w:r>
          </w:p>
        </w:tc>
        <w:tc>
          <w:tcPr>
            <w:tcW w:w="821" w:type="dxa"/>
            <w:noWrap/>
          </w:tcPr>
          <w:p w14:paraId="1E0651C5"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46CD">
              <w:t>40.2%</w:t>
            </w:r>
          </w:p>
        </w:tc>
        <w:tc>
          <w:tcPr>
            <w:tcW w:w="820" w:type="dxa"/>
            <w:noWrap/>
          </w:tcPr>
          <w:p w14:paraId="737BBA58"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46CD">
              <w:t>53.9%</w:t>
            </w:r>
          </w:p>
        </w:tc>
        <w:tc>
          <w:tcPr>
            <w:tcW w:w="821" w:type="dxa"/>
            <w:noWrap/>
          </w:tcPr>
          <w:p w14:paraId="6CA8C29E" w14:textId="77777777" w:rsidR="003A5195" w:rsidRPr="00031314"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031314">
              <w:rPr>
                <w:b/>
                <w:bCs/>
                <w:i/>
                <w:iCs/>
              </w:rPr>
              <w:t>50.8%</w:t>
            </w:r>
          </w:p>
        </w:tc>
      </w:tr>
    </w:tbl>
    <w:p w14:paraId="6221BC61" w14:textId="77777777" w:rsidR="00FF4CED" w:rsidRDefault="00FF4CED" w:rsidP="00FF4CED">
      <w:pPr>
        <w:spacing w:after="0" w:line="240" w:lineRule="auto"/>
        <w:rPr>
          <w:b/>
        </w:rPr>
      </w:pPr>
    </w:p>
    <w:p w14:paraId="4344BB84" w14:textId="77777777" w:rsidR="00FF4CED" w:rsidRPr="00EA4BA0" w:rsidRDefault="00FF4CED" w:rsidP="00B772DF">
      <w:pPr>
        <w:pStyle w:val="Heading3"/>
      </w:pPr>
      <w:r>
        <w:t xml:space="preserve">Table 1c. </w:t>
      </w:r>
      <w:r w:rsidRPr="00EA4BA0">
        <w:t xml:space="preserve">Total </w:t>
      </w:r>
      <w:r>
        <w:t>First-</w:t>
      </w:r>
      <w:r w:rsidRPr="00B772DF">
        <w:t>Time</w:t>
      </w:r>
      <w:r>
        <w:t xml:space="preserve"> &amp; Transfer</w:t>
      </w:r>
      <w:r w:rsidRPr="00EA4BA0">
        <w:t xml:space="preserve"> Students by Campus</w:t>
      </w:r>
    </w:p>
    <w:tbl>
      <w:tblPr>
        <w:tblStyle w:val="GridTable4-Accent11"/>
        <w:tblW w:w="9360" w:type="dxa"/>
        <w:tblLook w:val="04A0" w:firstRow="1" w:lastRow="0" w:firstColumn="1" w:lastColumn="0" w:noHBand="0" w:noVBand="1"/>
        <w:tblCaption w:val="Total First-Time &amp; Transfer Students by Campus"/>
        <w:tblDescription w:val="Total first-time and transfer students by campus. Includes both full- and part-time entering degree seeking students."/>
      </w:tblPr>
      <w:tblGrid>
        <w:gridCol w:w="2796"/>
        <w:gridCol w:w="820"/>
        <w:gridCol w:w="821"/>
        <w:gridCol w:w="820"/>
        <w:gridCol w:w="821"/>
        <w:gridCol w:w="820"/>
        <w:gridCol w:w="821"/>
        <w:gridCol w:w="820"/>
        <w:gridCol w:w="821"/>
      </w:tblGrid>
      <w:tr w:rsidR="003A5195" w:rsidRPr="00B11DBE" w14:paraId="67296E46"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24B6A18E" w14:textId="77777777" w:rsidR="003A5195" w:rsidRPr="00EA4BA0" w:rsidRDefault="003A5195" w:rsidP="00712BA8">
            <w:pPr>
              <w:rPr>
                <w:rFonts w:eastAsia="Times New Roman" w:cstheme="minorHAnsi"/>
              </w:rPr>
            </w:pPr>
            <w:r>
              <w:rPr>
                <w:rFonts w:eastAsia="Times New Roman" w:cstheme="minorHAnsi"/>
                <w:szCs w:val="24"/>
              </w:rPr>
              <w:t>Student Type</w:t>
            </w:r>
          </w:p>
        </w:tc>
        <w:tc>
          <w:tcPr>
            <w:tcW w:w="820" w:type="dxa"/>
            <w:noWrap/>
            <w:hideMark/>
          </w:tcPr>
          <w:p w14:paraId="0D60863A"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4B0A170B"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5D22CEC5"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1B634A3D"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4B23C480"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36364123"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5A6D9F00"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3A79A12F"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3A5195" w:rsidRPr="00B11DBE" w14:paraId="2195EFD4"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3B786A57" w14:textId="77777777" w:rsidR="003A5195" w:rsidRPr="00EA4BA0" w:rsidRDefault="003A5195"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tcPr>
          <w:p w14:paraId="15946F90"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5402C">
              <w:t>655</w:t>
            </w:r>
          </w:p>
        </w:tc>
        <w:tc>
          <w:tcPr>
            <w:tcW w:w="821" w:type="dxa"/>
            <w:noWrap/>
          </w:tcPr>
          <w:p w14:paraId="7A88A6A0"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5402C">
              <w:t>565</w:t>
            </w:r>
          </w:p>
        </w:tc>
        <w:tc>
          <w:tcPr>
            <w:tcW w:w="820" w:type="dxa"/>
            <w:noWrap/>
          </w:tcPr>
          <w:p w14:paraId="676D349E"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5402C">
              <w:t>196</w:t>
            </w:r>
          </w:p>
        </w:tc>
        <w:tc>
          <w:tcPr>
            <w:tcW w:w="821" w:type="dxa"/>
            <w:noWrap/>
          </w:tcPr>
          <w:p w14:paraId="63889233"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5402C">
              <w:t>117</w:t>
            </w:r>
          </w:p>
        </w:tc>
        <w:tc>
          <w:tcPr>
            <w:tcW w:w="820" w:type="dxa"/>
            <w:noWrap/>
          </w:tcPr>
          <w:p w14:paraId="095D9196"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5402C">
              <w:t>67</w:t>
            </w:r>
          </w:p>
        </w:tc>
        <w:tc>
          <w:tcPr>
            <w:tcW w:w="821" w:type="dxa"/>
            <w:noWrap/>
          </w:tcPr>
          <w:p w14:paraId="65A6DFE9"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5402C">
              <w:t>159</w:t>
            </w:r>
          </w:p>
        </w:tc>
        <w:tc>
          <w:tcPr>
            <w:tcW w:w="820" w:type="dxa"/>
            <w:noWrap/>
          </w:tcPr>
          <w:p w14:paraId="4DE8E53B"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5402C">
              <w:t>700</w:t>
            </w:r>
          </w:p>
        </w:tc>
        <w:tc>
          <w:tcPr>
            <w:tcW w:w="821" w:type="dxa"/>
            <w:noWrap/>
          </w:tcPr>
          <w:p w14:paraId="7AAEDE60" w14:textId="77777777" w:rsidR="003A5195" w:rsidRPr="00031314"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031314">
              <w:rPr>
                <w:b/>
                <w:bCs/>
                <w:i/>
                <w:iCs/>
              </w:rPr>
              <w:t>2,459</w:t>
            </w:r>
          </w:p>
        </w:tc>
      </w:tr>
      <w:tr w:rsidR="003A5195" w:rsidRPr="00B11DBE" w14:paraId="426C01DB"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101E61AC" w14:textId="77777777" w:rsidR="003A5195" w:rsidRPr="00EA4BA0" w:rsidRDefault="003A5195"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tcPr>
          <w:p w14:paraId="7895CC29"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402C">
              <w:t>2,657</w:t>
            </w:r>
          </w:p>
        </w:tc>
        <w:tc>
          <w:tcPr>
            <w:tcW w:w="821" w:type="dxa"/>
            <w:noWrap/>
          </w:tcPr>
          <w:p w14:paraId="25C64871"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402C">
              <w:t>815</w:t>
            </w:r>
          </w:p>
        </w:tc>
        <w:tc>
          <w:tcPr>
            <w:tcW w:w="820" w:type="dxa"/>
            <w:noWrap/>
          </w:tcPr>
          <w:p w14:paraId="42D5E128"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402C">
              <w:t>412</w:t>
            </w:r>
          </w:p>
        </w:tc>
        <w:tc>
          <w:tcPr>
            <w:tcW w:w="821" w:type="dxa"/>
            <w:noWrap/>
          </w:tcPr>
          <w:p w14:paraId="222B87A9"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402C">
              <w:t>224</w:t>
            </w:r>
          </w:p>
        </w:tc>
        <w:tc>
          <w:tcPr>
            <w:tcW w:w="820" w:type="dxa"/>
            <w:noWrap/>
          </w:tcPr>
          <w:p w14:paraId="7B0026D9"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402C">
              <w:t>124</w:t>
            </w:r>
          </w:p>
        </w:tc>
        <w:tc>
          <w:tcPr>
            <w:tcW w:w="821" w:type="dxa"/>
            <w:noWrap/>
          </w:tcPr>
          <w:p w14:paraId="4FDF4579"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402C">
              <w:t>374</w:t>
            </w:r>
          </w:p>
        </w:tc>
        <w:tc>
          <w:tcPr>
            <w:tcW w:w="820" w:type="dxa"/>
            <w:noWrap/>
          </w:tcPr>
          <w:p w14:paraId="43790980"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5402C">
              <w:t>1,438</w:t>
            </w:r>
          </w:p>
        </w:tc>
        <w:tc>
          <w:tcPr>
            <w:tcW w:w="821" w:type="dxa"/>
            <w:noWrap/>
          </w:tcPr>
          <w:p w14:paraId="156E4579" w14:textId="77777777" w:rsidR="003A5195" w:rsidRPr="00031314"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sidRPr="00031314">
              <w:rPr>
                <w:b/>
                <w:bCs/>
                <w:i/>
                <w:iCs/>
              </w:rPr>
              <w:t>6,044</w:t>
            </w:r>
          </w:p>
        </w:tc>
      </w:tr>
      <w:tr w:rsidR="003A5195" w:rsidRPr="00B11DBE" w14:paraId="197E3F65"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449012AA" w14:textId="77777777" w:rsidR="003A5195" w:rsidRPr="00EA4BA0" w:rsidRDefault="003A5195"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tcPr>
          <w:p w14:paraId="6628D102"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5402C">
              <w:t>24.7%</w:t>
            </w:r>
          </w:p>
        </w:tc>
        <w:tc>
          <w:tcPr>
            <w:tcW w:w="821" w:type="dxa"/>
            <w:noWrap/>
          </w:tcPr>
          <w:p w14:paraId="46E71DFB"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5402C">
              <w:t>69.3%</w:t>
            </w:r>
          </w:p>
        </w:tc>
        <w:tc>
          <w:tcPr>
            <w:tcW w:w="820" w:type="dxa"/>
            <w:noWrap/>
          </w:tcPr>
          <w:p w14:paraId="2B76015F"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5402C">
              <w:t>47.6%</w:t>
            </w:r>
          </w:p>
        </w:tc>
        <w:tc>
          <w:tcPr>
            <w:tcW w:w="821" w:type="dxa"/>
            <w:noWrap/>
          </w:tcPr>
          <w:p w14:paraId="691F7585"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5402C">
              <w:t>52.2%</w:t>
            </w:r>
          </w:p>
        </w:tc>
        <w:tc>
          <w:tcPr>
            <w:tcW w:w="820" w:type="dxa"/>
            <w:noWrap/>
          </w:tcPr>
          <w:p w14:paraId="76EC719D"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5402C">
              <w:t>54.0%</w:t>
            </w:r>
          </w:p>
        </w:tc>
        <w:tc>
          <w:tcPr>
            <w:tcW w:w="821" w:type="dxa"/>
            <w:noWrap/>
          </w:tcPr>
          <w:p w14:paraId="67CF8F5D"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5402C">
              <w:t>42.5%</w:t>
            </w:r>
          </w:p>
        </w:tc>
        <w:tc>
          <w:tcPr>
            <w:tcW w:w="820" w:type="dxa"/>
            <w:noWrap/>
          </w:tcPr>
          <w:p w14:paraId="20BBE264"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5402C">
              <w:t>48.7%</w:t>
            </w:r>
          </w:p>
        </w:tc>
        <w:tc>
          <w:tcPr>
            <w:tcW w:w="821" w:type="dxa"/>
            <w:noWrap/>
          </w:tcPr>
          <w:p w14:paraId="62E8D69D" w14:textId="77777777" w:rsidR="003A5195" w:rsidRPr="00031314"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031314">
              <w:rPr>
                <w:b/>
                <w:bCs/>
                <w:i/>
                <w:iCs/>
              </w:rPr>
              <w:t>40.7%</w:t>
            </w:r>
          </w:p>
        </w:tc>
      </w:tr>
    </w:tbl>
    <w:p w14:paraId="6E43219B" w14:textId="77777777" w:rsidR="00FF4CED" w:rsidRDefault="00FF4CED" w:rsidP="00FF4CED">
      <w:pPr>
        <w:spacing w:after="0" w:line="240" w:lineRule="auto"/>
        <w:rPr>
          <w:b/>
        </w:rPr>
      </w:pPr>
    </w:p>
    <w:p w14:paraId="206D1AAA" w14:textId="029C0A7E" w:rsidR="00FF4CED" w:rsidRPr="00461D7A" w:rsidRDefault="003A5195" w:rsidP="00B772DF">
      <w:pPr>
        <w:pStyle w:val="Heading2"/>
        <w:jc w:val="center"/>
      </w:pPr>
      <w:r>
        <w:t>Fall 2021</w:t>
      </w:r>
      <w:r w:rsidR="00FF4CED" w:rsidRPr="00461D7A">
        <w:t xml:space="preserve"> Full-Time Entering Degree</w:t>
      </w:r>
      <w:r w:rsidR="00FF4CED">
        <w:t>-</w:t>
      </w:r>
      <w:r w:rsidR="00FF4CED" w:rsidRPr="00461D7A">
        <w:t>Seeking Students</w:t>
      </w:r>
    </w:p>
    <w:p w14:paraId="14A4C034" w14:textId="77777777" w:rsidR="00FF4CED" w:rsidRPr="00EA4BA0" w:rsidRDefault="00FF4CED" w:rsidP="00B772DF">
      <w:pPr>
        <w:pStyle w:val="Heading3"/>
      </w:pPr>
      <w:r>
        <w:t>Table 1d. First-Time</w:t>
      </w:r>
      <w:r w:rsidRPr="00EA4BA0">
        <w:t xml:space="preserve"> Students by Campus</w:t>
      </w:r>
    </w:p>
    <w:tbl>
      <w:tblPr>
        <w:tblStyle w:val="GridTable4-Accent11"/>
        <w:tblW w:w="9360" w:type="dxa"/>
        <w:tblLook w:val="04A0" w:firstRow="1" w:lastRow="0" w:firstColumn="1" w:lastColumn="0" w:noHBand="0" w:noVBand="1"/>
        <w:tblCaption w:val="First-Time Students by Campus"/>
        <w:tblDescription w:val="First-time students by campus. Includes only full-time entering degree seeking students."/>
      </w:tblPr>
      <w:tblGrid>
        <w:gridCol w:w="2796"/>
        <w:gridCol w:w="820"/>
        <w:gridCol w:w="821"/>
        <w:gridCol w:w="820"/>
        <w:gridCol w:w="821"/>
        <w:gridCol w:w="820"/>
        <w:gridCol w:w="821"/>
        <w:gridCol w:w="820"/>
        <w:gridCol w:w="821"/>
      </w:tblGrid>
      <w:tr w:rsidR="003A5195" w:rsidRPr="00B11DBE" w14:paraId="7BFE9814"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0C85B1FD" w14:textId="77777777" w:rsidR="003A5195" w:rsidRPr="00EA4BA0" w:rsidRDefault="003A5195" w:rsidP="00712BA8">
            <w:pPr>
              <w:rPr>
                <w:rFonts w:eastAsia="Times New Roman" w:cstheme="minorHAnsi"/>
              </w:rPr>
            </w:pPr>
            <w:r>
              <w:rPr>
                <w:rFonts w:eastAsia="Times New Roman" w:cstheme="minorHAnsi"/>
                <w:szCs w:val="24"/>
              </w:rPr>
              <w:t>Student Type</w:t>
            </w:r>
          </w:p>
        </w:tc>
        <w:tc>
          <w:tcPr>
            <w:tcW w:w="820" w:type="dxa"/>
            <w:noWrap/>
            <w:hideMark/>
          </w:tcPr>
          <w:p w14:paraId="0009DEB4"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15B13DD0"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4B9D24A9"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6694558E"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63A3215E"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04440BDD"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4187C24D"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1035D37A" w14:textId="77777777" w:rsidR="003A5195" w:rsidRPr="00EA4BA0" w:rsidRDefault="003A5195"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3A5195" w:rsidRPr="00B11DBE" w14:paraId="67798F59"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711D3046" w14:textId="77777777" w:rsidR="003A5195" w:rsidRPr="00EA4BA0" w:rsidRDefault="003A5195"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tcPr>
          <w:p w14:paraId="07D1D4C2"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5054">
              <w:t>507</w:t>
            </w:r>
          </w:p>
        </w:tc>
        <w:tc>
          <w:tcPr>
            <w:tcW w:w="821" w:type="dxa"/>
            <w:noWrap/>
          </w:tcPr>
          <w:p w14:paraId="17DBDC8A"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5054">
              <w:t>160</w:t>
            </w:r>
          </w:p>
        </w:tc>
        <w:tc>
          <w:tcPr>
            <w:tcW w:w="820" w:type="dxa"/>
            <w:noWrap/>
          </w:tcPr>
          <w:p w14:paraId="68A8473D"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5054">
              <w:t>163</w:t>
            </w:r>
          </w:p>
        </w:tc>
        <w:tc>
          <w:tcPr>
            <w:tcW w:w="821" w:type="dxa"/>
            <w:noWrap/>
          </w:tcPr>
          <w:p w14:paraId="1AC1D657"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5054">
              <w:t>32</w:t>
            </w:r>
          </w:p>
        </w:tc>
        <w:tc>
          <w:tcPr>
            <w:tcW w:w="820" w:type="dxa"/>
            <w:noWrap/>
          </w:tcPr>
          <w:p w14:paraId="19487FA8"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5054">
              <w:t>39</w:t>
            </w:r>
          </w:p>
        </w:tc>
        <w:tc>
          <w:tcPr>
            <w:tcW w:w="821" w:type="dxa"/>
            <w:noWrap/>
          </w:tcPr>
          <w:p w14:paraId="0D55FE6A"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5054">
              <w:t>72</w:t>
            </w:r>
          </w:p>
        </w:tc>
        <w:tc>
          <w:tcPr>
            <w:tcW w:w="820" w:type="dxa"/>
            <w:noWrap/>
          </w:tcPr>
          <w:p w14:paraId="370DECB2"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5054">
              <w:t>393</w:t>
            </w:r>
          </w:p>
        </w:tc>
        <w:tc>
          <w:tcPr>
            <w:tcW w:w="821" w:type="dxa"/>
            <w:noWrap/>
          </w:tcPr>
          <w:p w14:paraId="2C3E2761"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AA307A">
              <w:rPr>
                <w:b/>
                <w:bCs/>
                <w:i/>
                <w:iCs/>
              </w:rPr>
              <w:t>1,366</w:t>
            </w:r>
          </w:p>
        </w:tc>
      </w:tr>
      <w:tr w:rsidR="003A5195" w:rsidRPr="00B11DBE" w14:paraId="5FEAE009"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3D7D44BD" w14:textId="77777777" w:rsidR="003A5195" w:rsidRPr="00EA4BA0" w:rsidRDefault="003A5195"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tcPr>
          <w:p w14:paraId="09C2E6B9"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05054">
              <w:t>2,165</w:t>
            </w:r>
          </w:p>
        </w:tc>
        <w:tc>
          <w:tcPr>
            <w:tcW w:w="821" w:type="dxa"/>
            <w:noWrap/>
          </w:tcPr>
          <w:p w14:paraId="1519F571"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05054">
              <w:t>234</w:t>
            </w:r>
          </w:p>
        </w:tc>
        <w:tc>
          <w:tcPr>
            <w:tcW w:w="820" w:type="dxa"/>
            <w:noWrap/>
          </w:tcPr>
          <w:p w14:paraId="1FE9A64D"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05054">
              <w:t>343</w:t>
            </w:r>
          </w:p>
        </w:tc>
        <w:tc>
          <w:tcPr>
            <w:tcW w:w="821" w:type="dxa"/>
            <w:noWrap/>
          </w:tcPr>
          <w:p w14:paraId="619D9EEE"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05054">
              <w:t>66</w:t>
            </w:r>
          </w:p>
        </w:tc>
        <w:tc>
          <w:tcPr>
            <w:tcW w:w="820" w:type="dxa"/>
            <w:noWrap/>
          </w:tcPr>
          <w:p w14:paraId="76E6EAD2"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05054">
              <w:t>85</w:t>
            </w:r>
          </w:p>
        </w:tc>
        <w:tc>
          <w:tcPr>
            <w:tcW w:w="821" w:type="dxa"/>
            <w:noWrap/>
          </w:tcPr>
          <w:p w14:paraId="13CB7CBE"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05054">
              <w:t>149</w:t>
            </w:r>
          </w:p>
        </w:tc>
        <w:tc>
          <w:tcPr>
            <w:tcW w:w="820" w:type="dxa"/>
            <w:noWrap/>
          </w:tcPr>
          <w:p w14:paraId="007D41A5"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05054">
              <w:t>862</w:t>
            </w:r>
          </w:p>
        </w:tc>
        <w:tc>
          <w:tcPr>
            <w:tcW w:w="821" w:type="dxa"/>
            <w:noWrap/>
          </w:tcPr>
          <w:p w14:paraId="604C0864" w14:textId="77777777" w:rsidR="003A5195" w:rsidRPr="00B11DBE" w:rsidRDefault="003A5195"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sidRPr="00AA307A">
              <w:rPr>
                <w:b/>
                <w:bCs/>
                <w:i/>
                <w:iCs/>
              </w:rPr>
              <w:t>3,904</w:t>
            </w:r>
          </w:p>
        </w:tc>
      </w:tr>
      <w:tr w:rsidR="003A5195" w:rsidRPr="00B11DBE" w14:paraId="589D4E5B"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50A19A4D" w14:textId="77777777" w:rsidR="003A5195" w:rsidRPr="00EA4BA0" w:rsidRDefault="003A5195"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tcPr>
          <w:p w14:paraId="62A95E6D"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5054">
              <w:t>23.4%</w:t>
            </w:r>
          </w:p>
        </w:tc>
        <w:tc>
          <w:tcPr>
            <w:tcW w:w="821" w:type="dxa"/>
            <w:noWrap/>
          </w:tcPr>
          <w:p w14:paraId="16986F5D"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5054">
              <w:t>68.4%</w:t>
            </w:r>
          </w:p>
        </w:tc>
        <w:tc>
          <w:tcPr>
            <w:tcW w:w="820" w:type="dxa"/>
            <w:noWrap/>
          </w:tcPr>
          <w:p w14:paraId="70F50E9C"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5054">
              <w:t>47.5%</w:t>
            </w:r>
          </w:p>
        </w:tc>
        <w:tc>
          <w:tcPr>
            <w:tcW w:w="821" w:type="dxa"/>
            <w:noWrap/>
          </w:tcPr>
          <w:p w14:paraId="043E6FFC"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5054">
              <w:t>48.5%</w:t>
            </w:r>
          </w:p>
        </w:tc>
        <w:tc>
          <w:tcPr>
            <w:tcW w:w="820" w:type="dxa"/>
            <w:noWrap/>
          </w:tcPr>
          <w:p w14:paraId="6A5ACD04"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5054">
              <w:t>45.9%</w:t>
            </w:r>
          </w:p>
        </w:tc>
        <w:tc>
          <w:tcPr>
            <w:tcW w:w="821" w:type="dxa"/>
            <w:noWrap/>
          </w:tcPr>
          <w:p w14:paraId="387814AE"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5054">
              <w:t>48.3%</w:t>
            </w:r>
          </w:p>
        </w:tc>
        <w:tc>
          <w:tcPr>
            <w:tcW w:w="820" w:type="dxa"/>
            <w:noWrap/>
          </w:tcPr>
          <w:p w14:paraId="71BE2535"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05054">
              <w:t>45.6%</w:t>
            </w:r>
          </w:p>
        </w:tc>
        <w:tc>
          <w:tcPr>
            <w:tcW w:w="821" w:type="dxa"/>
            <w:noWrap/>
          </w:tcPr>
          <w:p w14:paraId="26A665D4" w14:textId="77777777" w:rsidR="003A5195" w:rsidRPr="00B11DBE" w:rsidRDefault="003A5195"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AA307A">
              <w:rPr>
                <w:b/>
                <w:bCs/>
                <w:i/>
                <w:iCs/>
              </w:rPr>
              <w:t>35.0%</w:t>
            </w:r>
          </w:p>
        </w:tc>
      </w:tr>
    </w:tbl>
    <w:p w14:paraId="72F35832" w14:textId="77777777" w:rsidR="00FF4CED" w:rsidRDefault="00FF4CED" w:rsidP="00FF4CED">
      <w:pPr>
        <w:spacing w:after="0" w:line="240" w:lineRule="auto"/>
        <w:rPr>
          <w:b/>
        </w:rPr>
      </w:pPr>
    </w:p>
    <w:p w14:paraId="7C8B583E" w14:textId="77777777" w:rsidR="00FF4CED" w:rsidRPr="00EA4BA0" w:rsidRDefault="00FF4CED" w:rsidP="00B772DF">
      <w:pPr>
        <w:pStyle w:val="Heading3"/>
      </w:pPr>
      <w:r>
        <w:t>Table 1e. Transfer</w:t>
      </w:r>
      <w:r w:rsidRPr="00EA4BA0">
        <w:t xml:space="preserve"> Students by Campus</w:t>
      </w:r>
    </w:p>
    <w:tbl>
      <w:tblPr>
        <w:tblStyle w:val="GridTable4-Accent11"/>
        <w:tblW w:w="9360" w:type="dxa"/>
        <w:tblLook w:val="04A0" w:firstRow="1" w:lastRow="0" w:firstColumn="1" w:lastColumn="0" w:noHBand="0" w:noVBand="1"/>
        <w:tblCaption w:val="Transfer Students by Campus"/>
        <w:tblDescription w:val="Transfer students by campus. Includes only full-time entering degree seeking students."/>
      </w:tblPr>
      <w:tblGrid>
        <w:gridCol w:w="2796"/>
        <w:gridCol w:w="820"/>
        <w:gridCol w:w="821"/>
        <w:gridCol w:w="820"/>
        <w:gridCol w:w="821"/>
        <w:gridCol w:w="820"/>
        <w:gridCol w:w="821"/>
        <w:gridCol w:w="820"/>
        <w:gridCol w:w="821"/>
      </w:tblGrid>
      <w:tr w:rsidR="00FE2AB8" w:rsidRPr="00B11DBE" w14:paraId="572DD753"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436381BB" w14:textId="77777777" w:rsidR="00FE2AB8" w:rsidRPr="00EA4BA0" w:rsidRDefault="00FE2AB8" w:rsidP="00712BA8">
            <w:pPr>
              <w:rPr>
                <w:rFonts w:eastAsia="Times New Roman" w:cstheme="minorHAnsi"/>
              </w:rPr>
            </w:pPr>
            <w:r>
              <w:rPr>
                <w:rFonts w:eastAsia="Times New Roman" w:cstheme="minorHAnsi"/>
                <w:szCs w:val="24"/>
              </w:rPr>
              <w:t>Student Type</w:t>
            </w:r>
          </w:p>
        </w:tc>
        <w:tc>
          <w:tcPr>
            <w:tcW w:w="820" w:type="dxa"/>
            <w:noWrap/>
            <w:hideMark/>
          </w:tcPr>
          <w:p w14:paraId="5B74B6B4"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2791F414"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254D7131"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26FC3B0C"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3571F175"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6F48F4E3"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5CE78B12"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39CF0CE1"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FE2AB8" w:rsidRPr="00B11DBE" w14:paraId="1EEBCD16"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14AA5EDA"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tcPr>
          <w:p w14:paraId="6705808C"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19BE">
              <w:t>105</w:t>
            </w:r>
          </w:p>
        </w:tc>
        <w:tc>
          <w:tcPr>
            <w:tcW w:w="821" w:type="dxa"/>
            <w:noWrap/>
          </w:tcPr>
          <w:p w14:paraId="59217345"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19BE">
              <w:t>169</w:t>
            </w:r>
          </w:p>
        </w:tc>
        <w:tc>
          <w:tcPr>
            <w:tcW w:w="820" w:type="dxa"/>
            <w:noWrap/>
          </w:tcPr>
          <w:p w14:paraId="734FF3EE"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19BE">
              <w:t>26</w:t>
            </w:r>
          </w:p>
        </w:tc>
        <w:tc>
          <w:tcPr>
            <w:tcW w:w="821" w:type="dxa"/>
            <w:noWrap/>
          </w:tcPr>
          <w:p w14:paraId="5D4DF7CE"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19BE">
              <w:t>40</w:t>
            </w:r>
          </w:p>
        </w:tc>
        <w:tc>
          <w:tcPr>
            <w:tcW w:w="820" w:type="dxa"/>
            <w:noWrap/>
          </w:tcPr>
          <w:p w14:paraId="13288DE7"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19BE">
              <w:t>10</w:t>
            </w:r>
          </w:p>
        </w:tc>
        <w:tc>
          <w:tcPr>
            <w:tcW w:w="821" w:type="dxa"/>
            <w:noWrap/>
          </w:tcPr>
          <w:p w14:paraId="15D89842"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19BE">
              <w:t>57</w:t>
            </w:r>
          </w:p>
        </w:tc>
        <w:tc>
          <w:tcPr>
            <w:tcW w:w="820" w:type="dxa"/>
            <w:noWrap/>
          </w:tcPr>
          <w:p w14:paraId="3155DE70"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19BE">
              <w:t>216</w:t>
            </w:r>
          </w:p>
        </w:tc>
        <w:tc>
          <w:tcPr>
            <w:tcW w:w="821" w:type="dxa"/>
            <w:noWrap/>
          </w:tcPr>
          <w:p w14:paraId="46434CF2"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AA307A">
              <w:rPr>
                <w:b/>
                <w:bCs/>
                <w:i/>
                <w:iCs/>
              </w:rPr>
              <w:t>623</w:t>
            </w:r>
          </w:p>
        </w:tc>
      </w:tr>
      <w:tr w:rsidR="00FE2AB8" w:rsidRPr="00B11DBE" w14:paraId="0FFC6196"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5727916B"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tcPr>
          <w:p w14:paraId="24029A34"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119BE">
              <w:t>342</w:t>
            </w:r>
          </w:p>
        </w:tc>
        <w:tc>
          <w:tcPr>
            <w:tcW w:w="821" w:type="dxa"/>
            <w:noWrap/>
          </w:tcPr>
          <w:p w14:paraId="12E278B0"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119BE">
              <w:t>242</w:t>
            </w:r>
          </w:p>
        </w:tc>
        <w:tc>
          <w:tcPr>
            <w:tcW w:w="820" w:type="dxa"/>
            <w:noWrap/>
          </w:tcPr>
          <w:p w14:paraId="153CA978"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119BE">
              <w:t>55</w:t>
            </w:r>
          </w:p>
        </w:tc>
        <w:tc>
          <w:tcPr>
            <w:tcW w:w="821" w:type="dxa"/>
            <w:noWrap/>
          </w:tcPr>
          <w:p w14:paraId="533E168B"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119BE">
              <w:t>77</w:t>
            </w:r>
          </w:p>
        </w:tc>
        <w:tc>
          <w:tcPr>
            <w:tcW w:w="820" w:type="dxa"/>
            <w:noWrap/>
          </w:tcPr>
          <w:p w14:paraId="0FF3A3F2"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119BE">
              <w:t>17</w:t>
            </w:r>
          </w:p>
        </w:tc>
        <w:tc>
          <w:tcPr>
            <w:tcW w:w="821" w:type="dxa"/>
            <w:noWrap/>
          </w:tcPr>
          <w:p w14:paraId="10E53F67"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119BE">
              <w:t>130</w:t>
            </w:r>
          </w:p>
        </w:tc>
        <w:tc>
          <w:tcPr>
            <w:tcW w:w="820" w:type="dxa"/>
            <w:noWrap/>
          </w:tcPr>
          <w:p w14:paraId="45BE06A5"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119BE">
              <w:t>406</w:t>
            </w:r>
          </w:p>
        </w:tc>
        <w:tc>
          <w:tcPr>
            <w:tcW w:w="821" w:type="dxa"/>
            <w:noWrap/>
          </w:tcPr>
          <w:p w14:paraId="2611B292"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sidRPr="00AA307A">
              <w:rPr>
                <w:b/>
                <w:bCs/>
                <w:i/>
                <w:iCs/>
              </w:rPr>
              <w:t>1,269</w:t>
            </w:r>
          </w:p>
        </w:tc>
      </w:tr>
      <w:tr w:rsidR="00FE2AB8" w:rsidRPr="00B11DBE" w14:paraId="471534C2"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60386319"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tcPr>
          <w:p w14:paraId="6E3EAB58"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19BE">
              <w:t>30.7%</w:t>
            </w:r>
          </w:p>
        </w:tc>
        <w:tc>
          <w:tcPr>
            <w:tcW w:w="821" w:type="dxa"/>
            <w:noWrap/>
          </w:tcPr>
          <w:p w14:paraId="75403312"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19BE">
              <w:t>69.8%</w:t>
            </w:r>
          </w:p>
        </w:tc>
        <w:tc>
          <w:tcPr>
            <w:tcW w:w="820" w:type="dxa"/>
            <w:noWrap/>
          </w:tcPr>
          <w:p w14:paraId="3AF42D27"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19BE">
              <w:t>47.3%</w:t>
            </w:r>
          </w:p>
        </w:tc>
        <w:tc>
          <w:tcPr>
            <w:tcW w:w="821" w:type="dxa"/>
            <w:noWrap/>
          </w:tcPr>
          <w:p w14:paraId="4475157F"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19BE">
              <w:t>51.9%</w:t>
            </w:r>
          </w:p>
        </w:tc>
        <w:tc>
          <w:tcPr>
            <w:tcW w:w="820" w:type="dxa"/>
            <w:noWrap/>
          </w:tcPr>
          <w:p w14:paraId="5AC68B4B"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19BE">
              <w:t>58.8%</w:t>
            </w:r>
          </w:p>
        </w:tc>
        <w:tc>
          <w:tcPr>
            <w:tcW w:w="821" w:type="dxa"/>
            <w:noWrap/>
          </w:tcPr>
          <w:p w14:paraId="0DDA9424"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19BE">
              <w:t>43.8%</w:t>
            </w:r>
          </w:p>
        </w:tc>
        <w:tc>
          <w:tcPr>
            <w:tcW w:w="820" w:type="dxa"/>
            <w:noWrap/>
          </w:tcPr>
          <w:p w14:paraId="1571DF08"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19BE">
              <w:t>53.2%</w:t>
            </w:r>
          </w:p>
        </w:tc>
        <w:tc>
          <w:tcPr>
            <w:tcW w:w="821" w:type="dxa"/>
            <w:noWrap/>
          </w:tcPr>
          <w:p w14:paraId="4C85E0FD"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AA307A">
              <w:rPr>
                <w:b/>
                <w:bCs/>
                <w:i/>
                <w:iCs/>
              </w:rPr>
              <w:t>49.1%</w:t>
            </w:r>
          </w:p>
        </w:tc>
      </w:tr>
    </w:tbl>
    <w:p w14:paraId="6FC68D69" w14:textId="77777777" w:rsidR="00FF4CED" w:rsidRDefault="00FF4CED" w:rsidP="00FF4CED">
      <w:pPr>
        <w:spacing w:after="0" w:line="240" w:lineRule="auto"/>
        <w:rPr>
          <w:b/>
        </w:rPr>
      </w:pPr>
    </w:p>
    <w:p w14:paraId="2F2BEA1C" w14:textId="17830ECF" w:rsidR="00FF4CED" w:rsidRDefault="00FF4CED" w:rsidP="00B772DF">
      <w:pPr>
        <w:pStyle w:val="Heading3"/>
      </w:pPr>
      <w:r>
        <w:t>Table 1f. Total</w:t>
      </w:r>
      <w:r w:rsidRPr="00EA4BA0">
        <w:t xml:space="preserve"> </w:t>
      </w:r>
      <w:r>
        <w:t>First-Time &amp; Transfer</w:t>
      </w:r>
      <w:r w:rsidRPr="00EA4BA0">
        <w:t xml:space="preserve"> Students by Campus</w:t>
      </w:r>
    </w:p>
    <w:tbl>
      <w:tblPr>
        <w:tblStyle w:val="GridTable4-Accent11"/>
        <w:tblW w:w="9360" w:type="dxa"/>
        <w:tblLook w:val="04A0" w:firstRow="1" w:lastRow="0" w:firstColumn="1" w:lastColumn="0" w:noHBand="0" w:noVBand="1"/>
        <w:tblCaption w:val="Total First-Time &amp; Transfer Students by Campus"/>
        <w:tblDescription w:val="Total first-time and transfer students by campus. Includes only full-time entering degree seeking students."/>
      </w:tblPr>
      <w:tblGrid>
        <w:gridCol w:w="2796"/>
        <w:gridCol w:w="820"/>
        <w:gridCol w:w="821"/>
        <w:gridCol w:w="820"/>
        <w:gridCol w:w="821"/>
        <w:gridCol w:w="820"/>
        <w:gridCol w:w="821"/>
        <w:gridCol w:w="820"/>
        <w:gridCol w:w="821"/>
      </w:tblGrid>
      <w:tr w:rsidR="00FE2AB8" w:rsidRPr="00EA4BA0" w14:paraId="0C5A9C4B"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64468899" w14:textId="77777777" w:rsidR="00FE2AB8" w:rsidRPr="00EA4BA0" w:rsidRDefault="00FE2AB8" w:rsidP="00712BA8">
            <w:pPr>
              <w:rPr>
                <w:rFonts w:eastAsia="Times New Roman" w:cstheme="minorHAnsi"/>
              </w:rPr>
            </w:pPr>
            <w:r>
              <w:rPr>
                <w:rFonts w:eastAsia="Times New Roman" w:cstheme="minorHAnsi"/>
                <w:szCs w:val="24"/>
              </w:rPr>
              <w:t>Student Type</w:t>
            </w:r>
          </w:p>
        </w:tc>
        <w:tc>
          <w:tcPr>
            <w:tcW w:w="820" w:type="dxa"/>
            <w:noWrap/>
            <w:hideMark/>
          </w:tcPr>
          <w:p w14:paraId="00F34E39"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110C7EC2"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276785BC"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4982578C"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28657AAD"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582014B7"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61C79076"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3FFDF2DB"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FE2AB8" w:rsidRPr="00EA4BA0" w14:paraId="6DA57A83"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0B2AAFD5"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tcPr>
          <w:p w14:paraId="7FA835E6"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34E63">
              <w:t>612</w:t>
            </w:r>
          </w:p>
        </w:tc>
        <w:tc>
          <w:tcPr>
            <w:tcW w:w="821" w:type="dxa"/>
            <w:noWrap/>
          </w:tcPr>
          <w:p w14:paraId="7328A93E"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34E63">
              <w:t>329</w:t>
            </w:r>
          </w:p>
        </w:tc>
        <w:tc>
          <w:tcPr>
            <w:tcW w:w="820" w:type="dxa"/>
            <w:noWrap/>
          </w:tcPr>
          <w:p w14:paraId="79F1B6EA"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34E63">
              <w:t>189</w:t>
            </w:r>
          </w:p>
        </w:tc>
        <w:tc>
          <w:tcPr>
            <w:tcW w:w="821" w:type="dxa"/>
            <w:noWrap/>
          </w:tcPr>
          <w:p w14:paraId="490337E7"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34E63">
              <w:t>72</w:t>
            </w:r>
          </w:p>
        </w:tc>
        <w:tc>
          <w:tcPr>
            <w:tcW w:w="820" w:type="dxa"/>
            <w:noWrap/>
          </w:tcPr>
          <w:p w14:paraId="1B846D5D"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34E63">
              <w:t>49</w:t>
            </w:r>
          </w:p>
        </w:tc>
        <w:tc>
          <w:tcPr>
            <w:tcW w:w="821" w:type="dxa"/>
            <w:noWrap/>
          </w:tcPr>
          <w:p w14:paraId="42645776"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34E63">
              <w:t>129</w:t>
            </w:r>
          </w:p>
        </w:tc>
        <w:tc>
          <w:tcPr>
            <w:tcW w:w="820" w:type="dxa"/>
            <w:noWrap/>
          </w:tcPr>
          <w:p w14:paraId="1E7C1912"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34E63">
              <w:t>609</w:t>
            </w:r>
          </w:p>
        </w:tc>
        <w:tc>
          <w:tcPr>
            <w:tcW w:w="821" w:type="dxa"/>
            <w:noWrap/>
          </w:tcPr>
          <w:p w14:paraId="19DA7ACB"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AA307A">
              <w:rPr>
                <w:b/>
                <w:bCs/>
                <w:i/>
                <w:iCs/>
              </w:rPr>
              <w:t>1,989</w:t>
            </w:r>
          </w:p>
        </w:tc>
      </w:tr>
      <w:tr w:rsidR="00FE2AB8" w:rsidRPr="00EA4BA0" w14:paraId="094D3CEC"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0059D959"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tcPr>
          <w:p w14:paraId="11F3D239"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34E63">
              <w:t>2,507</w:t>
            </w:r>
          </w:p>
        </w:tc>
        <w:tc>
          <w:tcPr>
            <w:tcW w:w="821" w:type="dxa"/>
            <w:noWrap/>
          </w:tcPr>
          <w:p w14:paraId="51D49299"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34E63">
              <w:t>476</w:t>
            </w:r>
          </w:p>
        </w:tc>
        <w:tc>
          <w:tcPr>
            <w:tcW w:w="820" w:type="dxa"/>
            <w:noWrap/>
          </w:tcPr>
          <w:p w14:paraId="6308E123"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34E63">
              <w:t>398</w:t>
            </w:r>
          </w:p>
        </w:tc>
        <w:tc>
          <w:tcPr>
            <w:tcW w:w="821" w:type="dxa"/>
            <w:noWrap/>
          </w:tcPr>
          <w:p w14:paraId="66B1DACC"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34E63">
              <w:t>143</w:t>
            </w:r>
          </w:p>
        </w:tc>
        <w:tc>
          <w:tcPr>
            <w:tcW w:w="820" w:type="dxa"/>
            <w:noWrap/>
          </w:tcPr>
          <w:p w14:paraId="5023B134"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34E63">
              <w:t>102</w:t>
            </w:r>
          </w:p>
        </w:tc>
        <w:tc>
          <w:tcPr>
            <w:tcW w:w="821" w:type="dxa"/>
            <w:noWrap/>
          </w:tcPr>
          <w:p w14:paraId="045203B7"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34E63">
              <w:t>279</w:t>
            </w:r>
          </w:p>
        </w:tc>
        <w:tc>
          <w:tcPr>
            <w:tcW w:w="820" w:type="dxa"/>
            <w:noWrap/>
          </w:tcPr>
          <w:p w14:paraId="59654591"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34E63">
              <w:t>1,268</w:t>
            </w:r>
          </w:p>
        </w:tc>
        <w:tc>
          <w:tcPr>
            <w:tcW w:w="821" w:type="dxa"/>
            <w:noWrap/>
          </w:tcPr>
          <w:p w14:paraId="1D2AAD76"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sidRPr="00AA307A">
              <w:rPr>
                <w:b/>
                <w:bCs/>
                <w:i/>
                <w:iCs/>
              </w:rPr>
              <w:t>5,173</w:t>
            </w:r>
          </w:p>
        </w:tc>
      </w:tr>
      <w:tr w:rsidR="00FE2AB8" w:rsidRPr="00EA4BA0" w14:paraId="6E4090A5"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7326CDEC"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tcPr>
          <w:p w14:paraId="32B6CCAC"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34E63">
              <w:t>24.4%</w:t>
            </w:r>
          </w:p>
        </w:tc>
        <w:tc>
          <w:tcPr>
            <w:tcW w:w="821" w:type="dxa"/>
            <w:noWrap/>
          </w:tcPr>
          <w:p w14:paraId="29D6B8BB"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34E63">
              <w:t>69.1%</w:t>
            </w:r>
          </w:p>
        </w:tc>
        <w:tc>
          <w:tcPr>
            <w:tcW w:w="820" w:type="dxa"/>
            <w:noWrap/>
          </w:tcPr>
          <w:p w14:paraId="2D799409"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34E63">
              <w:t>47.5%</w:t>
            </w:r>
          </w:p>
        </w:tc>
        <w:tc>
          <w:tcPr>
            <w:tcW w:w="821" w:type="dxa"/>
            <w:noWrap/>
          </w:tcPr>
          <w:p w14:paraId="2C30D64B"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34E63">
              <w:t>50.3%</w:t>
            </w:r>
          </w:p>
        </w:tc>
        <w:tc>
          <w:tcPr>
            <w:tcW w:w="820" w:type="dxa"/>
            <w:noWrap/>
          </w:tcPr>
          <w:p w14:paraId="6899B77C"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34E63">
              <w:t>48.0%</w:t>
            </w:r>
          </w:p>
        </w:tc>
        <w:tc>
          <w:tcPr>
            <w:tcW w:w="821" w:type="dxa"/>
            <w:noWrap/>
          </w:tcPr>
          <w:p w14:paraId="6C2111BF"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34E63">
              <w:t>46.2%</w:t>
            </w:r>
          </w:p>
        </w:tc>
        <w:tc>
          <w:tcPr>
            <w:tcW w:w="820" w:type="dxa"/>
            <w:noWrap/>
          </w:tcPr>
          <w:p w14:paraId="4BB2B656"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34E63">
              <w:t>48.0%</w:t>
            </w:r>
          </w:p>
        </w:tc>
        <w:tc>
          <w:tcPr>
            <w:tcW w:w="821" w:type="dxa"/>
            <w:noWrap/>
          </w:tcPr>
          <w:p w14:paraId="2209D517"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AA307A">
              <w:rPr>
                <w:b/>
                <w:bCs/>
                <w:i/>
                <w:iCs/>
              </w:rPr>
              <w:t>38.4%</w:t>
            </w:r>
          </w:p>
        </w:tc>
      </w:tr>
    </w:tbl>
    <w:p w14:paraId="5DD6AF82" w14:textId="77777777" w:rsidR="00B772DF" w:rsidRDefault="00B772DF" w:rsidP="00B772DF">
      <w:pPr>
        <w:pStyle w:val="Heading1"/>
      </w:pPr>
    </w:p>
    <w:p w14:paraId="03AC9DA2" w14:textId="77777777" w:rsidR="00B772DF" w:rsidRDefault="00B772DF" w:rsidP="00B772DF">
      <w:pPr>
        <w:pStyle w:val="Heading1"/>
      </w:pPr>
    </w:p>
    <w:p w14:paraId="1CAF5F4D" w14:textId="2C4ECEDC" w:rsidR="00C42A4A" w:rsidRDefault="00FE2AB8" w:rsidP="00B772DF">
      <w:pPr>
        <w:pStyle w:val="Heading1"/>
      </w:pPr>
      <w:r>
        <w:t>TABLE 2: 2020</w:t>
      </w:r>
      <w:r w:rsidR="00C42A4A">
        <w:t xml:space="preserve"> COHORT</w:t>
      </w:r>
    </w:p>
    <w:p w14:paraId="66629FAB" w14:textId="77777777" w:rsidR="00A023CD" w:rsidRPr="00A023CD" w:rsidRDefault="00A023CD" w:rsidP="00A023CD"/>
    <w:p w14:paraId="0EE7C46C" w14:textId="4F848305" w:rsidR="00FF4CED" w:rsidRDefault="00FE2AB8" w:rsidP="00B772DF">
      <w:pPr>
        <w:pStyle w:val="Heading2"/>
        <w:jc w:val="center"/>
      </w:pPr>
      <w:r>
        <w:t>Fall 2020</w:t>
      </w:r>
      <w:r w:rsidR="00FF4CED" w:rsidRPr="00461D7A">
        <w:t xml:space="preserve"> All Entering Degree</w:t>
      </w:r>
      <w:r w:rsidR="00FF4CED">
        <w:t>-</w:t>
      </w:r>
      <w:r w:rsidR="00FF4CED" w:rsidRPr="00461D7A">
        <w:t>Seeking Students</w:t>
      </w:r>
    </w:p>
    <w:p w14:paraId="7FEC93BD" w14:textId="2E00EE9E" w:rsidR="00FE2AB8" w:rsidRPr="00FE2AB8" w:rsidRDefault="00FE2AB8" w:rsidP="00B772DF">
      <w:pPr>
        <w:pStyle w:val="Heading3"/>
      </w:pPr>
      <w:r>
        <w:t xml:space="preserve">Table 2a. </w:t>
      </w:r>
      <w:r w:rsidRPr="00EA4BA0">
        <w:t>First-Time Students by Campus</w:t>
      </w:r>
    </w:p>
    <w:tbl>
      <w:tblPr>
        <w:tblStyle w:val="GridTable4-Accent11"/>
        <w:tblW w:w="9360" w:type="dxa"/>
        <w:tblLook w:val="04A0" w:firstRow="1" w:lastRow="0" w:firstColumn="1" w:lastColumn="0" w:noHBand="0" w:noVBand="1"/>
        <w:tblCaption w:val="First-Time Students by Campus"/>
        <w:tblDescription w:val="First-time students by campus. Includes both full- and part-time entering degree seeking students."/>
      </w:tblPr>
      <w:tblGrid>
        <w:gridCol w:w="2796"/>
        <w:gridCol w:w="820"/>
        <w:gridCol w:w="821"/>
        <w:gridCol w:w="820"/>
        <w:gridCol w:w="821"/>
        <w:gridCol w:w="820"/>
        <w:gridCol w:w="821"/>
        <w:gridCol w:w="820"/>
        <w:gridCol w:w="821"/>
      </w:tblGrid>
      <w:tr w:rsidR="00FE2AB8" w:rsidRPr="00B11DBE" w14:paraId="349F2822"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72D98D59" w14:textId="77777777" w:rsidR="00FE2AB8" w:rsidRPr="00EA4BA0" w:rsidRDefault="00FE2AB8" w:rsidP="00712BA8">
            <w:pPr>
              <w:rPr>
                <w:rFonts w:eastAsia="Times New Roman" w:cstheme="minorHAnsi"/>
                <w:szCs w:val="24"/>
              </w:rPr>
            </w:pPr>
            <w:r>
              <w:rPr>
                <w:rFonts w:eastAsia="Times New Roman" w:cstheme="minorHAnsi"/>
                <w:szCs w:val="24"/>
              </w:rPr>
              <w:t>Student Type</w:t>
            </w:r>
          </w:p>
        </w:tc>
        <w:tc>
          <w:tcPr>
            <w:tcW w:w="820" w:type="dxa"/>
            <w:noWrap/>
            <w:hideMark/>
          </w:tcPr>
          <w:p w14:paraId="1F107A7B"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563790EE"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2CBFE8E8"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5956DC14"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7445D643"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3639B0DE"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5E42F71C"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4A0ECB6E"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FE2AB8" w:rsidRPr="00B11DBE" w14:paraId="59191D80"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58D36CC7"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tcPr>
          <w:p w14:paraId="4200F29F"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462</w:t>
            </w:r>
          </w:p>
        </w:tc>
        <w:tc>
          <w:tcPr>
            <w:tcW w:w="821" w:type="dxa"/>
            <w:noWrap/>
          </w:tcPr>
          <w:p w14:paraId="39689FEB"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238</w:t>
            </w:r>
          </w:p>
        </w:tc>
        <w:tc>
          <w:tcPr>
            <w:tcW w:w="820" w:type="dxa"/>
            <w:noWrap/>
          </w:tcPr>
          <w:p w14:paraId="7DCBD242"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179</w:t>
            </w:r>
          </w:p>
        </w:tc>
        <w:tc>
          <w:tcPr>
            <w:tcW w:w="821" w:type="dxa"/>
            <w:noWrap/>
          </w:tcPr>
          <w:p w14:paraId="0F4E30A8"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40</w:t>
            </w:r>
          </w:p>
        </w:tc>
        <w:tc>
          <w:tcPr>
            <w:tcW w:w="820" w:type="dxa"/>
            <w:noWrap/>
          </w:tcPr>
          <w:p w14:paraId="45AD481D"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42</w:t>
            </w:r>
          </w:p>
        </w:tc>
        <w:tc>
          <w:tcPr>
            <w:tcW w:w="821" w:type="dxa"/>
            <w:noWrap/>
          </w:tcPr>
          <w:p w14:paraId="23B46B63"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86</w:t>
            </w:r>
          </w:p>
        </w:tc>
        <w:tc>
          <w:tcPr>
            <w:tcW w:w="820" w:type="dxa"/>
            <w:noWrap/>
          </w:tcPr>
          <w:p w14:paraId="5B886930"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384</w:t>
            </w:r>
          </w:p>
        </w:tc>
        <w:tc>
          <w:tcPr>
            <w:tcW w:w="821" w:type="dxa"/>
            <w:noWrap/>
          </w:tcPr>
          <w:p w14:paraId="1B38476F"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Pr>
                <w:rFonts w:ascii="Calibri" w:hAnsi="Calibri" w:cs="Calibri"/>
                <w:b/>
                <w:bCs/>
                <w:i/>
                <w:iCs/>
                <w:color w:val="000000"/>
              </w:rPr>
              <w:t>1,431</w:t>
            </w:r>
          </w:p>
        </w:tc>
      </w:tr>
      <w:tr w:rsidR="00FE2AB8" w:rsidRPr="00B11DBE" w14:paraId="09F909A7"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338DAFD6"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tcPr>
          <w:p w14:paraId="5D9F73A4" w14:textId="77777777" w:rsidR="00FE2AB8" w:rsidRPr="00EA4BA0"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2,059</w:t>
            </w:r>
          </w:p>
        </w:tc>
        <w:tc>
          <w:tcPr>
            <w:tcW w:w="821" w:type="dxa"/>
            <w:noWrap/>
          </w:tcPr>
          <w:p w14:paraId="49243EAF" w14:textId="77777777" w:rsidR="00FE2AB8" w:rsidRPr="00EA4BA0"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374</w:t>
            </w:r>
          </w:p>
        </w:tc>
        <w:tc>
          <w:tcPr>
            <w:tcW w:w="820" w:type="dxa"/>
            <w:noWrap/>
          </w:tcPr>
          <w:p w14:paraId="0E858CD4" w14:textId="77777777" w:rsidR="00FE2AB8" w:rsidRPr="00EA4BA0"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370</w:t>
            </w:r>
          </w:p>
        </w:tc>
        <w:tc>
          <w:tcPr>
            <w:tcW w:w="821" w:type="dxa"/>
            <w:noWrap/>
          </w:tcPr>
          <w:p w14:paraId="34785EE8" w14:textId="77777777" w:rsidR="00FE2AB8" w:rsidRPr="00EA4BA0"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90</w:t>
            </w:r>
          </w:p>
        </w:tc>
        <w:tc>
          <w:tcPr>
            <w:tcW w:w="820" w:type="dxa"/>
            <w:noWrap/>
          </w:tcPr>
          <w:p w14:paraId="08DDC579" w14:textId="77777777" w:rsidR="00FE2AB8" w:rsidRPr="00EA4BA0"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70</w:t>
            </w:r>
          </w:p>
        </w:tc>
        <w:tc>
          <w:tcPr>
            <w:tcW w:w="821" w:type="dxa"/>
            <w:noWrap/>
          </w:tcPr>
          <w:p w14:paraId="3EED689B" w14:textId="77777777" w:rsidR="00FE2AB8" w:rsidRPr="00EA4BA0"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186</w:t>
            </w:r>
          </w:p>
        </w:tc>
        <w:tc>
          <w:tcPr>
            <w:tcW w:w="820" w:type="dxa"/>
            <w:noWrap/>
          </w:tcPr>
          <w:p w14:paraId="34D2DE3F" w14:textId="77777777" w:rsidR="00FE2AB8" w:rsidRPr="00EA4BA0"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808</w:t>
            </w:r>
          </w:p>
        </w:tc>
        <w:tc>
          <w:tcPr>
            <w:tcW w:w="821" w:type="dxa"/>
            <w:noWrap/>
          </w:tcPr>
          <w:p w14:paraId="18A4EBDC" w14:textId="77777777" w:rsidR="00FE2AB8" w:rsidRPr="00EA4BA0"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Pr>
                <w:rFonts w:ascii="Calibri" w:hAnsi="Calibri" w:cs="Calibri"/>
                <w:b/>
                <w:bCs/>
                <w:i/>
                <w:iCs/>
                <w:color w:val="000000"/>
              </w:rPr>
              <w:t>3,957</w:t>
            </w:r>
          </w:p>
        </w:tc>
      </w:tr>
      <w:tr w:rsidR="00FE2AB8" w:rsidRPr="00B11DBE" w14:paraId="5D5F66EB"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31F3FE05"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tcPr>
          <w:p w14:paraId="7864E20D"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22.4%</w:t>
            </w:r>
          </w:p>
        </w:tc>
        <w:tc>
          <w:tcPr>
            <w:tcW w:w="821" w:type="dxa"/>
            <w:noWrap/>
          </w:tcPr>
          <w:p w14:paraId="5140FD90"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63.6%</w:t>
            </w:r>
          </w:p>
        </w:tc>
        <w:tc>
          <w:tcPr>
            <w:tcW w:w="820" w:type="dxa"/>
            <w:noWrap/>
          </w:tcPr>
          <w:p w14:paraId="454C6C6E"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48.4%</w:t>
            </w:r>
          </w:p>
        </w:tc>
        <w:tc>
          <w:tcPr>
            <w:tcW w:w="821" w:type="dxa"/>
            <w:noWrap/>
          </w:tcPr>
          <w:p w14:paraId="1FE8A01D"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44.4%</w:t>
            </w:r>
          </w:p>
        </w:tc>
        <w:tc>
          <w:tcPr>
            <w:tcW w:w="820" w:type="dxa"/>
            <w:noWrap/>
          </w:tcPr>
          <w:p w14:paraId="3A533E72"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60.0%</w:t>
            </w:r>
          </w:p>
        </w:tc>
        <w:tc>
          <w:tcPr>
            <w:tcW w:w="821" w:type="dxa"/>
            <w:noWrap/>
          </w:tcPr>
          <w:p w14:paraId="268F60F3"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46.2%</w:t>
            </w:r>
          </w:p>
        </w:tc>
        <w:tc>
          <w:tcPr>
            <w:tcW w:w="820" w:type="dxa"/>
            <w:noWrap/>
          </w:tcPr>
          <w:p w14:paraId="65871355"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47.5%</w:t>
            </w:r>
          </w:p>
        </w:tc>
        <w:tc>
          <w:tcPr>
            <w:tcW w:w="821" w:type="dxa"/>
            <w:noWrap/>
          </w:tcPr>
          <w:p w14:paraId="09FD818B" w14:textId="77777777" w:rsidR="00FE2AB8" w:rsidRPr="00EA4BA0"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Pr>
                <w:rFonts w:ascii="Calibri" w:hAnsi="Calibri" w:cs="Calibri"/>
                <w:b/>
                <w:bCs/>
                <w:i/>
                <w:iCs/>
                <w:color w:val="000000"/>
              </w:rPr>
              <w:t>36.2%</w:t>
            </w:r>
          </w:p>
        </w:tc>
      </w:tr>
    </w:tbl>
    <w:p w14:paraId="50767FCE" w14:textId="77777777" w:rsidR="00FE2AB8" w:rsidRDefault="00FE2AB8" w:rsidP="00B772DF">
      <w:pPr>
        <w:pStyle w:val="Heading2"/>
      </w:pPr>
    </w:p>
    <w:p w14:paraId="6FA8E946" w14:textId="0CE1E0B7" w:rsidR="00FF4CED" w:rsidRPr="00EA4BA0" w:rsidRDefault="00FF4CED" w:rsidP="00B772DF">
      <w:pPr>
        <w:pStyle w:val="Heading3"/>
      </w:pPr>
      <w:r>
        <w:t>Table 2b. Transfer</w:t>
      </w:r>
      <w:r w:rsidRPr="00EA4BA0">
        <w:t xml:space="preserve"> Students by Campus</w:t>
      </w:r>
    </w:p>
    <w:tbl>
      <w:tblPr>
        <w:tblStyle w:val="GridTable4-Accent11"/>
        <w:tblW w:w="9360" w:type="dxa"/>
        <w:tblLook w:val="04A0" w:firstRow="1" w:lastRow="0" w:firstColumn="1" w:lastColumn="0" w:noHBand="0" w:noVBand="1"/>
        <w:tblCaption w:val="Transfer Students by Campus"/>
        <w:tblDescription w:val="Transfer students by campus. Includes both full- and part-time entering degree seeking students."/>
      </w:tblPr>
      <w:tblGrid>
        <w:gridCol w:w="2796"/>
        <w:gridCol w:w="820"/>
        <w:gridCol w:w="821"/>
        <w:gridCol w:w="820"/>
        <w:gridCol w:w="821"/>
        <w:gridCol w:w="820"/>
        <w:gridCol w:w="821"/>
        <w:gridCol w:w="820"/>
        <w:gridCol w:w="821"/>
      </w:tblGrid>
      <w:tr w:rsidR="00FE2AB8" w:rsidRPr="00B11DBE" w14:paraId="78D8CC77"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42E237F9" w14:textId="77777777" w:rsidR="00FE2AB8" w:rsidRPr="00EA4BA0" w:rsidRDefault="00FE2AB8" w:rsidP="00712BA8">
            <w:pPr>
              <w:rPr>
                <w:rFonts w:eastAsia="Times New Roman" w:cstheme="minorHAnsi"/>
              </w:rPr>
            </w:pPr>
            <w:r>
              <w:rPr>
                <w:rFonts w:eastAsia="Times New Roman" w:cstheme="minorHAnsi"/>
                <w:szCs w:val="24"/>
              </w:rPr>
              <w:t>Student Type</w:t>
            </w:r>
          </w:p>
        </w:tc>
        <w:tc>
          <w:tcPr>
            <w:tcW w:w="820" w:type="dxa"/>
            <w:noWrap/>
            <w:hideMark/>
          </w:tcPr>
          <w:p w14:paraId="7B8A169B"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7B923FA0"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349FDF20"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743FAE28"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4A092513"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5BE01D25"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3FCB0D14"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6BC17CAC"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FE2AB8" w:rsidRPr="00B11DBE" w14:paraId="57CCE9BC"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3028E658"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tcPr>
          <w:p w14:paraId="2C199436"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131</w:t>
            </w:r>
          </w:p>
        </w:tc>
        <w:tc>
          <w:tcPr>
            <w:tcW w:w="821" w:type="dxa"/>
            <w:noWrap/>
          </w:tcPr>
          <w:p w14:paraId="6C57B814"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311</w:t>
            </w:r>
          </w:p>
        </w:tc>
        <w:tc>
          <w:tcPr>
            <w:tcW w:w="820" w:type="dxa"/>
            <w:noWrap/>
          </w:tcPr>
          <w:p w14:paraId="7C3DB6A5"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25</w:t>
            </w:r>
          </w:p>
        </w:tc>
        <w:tc>
          <w:tcPr>
            <w:tcW w:w="821" w:type="dxa"/>
            <w:noWrap/>
          </w:tcPr>
          <w:p w14:paraId="6694E0FC"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111</w:t>
            </w:r>
          </w:p>
        </w:tc>
        <w:tc>
          <w:tcPr>
            <w:tcW w:w="820" w:type="dxa"/>
            <w:noWrap/>
          </w:tcPr>
          <w:p w14:paraId="788805ED"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21</w:t>
            </w:r>
          </w:p>
        </w:tc>
        <w:tc>
          <w:tcPr>
            <w:tcW w:w="821" w:type="dxa"/>
            <w:noWrap/>
          </w:tcPr>
          <w:p w14:paraId="155841E5"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74</w:t>
            </w:r>
          </w:p>
        </w:tc>
        <w:tc>
          <w:tcPr>
            <w:tcW w:w="820" w:type="dxa"/>
            <w:noWrap/>
          </w:tcPr>
          <w:p w14:paraId="75E4BE23"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298</w:t>
            </w:r>
          </w:p>
        </w:tc>
        <w:tc>
          <w:tcPr>
            <w:tcW w:w="821" w:type="dxa"/>
            <w:noWrap/>
          </w:tcPr>
          <w:p w14:paraId="635F3DA6"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971</w:t>
            </w:r>
          </w:p>
        </w:tc>
      </w:tr>
      <w:tr w:rsidR="00FE2AB8" w:rsidRPr="00B11DBE" w14:paraId="7797B0D8"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6B2FC8BB"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tcPr>
          <w:p w14:paraId="23349C4E"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478</w:t>
            </w:r>
          </w:p>
        </w:tc>
        <w:tc>
          <w:tcPr>
            <w:tcW w:w="821" w:type="dxa"/>
            <w:noWrap/>
          </w:tcPr>
          <w:p w14:paraId="345D253E"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469</w:t>
            </w:r>
          </w:p>
        </w:tc>
        <w:tc>
          <w:tcPr>
            <w:tcW w:w="820" w:type="dxa"/>
            <w:noWrap/>
          </w:tcPr>
          <w:p w14:paraId="746A8B3F"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81</w:t>
            </w:r>
          </w:p>
        </w:tc>
        <w:tc>
          <w:tcPr>
            <w:tcW w:w="821" w:type="dxa"/>
            <w:noWrap/>
          </w:tcPr>
          <w:p w14:paraId="366CD3EB"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211</w:t>
            </w:r>
          </w:p>
        </w:tc>
        <w:tc>
          <w:tcPr>
            <w:tcW w:w="820" w:type="dxa"/>
            <w:noWrap/>
          </w:tcPr>
          <w:p w14:paraId="080AA4BC"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w:t>
            </w:r>
          </w:p>
        </w:tc>
        <w:tc>
          <w:tcPr>
            <w:tcW w:w="821" w:type="dxa"/>
            <w:noWrap/>
          </w:tcPr>
          <w:p w14:paraId="1B5E62EB"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153</w:t>
            </w:r>
          </w:p>
        </w:tc>
        <w:tc>
          <w:tcPr>
            <w:tcW w:w="820" w:type="dxa"/>
            <w:noWrap/>
          </w:tcPr>
          <w:p w14:paraId="0F0581B4"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550</w:t>
            </w:r>
          </w:p>
        </w:tc>
        <w:tc>
          <w:tcPr>
            <w:tcW w:w="821" w:type="dxa"/>
            <w:noWrap/>
          </w:tcPr>
          <w:p w14:paraId="614D8FEF"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1,970</w:t>
            </w:r>
          </w:p>
        </w:tc>
      </w:tr>
      <w:tr w:rsidR="00FE2AB8" w:rsidRPr="00B11DBE" w14:paraId="5B7E20BB"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11683353"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tcPr>
          <w:p w14:paraId="6585BD82"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27.4%</w:t>
            </w:r>
          </w:p>
        </w:tc>
        <w:tc>
          <w:tcPr>
            <w:tcW w:w="821" w:type="dxa"/>
            <w:noWrap/>
          </w:tcPr>
          <w:p w14:paraId="56C41392"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66.3%</w:t>
            </w:r>
          </w:p>
        </w:tc>
        <w:tc>
          <w:tcPr>
            <w:tcW w:w="820" w:type="dxa"/>
            <w:noWrap/>
          </w:tcPr>
          <w:p w14:paraId="3B2F9EBB"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30.9%</w:t>
            </w:r>
          </w:p>
        </w:tc>
        <w:tc>
          <w:tcPr>
            <w:tcW w:w="821" w:type="dxa"/>
            <w:noWrap/>
          </w:tcPr>
          <w:p w14:paraId="2CE94BD8"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52.6%</w:t>
            </w:r>
          </w:p>
        </w:tc>
        <w:tc>
          <w:tcPr>
            <w:tcW w:w="820" w:type="dxa"/>
            <w:noWrap/>
          </w:tcPr>
          <w:p w14:paraId="0D0F6421"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75.0%</w:t>
            </w:r>
          </w:p>
        </w:tc>
        <w:tc>
          <w:tcPr>
            <w:tcW w:w="821" w:type="dxa"/>
            <w:noWrap/>
          </w:tcPr>
          <w:p w14:paraId="2281047B"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48.4%</w:t>
            </w:r>
          </w:p>
        </w:tc>
        <w:tc>
          <w:tcPr>
            <w:tcW w:w="820" w:type="dxa"/>
            <w:noWrap/>
          </w:tcPr>
          <w:p w14:paraId="4A95A8E4"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54.2%</w:t>
            </w:r>
          </w:p>
        </w:tc>
        <w:tc>
          <w:tcPr>
            <w:tcW w:w="821" w:type="dxa"/>
            <w:noWrap/>
          </w:tcPr>
          <w:p w14:paraId="6A7D143C"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49.3%</w:t>
            </w:r>
          </w:p>
        </w:tc>
      </w:tr>
    </w:tbl>
    <w:p w14:paraId="728BF1E4" w14:textId="77777777" w:rsidR="00FF4CED" w:rsidRDefault="00FF4CED" w:rsidP="00FF4CED">
      <w:pPr>
        <w:spacing w:after="0" w:line="240" w:lineRule="auto"/>
        <w:rPr>
          <w:b/>
        </w:rPr>
      </w:pPr>
    </w:p>
    <w:p w14:paraId="7DCB9EB4" w14:textId="77777777" w:rsidR="00FF4CED" w:rsidRPr="00EA4BA0" w:rsidRDefault="00FF4CED" w:rsidP="00B772DF">
      <w:pPr>
        <w:pStyle w:val="Heading3"/>
      </w:pPr>
      <w:r>
        <w:t xml:space="preserve">Table 2c. </w:t>
      </w:r>
      <w:r w:rsidRPr="00EA4BA0">
        <w:t xml:space="preserve">Total </w:t>
      </w:r>
      <w:r>
        <w:t>First-</w:t>
      </w:r>
      <w:r w:rsidRPr="00B772DF">
        <w:t>Time</w:t>
      </w:r>
      <w:r>
        <w:t xml:space="preserve"> &amp; Transfer</w:t>
      </w:r>
      <w:r w:rsidRPr="00EA4BA0">
        <w:t xml:space="preserve"> Students by Campus</w:t>
      </w:r>
    </w:p>
    <w:tbl>
      <w:tblPr>
        <w:tblStyle w:val="GridTable4-Accent11"/>
        <w:tblW w:w="9360" w:type="dxa"/>
        <w:tblLook w:val="04A0" w:firstRow="1" w:lastRow="0" w:firstColumn="1" w:lastColumn="0" w:noHBand="0" w:noVBand="1"/>
        <w:tblCaption w:val="Total First-Time &amp; Transfer Students by Campus"/>
        <w:tblDescription w:val="Total first-time and transfer students by campus. Includes both full- and part-time entering degree seeking students."/>
      </w:tblPr>
      <w:tblGrid>
        <w:gridCol w:w="2796"/>
        <w:gridCol w:w="820"/>
        <w:gridCol w:w="821"/>
        <w:gridCol w:w="820"/>
        <w:gridCol w:w="821"/>
        <w:gridCol w:w="820"/>
        <w:gridCol w:w="821"/>
        <w:gridCol w:w="820"/>
        <w:gridCol w:w="821"/>
      </w:tblGrid>
      <w:tr w:rsidR="00FE2AB8" w:rsidRPr="00B11DBE" w14:paraId="2887F8A6"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053C8B17" w14:textId="77777777" w:rsidR="00FE2AB8" w:rsidRPr="00EA4BA0" w:rsidRDefault="00FE2AB8" w:rsidP="00712BA8">
            <w:pPr>
              <w:rPr>
                <w:rFonts w:eastAsia="Times New Roman" w:cstheme="minorHAnsi"/>
              </w:rPr>
            </w:pPr>
            <w:r>
              <w:rPr>
                <w:rFonts w:eastAsia="Times New Roman" w:cstheme="minorHAnsi"/>
                <w:szCs w:val="24"/>
              </w:rPr>
              <w:t>Student Type</w:t>
            </w:r>
          </w:p>
        </w:tc>
        <w:tc>
          <w:tcPr>
            <w:tcW w:w="820" w:type="dxa"/>
            <w:noWrap/>
            <w:hideMark/>
          </w:tcPr>
          <w:p w14:paraId="7EB0B743"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5C73713C"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53CBFA37"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534AEDA4"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7C8B885D"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0FFB452F"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3599D70B"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69DB98F6"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FE2AB8" w:rsidRPr="00B11DBE" w14:paraId="3A318559"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035AC5A2"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tcPr>
          <w:p w14:paraId="4C5C9CB6"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593</w:t>
            </w:r>
          </w:p>
        </w:tc>
        <w:tc>
          <w:tcPr>
            <w:tcW w:w="821" w:type="dxa"/>
            <w:noWrap/>
          </w:tcPr>
          <w:p w14:paraId="17F4C930"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549</w:t>
            </w:r>
          </w:p>
        </w:tc>
        <w:tc>
          <w:tcPr>
            <w:tcW w:w="820" w:type="dxa"/>
            <w:noWrap/>
          </w:tcPr>
          <w:p w14:paraId="24D6EC76"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204</w:t>
            </w:r>
          </w:p>
        </w:tc>
        <w:tc>
          <w:tcPr>
            <w:tcW w:w="821" w:type="dxa"/>
            <w:noWrap/>
          </w:tcPr>
          <w:p w14:paraId="643A4348"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151</w:t>
            </w:r>
          </w:p>
        </w:tc>
        <w:tc>
          <w:tcPr>
            <w:tcW w:w="820" w:type="dxa"/>
            <w:noWrap/>
          </w:tcPr>
          <w:p w14:paraId="2A3407E2"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63</w:t>
            </w:r>
          </w:p>
        </w:tc>
        <w:tc>
          <w:tcPr>
            <w:tcW w:w="821" w:type="dxa"/>
            <w:noWrap/>
          </w:tcPr>
          <w:p w14:paraId="291F4411"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160</w:t>
            </w:r>
          </w:p>
        </w:tc>
        <w:tc>
          <w:tcPr>
            <w:tcW w:w="820" w:type="dxa"/>
            <w:noWrap/>
          </w:tcPr>
          <w:p w14:paraId="2F830749"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682</w:t>
            </w:r>
          </w:p>
        </w:tc>
        <w:tc>
          <w:tcPr>
            <w:tcW w:w="821" w:type="dxa"/>
            <w:noWrap/>
          </w:tcPr>
          <w:p w14:paraId="50BB3D75"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2,402</w:t>
            </w:r>
          </w:p>
        </w:tc>
      </w:tr>
      <w:tr w:rsidR="00FE2AB8" w:rsidRPr="00B11DBE" w14:paraId="266E2971"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18D58AFD"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tcPr>
          <w:p w14:paraId="5341D5B7"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2,537</w:t>
            </w:r>
          </w:p>
        </w:tc>
        <w:tc>
          <w:tcPr>
            <w:tcW w:w="821" w:type="dxa"/>
            <w:noWrap/>
          </w:tcPr>
          <w:p w14:paraId="1FB0A41A"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843</w:t>
            </w:r>
          </w:p>
        </w:tc>
        <w:tc>
          <w:tcPr>
            <w:tcW w:w="820" w:type="dxa"/>
            <w:noWrap/>
          </w:tcPr>
          <w:p w14:paraId="56942C05"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451</w:t>
            </w:r>
          </w:p>
        </w:tc>
        <w:tc>
          <w:tcPr>
            <w:tcW w:w="821" w:type="dxa"/>
            <w:noWrap/>
          </w:tcPr>
          <w:p w14:paraId="0D69ACF6"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301</w:t>
            </w:r>
          </w:p>
        </w:tc>
        <w:tc>
          <w:tcPr>
            <w:tcW w:w="820" w:type="dxa"/>
            <w:noWrap/>
          </w:tcPr>
          <w:p w14:paraId="2A1D177C"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98</w:t>
            </w:r>
          </w:p>
        </w:tc>
        <w:tc>
          <w:tcPr>
            <w:tcW w:w="821" w:type="dxa"/>
            <w:noWrap/>
          </w:tcPr>
          <w:p w14:paraId="391AB9C7"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339</w:t>
            </w:r>
          </w:p>
        </w:tc>
        <w:tc>
          <w:tcPr>
            <w:tcW w:w="820" w:type="dxa"/>
            <w:noWrap/>
          </w:tcPr>
          <w:p w14:paraId="5155D6F1"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1,358</w:t>
            </w:r>
          </w:p>
        </w:tc>
        <w:tc>
          <w:tcPr>
            <w:tcW w:w="821" w:type="dxa"/>
            <w:noWrap/>
          </w:tcPr>
          <w:p w14:paraId="6523B89C"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5,927</w:t>
            </w:r>
          </w:p>
        </w:tc>
      </w:tr>
      <w:tr w:rsidR="00FE2AB8" w:rsidRPr="00B11DBE" w14:paraId="1654B953"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6B3895B0"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tcPr>
          <w:p w14:paraId="74D35F45"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23.4%</w:t>
            </w:r>
          </w:p>
        </w:tc>
        <w:tc>
          <w:tcPr>
            <w:tcW w:w="821" w:type="dxa"/>
            <w:noWrap/>
          </w:tcPr>
          <w:p w14:paraId="6BFACE47"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65.1%</w:t>
            </w:r>
          </w:p>
        </w:tc>
        <w:tc>
          <w:tcPr>
            <w:tcW w:w="820" w:type="dxa"/>
            <w:noWrap/>
          </w:tcPr>
          <w:p w14:paraId="0FC86F82"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45.2%</w:t>
            </w:r>
          </w:p>
        </w:tc>
        <w:tc>
          <w:tcPr>
            <w:tcW w:w="821" w:type="dxa"/>
            <w:noWrap/>
          </w:tcPr>
          <w:p w14:paraId="176A8F7E"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50.2%</w:t>
            </w:r>
          </w:p>
        </w:tc>
        <w:tc>
          <w:tcPr>
            <w:tcW w:w="820" w:type="dxa"/>
            <w:noWrap/>
          </w:tcPr>
          <w:p w14:paraId="6E0F9044"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64.3%</w:t>
            </w:r>
          </w:p>
        </w:tc>
        <w:tc>
          <w:tcPr>
            <w:tcW w:w="821" w:type="dxa"/>
            <w:noWrap/>
          </w:tcPr>
          <w:p w14:paraId="661E6315"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47.2%</w:t>
            </w:r>
          </w:p>
        </w:tc>
        <w:tc>
          <w:tcPr>
            <w:tcW w:w="820" w:type="dxa"/>
            <w:noWrap/>
          </w:tcPr>
          <w:p w14:paraId="36CC0980"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50.2%</w:t>
            </w:r>
          </w:p>
        </w:tc>
        <w:tc>
          <w:tcPr>
            <w:tcW w:w="821" w:type="dxa"/>
            <w:noWrap/>
          </w:tcPr>
          <w:p w14:paraId="4C954A6B"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40.5%</w:t>
            </w:r>
          </w:p>
        </w:tc>
      </w:tr>
    </w:tbl>
    <w:p w14:paraId="3C970537" w14:textId="77777777" w:rsidR="00FF4CED" w:rsidRDefault="00FF4CED" w:rsidP="00FF4CED">
      <w:pPr>
        <w:spacing w:after="0" w:line="240" w:lineRule="auto"/>
        <w:rPr>
          <w:b/>
        </w:rPr>
      </w:pPr>
    </w:p>
    <w:p w14:paraId="08AFDF15" w14:textId="7DD6B924" w:rsidR="00FF4CED" w:rsidRPr="00461D7A" w:rsidRDefault="00FE2AB8" w:rsidP="00B772DF">
      <w:pPr>
        <w:pStyle w:val="Heading2"/>
        <w:jc w:val="center"/>
      </w:pPr>
      <w:r>
        <w:t>Fall 2020</w:t>
      </w:r>
      <w:r w:rsidR="00FF4CED" w:rsidRPr="00461D7A">
        <w:t xml:space="preserve"> </w:t>
      </w:r>
      <w:r w:rsidR="00FF4CED" w:rsidRPr="00B772DF">
        <w:t>Full</w:t>
      </w:r>
      <w:r w:rsidR="00FF4CED" w:rsidRPr="00461D7A">
        <w:t>-Time Entering Degree</w:t>
      </w:r>
      <w:r w:rsidR="00FF4CED">
        <w:t>-</w:t>
      </w:r>
      <w:r w:rsidR="00FF4CED" w:rsidRPr="00461D7A">
        <w:t>Seeking Students</w:t>
      </w:r>
    </w:p>
    <w:p w14:paraId="5E0DE2C6" w14:textId="77777777" w:rsidR="00FF4CED" w:rsidRPr="00EA4BA0" w:rsidRDefault="00FF4CED" w:rsidP="00B772DF">
      <w:pPr>
        <w:pStyle w:val="Heading3"/>
      </w:pPr>
      <w:r>
        <w:t>Table 2d. First-Time</w:t>
      </w:r>
      <w:r w:rsidRPr="00EA4BA0">
        <w:t xml:space="preserve"> Students by Campus</w:t>
      </w:r>
    </w:p>
    <w:tbl>
      <w:tblPr>
        <w:tblStyle w:val="GridTable4-Accent11"/>
        <w:tblW w:w="9360" w:type="dxa"/>
        <w:tblLook w:val="04A0" w:firstRow="1" w:lastRow="0" w:firstColumn="1" w:lastColumn="0" w:noHBand="0" w:noVBand="1"/>
        <w:tblCaption w:val="First-Time Students by Campus"/>
        <w:tblDescription w:val="First-time students by campus. Includes only full-time entering degree seeking students."/>
      </w:tblPr>
      <w:tblGrid>
        <w:gridCol w:w="2796"/>
        <w:gridCol w:w="820"/>
        <w:gridCol w:w="821"/>
        <w:gridCol w:w="820"/>
        <w:gridCol w:w="821"/>
        <w:gridCol w:w="820"/>
        <w:gridCol w:w="821"/>
        <w:gridCol w:w="820"/>
        <w:gridCol w:w="821"/>
      </w:tblGrid>
      <w:tr w:rsidR="00FE2AB8" w:rsidRPr="00B11DBE" w14:paraId="492BCAAE"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6A25CB8D" w14:textId="77777777" w:rsidR="00FE2AB8" w:rsidRPr="00EA4BA0" w:rsidRDefault="00FE2AB8" w:rsidP="00712BA8">
            <w:pPr>
              <w:rPr>
                <w:rFonts w:eastAsia="Times New Roman" w:cstheme="minorHAnsi"/>
              </w:rPr>
            </w:pPr>
            <w:r>
              <w:rPr>
                <w:rFonts w:eastAsia="Times New Roman" w:cstheme="minorHAnsi"/>
                <w:szCs w:val="24"/>
              </w:rPr>
              <w:t>Student Type</w:t>
            </w:r>
          </w:p>
        </w:tc>
        <w:tc>
          <w:tcPr>
            <w:tcW w:w="820" w:type="dxa"/>
            <w:noWrap/>
            <w:hideMark/>
          </w:tcPr>
          <w:p w14:paraId="46FEDCD4"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3A6A8D7A"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24C260B5"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5004BBFF"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60AD00F9"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680B3A67"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11CC7B7B"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6CA9CD09"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FE2AB8" w:rsidRPr="00B11DBE" w14:paraId="14866711"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300B4B28"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tcPr>
          <w:p w14:paraId="3C4EFE1F"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451</w:t>
            </w:r>
          </w:p>
        </w:tc>
        <w:tc>
          <w:tcPr>
            <w:tcW w:w="821" w:type="dxa"/>
            <w:noWrap/>
          </w:tcPr>
          <w:p w14:paraId="3D77B4C4"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160</w:t>
            </w:r>
          </w:p>
        </w:tc>
        <w:tc>
          <w:tcPr>
            <w:tcW w:w="820" w:type="dxa"/>
            <w:noWrap/>
          </w:tcPr>
          <w:p w14:paraId="345EA450"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179</w:t>
            </w:r>
          </w:p>
        </w:tc>
        <w:tc>
          <w:tcPr>
            <w:tcW w:w="821" w:type="dxa"/>
            <w:noWrap/>
          </w:tcPr>
          <w:p w14:paraId="2DD25420"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38</w:t>
            </w:r>
          </w:p>
        </w:tc>
        <w:tc>
          <w:tcPr>
            <w:tcW w:w="820" w:type="dxa"/>
            <w:noWrap/>
          </w:tcPr>
          <w:p w14:paraId="78F218E7"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31</w:t>
            </w:r>
          </w:p>
        </w:tc>
        <w:tc>
          <w:tcPr>
            <w:tcW w:w="821" w:type="dxa"/>
            <w:noWrap/>
          </w:tcPr>
          <w:p w14:paraId="7AB2487B"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78</w:t>
            </w:r>
          </w:p>
        </w:tc>
        <w:tc>
          <w:tcPr>
            <w:tcW w:w="820" w:type="dxa"/>
            <w:noWrap/>
          </w:tcPr>
          <w:p w14:paraId="24938C8C"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365</w:t>
            </w:r>
          </w:p>
        </w:tc>
        <w:tc>
          <w:tcPr>
            <w:tcW w:w="821" w:type="dxa"/>
            <w:noWrap/>
          </w:tcPr>
          <w:p w14:paraId="4B83A60F"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1,302</w:t>
            </w:r>
          </w:p>
        </w:tc>
      </w:tr>
      <w:tr w:rsidR="00FE2AB8" w:rsidRPr="00B11DBE" w14:paraId="3A074A97"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032CB3F2"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tcPr>
          <w:p w14:paraId="65000A4D"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2,014</w:t>
            </w:r>
          </w:p>
        </w:tc>
        <w:tc>
          <w:tcPr>
            <w:tcW w:w="821" w:type="dxa"/>
            <w:noWrap/>
          </w:tcPr>
          <w:p w14:paraId="4D981F70"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259</w:t>
            </w:r>
          </w:p>
        </w:tc>
        <w:tc>
          <w:tcPr>
            <w:tcW w:w="820" w:type="dxa"/>
            <w:noWrap/>
          </w:tcPr>
          <w:p w14:paraId="5FFAF902"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370</w:t>
            </w:r>
          </w:p>
        </w:tc>
        <w:tc>
          <w:tcPr>
            <w:tcW w:w="821" w:type="dxa"/>
            <w:noWrap/>
          </w:tcPr>
          <w:p w14:paraId="3A2F9C17"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87</w:t>
            </w:r>
          </w:p>
        </w:tc>
        <w:tc>
          <w:tcPr>
            <w:tcW w:w="820" w:type="dxa"/>
            <w:noWrap/>
          </w:tcPr>
          <w:p w14:paraId="4F83FA71"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56</w:t>
            </w:r>
          </w:p>
        </w:tc>
        <w:tc>
          <w:tcPr>
            <w:tcW w:w="821" w:type="dxa"/>
            <w:noWrap/>
          </w:tcPr>
          <w:p w14:paraId="152BA3F6"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169</w:t>
            </w:r>
          </w:p>
        </w:tc>
        <w:tc>
          <w:tcPr>
            <w:tcW w:w="820" w:type="dxa"/>
            <w:noWrap/>
          </w:tcPr>
          <w:p w14:paraId="463DBEDA"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776</w:t>
            </w:r>
          </w:p>
        </w:tc>
        <w:tc>
          <w:tcPr>
            <w:tcW w:w="821" w:type="dxa"/>
            <w:noWrap/>
          </w:tcPr>
          <w:p w14:paraId="49CF8AA9"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3,731</w:t>
            </w:r>
          </w:p>
        </w:tc>
      </w:tr>
      <w:tr w:rsidR="00FE2AB8" w:rsidRPr="00B11DBE" w14:paraId="3064FD1C"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44C54A7D"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tcPr>
          <w:p w14:paraId="5FC769C3"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22.4%</w:t>
            </w:r>
          </w:p>
        </w:tc>
        <w:tc>
          <w:tcPr>
            <w:tcW w:w="821" w:type="dxa"/>
            <w:noWrap/>
          </w:tcPr>
          <w:p w14:paraId="00313B34"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61.8%</w:t>
            </w:r>
          </w:p>
        </w:tc>
        <w:tc>
          <w:tcPr>
            <w:tcW w:w="820" w:type="dxa"/>
            <w:noWrap/>
          </w:tcPr>
          <w:p w14:paraId="7BB8F9CD"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48.4%</w:t>
            </w:r>
          </w:p>
        </w:tc>
        <w:tc>
          <w:tcPr>
            <w:tcW w:w="821" w:type="dxa"/>
            <w:noWrap/>
          </w:tcPr>
          <w:p w14:paraId="02542B5C"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43.7%</w:t>
            </w:r>
          </w:p>
        </w:tc>
        <w:tc>
          <w:tcPr>
            <w:tcW w:w="820" w:type="dxa"/>
            <w:noWrap/>
          </w:tcPr>
          <w:p w14:paraId="721009E9"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55.4%</w:t>
            </w:r>
          </w:p>
        </w:tc>
        <w:tc>
          <w:tcPr>
            <w:tcW w:w="821" w:type="dxa"/>
            <w:noWrap/>
          </w:tcPr>
          <w:p w14:paraId="6C593744"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46.2%</w:t>
            </w:r>
          </w:p>
        </w:tc>
        <w:tc>
          <w:tcPr>
            <w:tcW w:w="820" w:type="dxa"/>
            <w:noWrap/>
          </w:tcPr>
          <w:p w14:paraId="35AA13C8"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47.0%</w:t>
            </w:r>
          </w:p>
        </w:tc>
        <w:tc>
          <w:tcPr>
            <w:tcW w:w="821" w:type="dxa"/>
            <w:noWrap/>
          </w:tcPr>
          <w:p w14:paraId="58C59EAB"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34.9%</w:t>
            </w:r>
          </w:p>
        </w:tc>
      </w:tr>
    </w:tbl>
    <w:p w14:paraId="4919C070" w14:textId="77777777" w:rsidR="00FF4CED" w:rsidRDefault="00FF4CED" w:rsidP="00FF4CED">
      <w:pPr>
        <w:spacing w:after="0" w:line="240" w:lineRule="auto"/>
        <w:rPr>
          <w:b/>
        </w:rPr>
      </w:pPr>
    </w:p>
    <w:p w14:paraId="7BF8703C" w14:textId="77777777" w:rsidR="00FF4CED" w:rsidRPr="00EA4BA0" w:rsidRDefault="00FF4CED" w:rsidP="00B772DF">
      <w:pPr>
        <w:pStyle w:val="Heading3"/>
      </w:pPr>
      <w:r>
        <w:t>Table 2e. Transfer</w:t>
      </w:r>
      <w:r w:rsidRPr="00EA4BA0">
        <w:t xml:space="preserve"> Students by Campus</w:t>
      </w:r>
    </w:p>
    <w:tbl>
      <w:tblPr>
        <w:tblStyle w:val="GridTable4-Accent11"/>
        <w:tblW w:w="9360" w:type="dxa"/>
        <w:tblLook w:val="04A0" w:firstRow="1" w:lastRow="0" w:firstColumn="1" w:lastColumn="0" w:noHBand="0" w:noVBand="1"/>
        <w:tblCaption w:val="Transfer Students by Campus"/>
        <w:tblDescription w:val="Transfer students by campus. Includes only full-time entering degree seeking students."/>
      </w:tblPr>
      <w:tblGrid>
        <w:gridCol w:w="2796"/>
        <w:gridCol w:w="820"/>
        <w:gridCol w:w="821"/>
        <w:gridCol w:w="820"/>
        <w:gridCol w:w="821"/>
        <w:gridCol w:w="820"/>
        <w:gridCol w:w="821"/>
        <w:gridCol w:w="820"/>
        <w:gridCol w:w="821"/>
      </w:tblGrid>
      <w:tr w:rsidR="00FE2AB8" w:rsidRPr="00B11DBE" w14:paraId="157CBB69"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361477D7" w14:textId="77777777" w:rsidR="00FE2AB8" w:rsidRPr="00EA4BA0" w:rsidRDefault="00FE2AB8" w:rsidP="00712BA8">
            <w:pPr>
              <w:rPr>
                <w:rFonts w:eastAsia="Times New Roman" w:cstheme="minorHAnsi"/>
              </w:rPr>
            </w:pPr>
            <w:r>
              <w:rPr>
                <w:rFonts w:eastAsia="Times New Roman" w:cstheme="minorHAnsi"/>
                <w:szCs w:val="24"/>
              </w:rPr>
              <w:t>Student Type</w:t>
            </w:r>
          </w:p>
        </w:tc>
        <w:tc>
          <w:tcPr>
            <w:tcW w:w="820" w:type="dxa"/>
            <w:noWrap/>
            <w:hideMark/>
          </w:tcPr>
          <w:p w14:paraId="4A464D65"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0613F0D0"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460A1C3A"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0CE9AD8C"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7BB38A7B"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31D47A7C"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3F6BACCE"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20D138CC"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FE2AB8" w:rsidRPr="00B11DBE" w14:paraId="7E495CB9"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6D2E61B1"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tcPr>
          <w:p w14:paraId="2766A622"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97</w:t>
            </w:r>
          </w:p>
        </w:tc>
        <w:tc>
          <w:tcPr>
            <w:tcW w:w="821" w:type="dxa"/>
            <w:noWrap/>
          </w:tcPr>
          <w:p w14:paraId="2800304F"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162</w:t>
            </w:r>
          </w:p>
        </w:tc>
        <w:tc>
          <w:tcPr>
            <w:tcW w:w="820" w:type="dxa"/>
            <w:noWrap/>
          </w:tcPr>
          <w:p w14:paraId="2A4A04E4"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w:t>
            </w:r>
          </w:p>
        </w:tc>
        <w:tc>
          <w:tcPr>
            <w:tcW w:w="821" w:type="dxa"/>
            <w:noWrap/>
          </w:tcPr>
          <w:p w14:paraId="74AA6F86"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55</w:t>
            </w:r>
          </w:p>
        </w:tc>
        <w:tc>
          <w:tcPr>
            <w:tcW w:w="820" w:type="dxa"/>
            <w:noWrap/>
          </w:tcPr>
          <w:p w14:paraId="49855992"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w:t>
            </w:r>
          </w:p>
        </w:tc>
        <w:tc>
          <w:tcPr>
            <w:tcW w:w="821" w:type="dxa"/>
            <w:noWrap/>
          </w:tcPr>
          <w:p w14:paraId="1BCA137A"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49</w:t>
            </w:r>
          </w:p>
        </w:tc>
        <w:tc>
          <w:tcPr>
            <w:tcW w:w="820" w:type="dxa"/>
            <w:noWrap/>
          </w:tcPr>
          <w:p w14:paraId="3259F634"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212</w:t>
            </w:r>
          </w:p>
        </w:tc>
        <w:tc>
          <w:tcPr>
            <w:tcW w:w="821" w:type="dxa"/>
            <w:noWrap/>
          </w:tcPr>
          <w:p w14:paraId="4046FC49"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609</w:t>
            </w:r>
          </w:p>
        </w:tc>
      </w:tr>
      <w:tr w:rsidR="00FE2AB8" w:rsidRPr="00B11DBE" w14:paraId="70288CCE"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5F772E19" w14:textId="77777777" w:rsidR="00FE2AB8" w:rsidRPr="00EA4BA0" w:rsidRDefault="00FE2AB8" w:rsidP="00712BA8">
            <w:pPr>
              <w:rPr>
                <w:rFonts w:ascii="Calibri" w:eastAsia="Times New Roman" w:hAnsi="Calibri" w:cs="Calibri"/>
                <w:color w:val="000000"/>
              </w:rPr>
            </w:pPr>
            <w:r>
              <w:rPr>
                <w:rFonts w:ascii="Calibri" w:eastAsia="Times New Roman" w:hAnsi="Calibri" w:cs="Calibri"/>
                <w:color w:val="000000"/>
              </w:rPr>
              <w:t>T</w:t>
            </w:r>
            <w:r w:rsidRPr="00EA4BA0">
              <w:rPr>
                <w:rFonts w:ascii="Calibri" w:eastAsia="Times New Roman" w:hAnsi="Calibri" w:cs="Calibri"/>
                <w:color w:val="000000"/>
              </w:rPr>
              <w:t xml:space="preserve">otal Students </w:t>
            </w:r>
          </w:p>
        </w:tc>
        <w:tc>
          <w:tcPr>
            <w:tcW w:w="820" w:type="dxa"/>
            <w:noWrap/>
          </w:tcPr>
          <w:p w14:paraId="7A306FE3"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364</w:t>
            </w:r>
          </w:p>
        </w:tc>
        <w:tc>
          <w:tcPr>
            <w:tcW w:w="821" w:type="dxa"/>
            <w:noWrap/>
          </w:tcPr>
          <w:p w14:paraId="2F414C81"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240</w:t>
            </w:r>
          </w:p>
        </w:tc>
        <w:tc>
          <w:tcPr>
            <w:tcW w:w="820" w:type="dxa"/>
            <w:noWrap/>
          </w:tcPr>
          <w:p w14:paraId="7720C036"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63</w:t>
            </w:r>
          </w:p>
        </w:tc>
        <w:tc>
          <w:tcPr>
            <w:tcW w:w="821" w:type="dxa"/>
            <w:noWrap/>
          </w:tcPr>
          <w:p w14:paraId="3E7ABF2B"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115</w:t>
            </w:r>
          </w:p>
        </w:tc>
        <w:tc>
          <w:tcPr>
            <w:tcW w:w="820" w:type="dxa"/>
            <w:noWrap/>
          </w:tcPr>
          <w:p w14:paraId="0604AFAA"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w:t>
            </w:r>
          </w:p>
        </w:tc>
        <w:tc>
          <w:tcPr>
            <w:tcW w:w="821" w:type="dxa"/>
            <w:noWrap/>
          </w:tcPr>
          <w:p w14:paraId="7CD3B477"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94</w:t>
            </w:r>
          </w:p>
        </w:tc>
        <w:tc>
          <w:tcPr>
            <w:tcW w:w="820" w:type="dxa"/>
            <w:noWrap/>
          </w:tcPr>
          <w:p w14:paraId="60BF43C5"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403</w:t>
            </w:r>
          </w:p>
        </w:tc>
        <w:tc>
          <w:tcPr>
            <w:tcW w:w="821" w:type="dxa"/>
            <w:noWrap/>
          </w:tcPr>
          <w:p w14:paraId="2497D73A"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1,300</w:t>
            </w:r>
          </w:p>
        </w:tc>
      </w:tr>
      <w:tr w:rsidR="00FE2AB8" w:rsidRPr="00B11DBE" w14:paraId="467B4F53"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5EAEB8A4"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tcPr>
          <w:p w14:paraId="6FEE4484"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26.6%</w:t>
            </w:r>
          </w:p>
        </w:tc>
        <w:tc>
          <w:tcPr>
            <w:tcW w:w="821" w:type="dxa"/>
            <w:noWrap/>
          </w:tcPr>
          <w:p w14:paraId="22C76D19"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67.5%</w:t>
            </w:r>
          </w:p>
        </w:tc>
        <w:tc>
          <w:tcPr>
            <w:tcW w:w="820" w:type="dxa"/>
            <w:noWrap/>
          </w:tcPr>
          <w:p w14:paraId="57B11659"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31.7%</w:t>
            </w:r>
          </w:p>
        </w:tc>
        <w:tc>
          <w:tcPr>
            <w:tcW w:w="821" w:type="dxa"/>
            <w:noWrap/>
          </w:tcPr>
          <w:p w14:paraId="3FB32C00"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47.8%</w:t>
            </w:r>
          </w:p>
        </w:tc>
        <w:tc>
          <w:tcPr>
            <w:tcW w:w="820" w:type="dxa"/>
            <w:noWrap/>
          </w:tcPr>
          <w:p w14:paraId="57ABC368"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66.7%</w:t>
            </w:r>
          </w:p>
        </w:tc>
        <w:tc>
          <w:tcPr>
            <w:tcW w:w="821" w:type="dxa"/>
            <w:noWrap/>
          </w:tcPr>
          <w:p w14:paraId="73744A97"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52.1%</w:t>
            </w:r>
          </w:p>
        </w:tc>
        <w:tc>
          <w:tcPr>
            <w:tcW w:w="820" w:type="dxa"/>
            <w:noWrap/>
          </w:tcPr>
          <w:p w14:paraId="4F5E6C94"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52.6%</w:t>
            </w:r>
          </w:p>
        </w:tc>
        <w:tc>
          <w:tcPr>
            <w:tcW w:w="821" w:type="dxa"/>
            <w:noWrap/>
          </w:tcPr>
          <w:p w14:paraId="74784EFE"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46.8%</w:t>
            </w:r>
          </w:p>
        </w:tc>
      </w:tr>
    </w:tbl>
    <w:p w14:paraId="10994872" w14:textId="77777777" w:rsidR="00FF4CED" w:rsidRDefault="00FF4CED" w:rsidP="00FF4CED">
      <w:pPr>
        <w:spacing w:after="0" w:line="240" w:lineRule="auto"/>
        <w:rPr>
          <w:b/>
        </w:rPr>
      </w:pPr>
    </w:p>
    <w:p w14:paraId="637CEFC4" w14:textId="77777777" w:rsidR="00FF4CED" w:rsidRPr="00EA4BA0" w:rsidRDefault="00FF4CED" w:rsidP="00B772DF">
      <w:pPr>
        <w:pStyle w:val="Heading3"/>
      </w:pPr>
      <w:r>
        <w:t>Table 2f. Total</w:t>
      </w:r>
      <w:r w:rsidRPr="00EA4BA0">
        <w:t xml:space="preserve"> </w:t>
      </w:r>
      <w:r>
        <w:t>First-Time &amp; Transfer</w:t>
      </w:r>
      <w:r w:rsidRPr="00EA4BA0">
        <w:t xml:space="preserve"> Students by Campus</w:t>
      </w:r>
    </w:p>
    <w:tbl>
      <w:tblPr>
        <w:tblStyle w:val="GridTable4-Accent11"/>
        <w:tblW w:w="9360" w:type="dxa"/>
        <w:tblLook w:val="04A0" w:firstRow="1" w:lastRow="0" w:firstColumn="1" w:lastColumn="0" w:noHBand="0" w:noVBand="1"/>
        <w:tblCaption w:val="Total First-Time &amp; Transfer Students by Campus"/>
        <w:tblDescription w:val="Total first-time and transfer students by campus. Includes only full-time entering degree seeking students."/>
      </w:tblPr>
      <w:tblGrid>
        <w:gridCol w:w="2796"/>
        <w:gridCol w:w="820"/>
        <w:gridCol w:w="821"/>
        <w:gridCol w:w="820"/>
        <w:gridCol w:w="821"/>
        <w:gridCol w:w="820"/>
        <w:gridCol w:w="821"/>
        <w:gridCol w:w="820"/>
        <w:gridCol w:w="821"/>
      </w:tblGrid>
      <w:tr w:rsidR="00FE2AB8" w:rsidRPr="00EA4BA0" w14:paraId="19C3DE58"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2CD80DA0" w14:textId="77777777" w:rsidR="00FE2AB8" w:rsidRPr="00EA4BA0" w:rsidRDefault="00FE2AB8" w:rsidP="00712BA8">
            <w:pPr>
              <w:rPr>
                <w:rFonts w:eastAsia="Times New Roman" w:cstheme="minorHAnsi"/>
              </w:rPr>
            </w:pPr>
            <w:r>
              <w:rPr>
                <w:rFonts w:eastAsia="Times New Roman" w:cstheme="minorHAnsi"/>
                <w:szCs w:val="24"/>
              </w:rPr>
              <w:t>Student Type</w:t>
            </w:r>
          </w:p>
        </w:tc>
        <w:tc>
          <w:tcPr>
            <w:tcW w:w="820" w:type="dxa"/>
            <w:noWrap/>
            <w:hideMark/>
          </w:tcPr>
          <w:p w14:paraId="778F7163"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54FDE0FE"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2AAD5E32"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5803698C"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15F50158"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73414C81"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2B20F244"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29FAE8DB" w14:textId="77777777" w:rsidR="00FE2AB8" w:rsidRPr="00EA4BA0" w:rsidRDefault="00FE2AB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FE2AB8" w:rsidRPr="00EA4BA0" w14:paraId="553F3EF2"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0A35A612"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tcPr>
          <w:p w14:paraId="4730BAAF"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548</w:t>
            </w:r>
          </w:p>
        </w:tc>
        <w:tc>
          <w:tcPr>
            <w:tcW w:w="821" w:type="dxa"/>
            <w:noWrap/>
          </w:tcPr>
          <w:p w14:paraId="3376A39E"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322</w:t>
            </w:r>
          </w:p>
        </w:tc>
        <w:tc>
          <w:tcPr>
            <w:tcW w:w="820" w:type="dxa"/>
            <w:noWrap/>
          </w:tcPr>
          <w:p w14:paraId="696FA848"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199</w:t>
            </w:r>
          </w:p>
        </w:tc>
        <w:tc>
          <w:tcPr>
            <w:tcW w:w="821" w:type="dxa"/>
            <w:noWrap/>
          </w:tcPr>
          <w:p w14:paraId="7B97C1B9"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93</w:t>
            </w:r>
          </w:p>
        </w:tc>
        <w:tc>
          <w:tcPr>
            <w:tcW w:w="820" w:type="dxa"/>
            <w:noWrap/>
          </w:tcPr>
          <w:p w14:paraId="07EFC1CF"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45</w:t>
            </w:r>
          </w:p>
        </w:tc>
        <w:tc>
          <w:tcPr>
            <w:tcW w:w="821" w:type="dxa"/>
            <w:noWrap/>
          </w:tcPr>
          <w:p w14:paraId="13EACF62"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127</w:t>
            </w:r>
          </w:p>
        </w:tc>
        <w:tc>
          <w:tcPr>
            <w:tcW w:w="820" w:type="dxa"/>
            <w:noWrap/>
          </w:tcPr>
          <w:p w14:paraId="3222AA62"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577</w:t>
            </w:r>
          </w:p>
        </w:tc>
        <w:tc>
          <w:tcPr>
            <w:tcW w:w="821" w:type="dxa"/>
            <w:noWrap/>
          </w:tcPr>
          <w:p w14:paraId="76EF4BE3"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1,911</w:t>
            </w:r>
          </w:p>
        </w:tc>
      </w:tr>
      <w:tr w:rsidR="00FE2AB8" w:rsidRPr="00EA4BA0" w14:paraId="3BD5CF6F"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765EB0F0"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tcPr>
          <w:p w14:paraId="29B6DE07"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2,378</w:t>
            </w:r>
          </w:p>
        </w:tc>
        <w:tc>
          <w:tcPr>
            <w:tcW w:w="821" w:type="dxa"/>
            <w:noWrap/>
          </w:tcPr>
          <w:p w14:paraId="67706950"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499</w:t>
            </w:r>
          </w:p>
        </w:tc>
        <w:tc>
          <w:tcPr>
            <w:tcW w:w="820" w:type="dxa"/>
            <w:noWrap/>
          </w:tcPr>
          <w:p w14:paraId="5E8519CC"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433</w:t>
            </w:r>
          </w:p>
        </w:tc>
        <w:tc>
          <w:tcPr>
            <w:tcW w:w="821" w:type="dxa"/>
            <w:noWrap/>
          </w:tcPr>
          <w:p w14:paraId="333B8AFD"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202</w:t>
            </w:r>
          </w:p>
        </w:tc>
        <w:tc>
          <w:tcPr>
            <w:tcW w:w="820" w:type="dxa"/>
            <w:noWrap/>
          </w:tcPr>
          <w:p w14:paraId="0E4FEA9F"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77</w:t>
            </w:r>
          </w:p>
        </w:tc>
        <w:tc>
          <w:tcPr>
            <w:tcW w:w="821" w:type="dxa"/>
            <w:noWrap/>
          </w:tcPr>
          <w:p w14:paraId="2AE8A004"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263</w:t>
            </w:r>
          </w:p>
        </w:tc>
        <w:tc>
          <w:tcPr>
            <w:tcW w:w="820" w:type="dxa"/>
            <w:noWrap/>
          </w:tcPr>
          <w:p w14:paraId="394F9385"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1,179</w:t>
            </w:r>
          </w:p>
        </w:tc>
        <w:tc>
          <w:tcPr>
            <w:tcW w:w="821" w:type="dxa"/>
            <w:noWrap/>
          </w:tcPr>
          <w:p w14:paraId="3CDB1588" w14:textId="77777777" w:rsidR="00FE2AB8" w:rsidRPr="00B11DBE" w:rsidRDefault="00FE2AB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5,031</w:t>
            </w:r>
          </w:p>
        </w:tc>
      </w:tr>
      <w:tr w:rsidR="00FE2AB8" w:rsidRPr="00EA4BA0" w14:paraId="0685F9B4"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1483A4AD" w14:textId="77777777" w:rsidR="00FE2AB8" w:rsidRPr="00EA4BA0" w:rsidRDefault="00FE2AB8"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tcPr>
          <w:p w14:paraId="1951420A"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23.0%</w:t>
            </w:r>
          </w:p>
        </w:tc>
        <w:tc>
          <w:tcPr>
            <w:tcW w:w="821" w:type="dxa"/>
            <w:noWrap/>
          </w:tcPr>
          <w:p w14:paraId="5D5F2E28"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64.5%</w:t>
            </w:r>
          </w:p>
        </w:tc>
        <w:tc>
          <w:tcPr>
            <w:tcW w:w="820" w:type="dxa"/>
            <w:noWrap/>
          </w:tcPr>
          <w:p w14:paraId="277A9B09"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46.0%</w:t>
            </w:r>
          </w:p>
        </w:tc>
        <w:tc>
          <w:tcPr>
            <w:tcW w:w="821" w:type="dxa"/>
            <w:noWrap/>
          </w:tcPr>
          <w:p w14:paraId="259A6E54"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46.0%</w:t>
            </w:r>
          </w:p>
        </w:tc>
        <w:tc>
          <w:tcPr>
            <w:tcW w:w="820" w:type="dxa"/>
            <w:noWrap/>
          </w:tcPr>
          <w:p w14:paraId="30875FFD"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58.4%</w:t>
            </w:r>
          </w:p>
        </w:tc>
        <w:tc>
          <w:tcPr>
            <w:tcW w:w="821" w:type="dxa"/>
            <w:noWrap/>
          </w:tcPr>
          <w:p w14:paraId="547A2DB9"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48.3%</w:t>
            </w:r>
          </w:p>
        </w:tc>
        <w:tc>
          <w:tcPr>
            <w:tcW w:w="820" w:type="dxa"/>
            <w:noWrap/>
          </w:tcPr>
          <w:p w14:paraId="6E38F09D"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48.9%</w:t>
            </w:r>
          </w:p>
        </w:tc>
        <w:tc>
          <w:tcPr>
            <w:tcW w:w="821" w:type="dxa"/>
            <w:noWrap/>
          </w:tcPr>
          <w:p w14:paraId="1973B225" w14:textId="77777777" w:rsidR="00FE2AB8" w:rsidRPr="00B11DBE" w:rsidRDefault="00FE2AB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38.0%</w:t>
            </w:r>
          </w:p>
        </w:tc>
      </w:tr>
    </w:tbl>
    <w:p w14:paraId="02ED8FCB" w14:textId="77777777" w:rsidR="00A023CD" w:rsidRDefault="00A023CD" w:rsidP="00B772DF">
      <w:pPr>
        <w:pStyle w:val="Heading1"/>
      </w:pPr>
    </w:p>
    <w:p w14:paraId="0DFAA271" w14:textId="6EB20495" w:rsidR="00C42A4A" w:rsidRDefault="00C42A4A" w:rsidP="00B772DF">
      <w:pPr>
        <w:pStyle w:val="Heading1"/>
      </w:pPr>
      <w:r>
        <w:lastRenderedPageBreak/>
        <w:t>TABLE 3:  201</w:t>
      </w:r>
      <w:r w:rsidR="00FE2AB8">
        <w:t xml:space="preserve">9 </w:t>
      </w:r>
      <w:r w:rsidR="00B772DF" w:rsidRPr="00B772DF">
        <w:t>C</w:t>
      </w:r>
      <w:r w:rsidRPr="00B772DF">
        <w:t>OHORT</w:t>
      </w:r>
    </w:p>
    <w:p w14:paraId="3E66BDEB" w14:textId="77777777" w:rsidR="00A023CD" w:rsidRPr="00A023CD" w:rsidRDefault="00A023CD" w:rsidP="00A023CD"/>
    <w:p w14:paraId="63368B49" w14:textId="0FEEC34C" w:rsidR="00FF4CED" w:rsidRDefault="00551658" w:rsidP="00B772DF">
      <w:pPr>
        <w:pStyle w:val="Heading2"/>
        <w:jc w:val="center"/>
      </w:pPr>
      <w:r>
        <w:t>Fall 2019</w:t>
      </w:r>
      <w:r w:rsidR="00FF4CED" w:rsidRPr="00461D7A">
        <w:t xml:space="preserve"> </w:t>
      </w:r>
      <w:r w:rsidR="00FF4CED">
        <w:t>All</w:t>
      </w:r>
      <w:r w:rsidR="00FF4CED" w:rsidRPr="00461D7A">
        <w:t xml:space="preserve"> Entering Degree</w:t>
      </w:r>
      <w:r w:rsidR="00FF4CED">
        <w:t>-</w:t>
      </w:r>
      <w:r w:rsidR="00FF4CED" w:rsidRPr="00461D7A">
        <w:t>Seeking Students</w:t>
      </w:r>
    </w:p>
    <w:p w14:paraId="147521AB" w14:textId="77777777" w:rsidR="00551658" w:rsidRPr="00EA4BA0" w:rsidRDefault="00551658" w:rsidP="00B772DF">
      <w:pPr>
        <w:pStyle w:val="Heading3"/>
      </w:pPr>
      <w:r>
        <w:t xml:space="preserve">Table 3a. </w:t>
      </w:r>
      <w:r w:rsidRPr="00EA4BA0">
        <w:t>First-Time Students by Campus</w:t>
      </w:r>
    </w:p>
    <w:tbl>
      <w:tblPr>
        <w:tblStyle w:val="GridTable4-Accent11"/>
        <w:tblW w:w="9360" w:type="dxa"/>
        <w:tblLook w:val="04A0" w:firstRow="1" w:lastRow="0" w:firstColumn="1" w:lastColumn="0" w:noHBand="0" w:noVBand="1"/>
        <w:tblCaption w:val="First-Time Students by Campus"/>
        <w:tblDescription w:val="First-time students by campus. Includes both full- and part-time entering degree seeking students."/>
      </w:tblPr>
      <w:tblGrid>
        <w:gridCol w:w="2796"/>
        <w:gridCol w:w="820"/>
        <w:gridCol w:w="821"/>
        <w:gridCol w:w="820"/>
        <w:gridCol w:w="821"/>
        <w:gridCol w:w="820"/>
        <w:gridCol w:w="821"/>
        <w:gridCol w:w="820"/>
        <w:gridCol w:w="821"/>
      </w:tblGrid>
      <w:tr w:rsidR="00551658" w:rsidRPr="00B11DBE" w14:paraId="390BFB1D"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772F3CAA" w14:textId="77777777" w:rsidR="00551658" w:rsidRPr="00EA4BA0" w:rsidRDefault="00551658" w:rsidP="00712BA8">
            <w:pPr>
              <w:rPr>
                <w:rFonts w:eastAsia="Times New Roman" w:cstheme="minorHAnsi"/>
                <w:szCs w:val="24"/>
              </w:rPr>
            </w:pPr>
            <w:r>
              <w:rPr>
                <w:rFonts w:eastAsia="Times New Roman" w:cstheme="minorHAnsi"/>
                <w:szCs w:val="24"/>
              </w:rPr>
              <w:t>Student Type</w:t>
            </w:r>
          </w:p>
        </w:tc>
        <w:tc>
          <w:tcPr>
            <w:tcW w:w="820" w:type="dxa"/>
            <w:noWrap/>
            <w:hideMark/>
          </w:tcPr>
          <w:p w14:paraId="6A3746B5"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65A07ED2"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592E1BCC"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58ED5552"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23EF206E"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27BBD62F"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6C1481B8"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69C155F8"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551658" w:rsidRPr="00B11DBE" w14:paraId="6F803A96"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1BAD5038"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hideMark/>
          </w:tcPr>
          <w:p w14:paraId="62EB2F29"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509</w:t>
            </w:r>
          </w:p>
        </w:tc>
        <w:tc>
          <w:tcPr>
            <w:tcW w:w="821" w:type="dxa"/>
            <w:noWrap/>
            <w:hideMark/>
          </w:tcPr>
          <w:p w14:paraId="737D2849"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254</w:t>
            </w:r>
          </w:p>
        </w:tc>
        <w:tc>
          <w:tcPr>
            <w:tcW w:w="820" w:type="dxa"/>
            <w:noWrap/>
            <w:hideMark/>
          </w:tcPr>
          <w:p w14:paraId="237F640B"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196</w:t>
            </w:r>
          </w:p>
        </w:tc>
        <w:tc>
          <w:tcPr>
            <w:tcW w:w="821" w:type="dxa"/>
            <w:noWrap/>
            <w:hideMark/>
          </w:tcPr>
          <w:p w14:paraId="692DC6A5"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58</w:t>
            </w:r>
          </w:p>
        </w:tc>
        <w:tc>
          <w:tcPr>
            <w:tcW w:w="820" w:type="dxa"/>
            <w:noWrap/>
            <w:hideMark/>
          </w:tcPr>
          <w:p w14:paraId="1C2AA12E"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71</w:t>
            </w:r>
          </w:p>
        </w:tc>
        <w:tc>
          <w:tcPr>
            <w:tcW w:w="821" w:type="dxa"/>
            <w:noWrap/>
            <w:hideMark/>
          </w:tcPr>
          <w:p w14:paraId="2A761124"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84</w:t>
            </w:r>
          </w:p>
        </w:tc>
        <w:tc>
          <w:tcPr>
            <w:tcW w:w="820" w:type="dxa"/>
            <w:noWrap/>
            <w:hideMark/>
          </w:tcPr>
          <w:p w14:paraId="0E7C6B19"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439</w:t>
            </w:r>
          </w:p>
        </w:tc>
        <w:tc>
          <w:tcPr>
            <w:tcW w:w="821" w:type="dxa"/>
            <w:noWrap/>
            <w:hideMark/>
          </w:tcPr>
          <w:p w14:paraId="56254977"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EA4BA0">
              <w:rPr>
                <w:rFonts w:ascii="Calibri" w:eastAsia="Times New Roman" w:hAnsi="Calibri" w:cs="Calibri"/>
                <w:b/>
                <w:bCs/>
                <w:i/>
                <w:iCs/>
                <w:color w:val="000000"/>
              </w:rPr>
              <w:t>1,611</w:t>
            </w:r>
          </w:p>
        </w:tc>
      </w:tr>
      <w:tr w:rsidR="00551658" w:rsidRPr="00B11DBE" w14:paraId="7D25E18C"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25547CF6"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hideMark/>
          </w:tcPr>
          <w:p w14:paraId="354AB592" w14:textId="77777777" w:rsidR="00551658" w:rsidRPr="00EA4BA0"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2,140</w:t>
            </w:r>
          </w:p>
        </w:tc>
        <w:tc>
          <w:tcPr>
            <w:tcW w:w="821" w:type="dxa"/>
            <w:noWrap/>
            <w:hideMark/>
          </w:tcPr>
          <w:p w14:paraId="0E247177" w14:textId="77777777" w:rsidR="00551658" w:rsidRPr="00EA4BA0"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366</w:t>
            </w:r>
          </w:p>
        </w:tc>
        <w:tc>
          <w:tcPr>
            <w:tcW w:w="820" w:type="dxa"/>
            <w:noWrap/>
            <w:hideMark/>
          </w:tcPr>
          <w:p w14:paraId="2721AA63" w14:textId="77777777" w:rsidR="00551658" w:rsidRPr="00EA4BA0"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384</w:t>
            </w:r>
          </w:p>
        </w:tc>
        <w:tc>
          <w:tcPr>
            <w:tcW w:w="821" w:type="dxa"/>
            <w:noWrap/>
            <w:hideMark/>
          </w:tcPr>
          <w:p w14:paraId="51926EBB" w14:textId="77777777" w:rsidR="00551658" w:rsidRPr="00EA4BA0"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130</w:t>
            </w:r>
          </w:p>
        </w:tc>
        <w:tc>
          <w:tcPr>
            <w:tcW w:w="820" w:type="dxa"/>
            <w:noWrap/>
            <w:hideMark/>
          </w:tcPr>
          <w:p w14:paraId="79AEE2CF" w14:textId="77777777" w:rsidR="00551658" w:rsidRPr="00EA4BA0"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112</w:t>
            </w:r>
          </w:p>
        </w:tc>
        <w:tc>
          <w:tcPr>
            <w:tcW w:w="821" w:type="dxa"/>
            <w:noWrap/>
            <w:hideMark/>
          </w:tcPr>
          <w:p w14:paraId="45400819" w14:textId="77777777" w:rsidR="00551658" w:rsidRPr="00EA4BA0"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189</w:t>
            </w:r>
          </w:p>
        </w:tc>
        <w:tc>
          <w:tcPr>
            <w:tcW w:w="820" w:type="dxa"/>
            <w:noWrap/>
            <w:hideMark/>
          </w:tcPr>
          <w:p w14:paraId="44838C4F" w14:textId="77777777" w:rsidR="00551658" w:rsidRPr="00EA4BA0"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893</w:t>
            </w:r>
          </w:p>
        </w:tc>
        <w:tc>
          <w:tcPr>
            <w:tcW w:w="821" w:type="dxa"/>
            <w:noWrap/>
            <w:hideMark/>
          </w:tcPr>
          <w:p w14:paraId="05AA9BC1" w14:textId="77777777" w:rsidR="00551658" w:rsidRPr="00EA4BA0"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rPr>
            </w:pPr>
            <w:r w:rsidRPr="00EA4BA0">
              <w:rPr>
                <w:rFonts w:ascii="Calibri" w:eastAsia="Times New Roman" w:hAnsi="Calibri" w:cs="Calibri"/>
                <w:b/>
                <w:bCs/>
                <w:i/>
                <w:iCs/>
                <w:color w:val="000000"/>
              </w:rPr>
              <w:t>4,214</w:t>
            </w:r>
          </w:p>
        </w:tc>
      </w:tr>
      <w:tr w:rsidR="00551658" w:rsidRPr="00B11DBE" w14:paraId="286CFCB4"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314ABF08"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hideMark/>
          </w:tcPr>
          <w:p w14:paraId="1B8F6376"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23.8%</w:t>
            </w:r>
          </w:p>
        </w:tc>
        <w:tc>
          <w:tcPr>
            <w:tcW w:w="821" w:type="dxa"/>
            <w:noWrap/>
            <w:hideMark/>
          </w:tcPr>
          <w:p w14:paraId="66E75944"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69.4%</w:t>
            </w:r>
          </w:p>
        </w:tc>
        <w:tc>
          <w:tcPr>
            <w:tcW w:w="820" w:type="dxa"/>
            <w:noWrap/>
            <w:hideMark/>
          </w:tcPr>
          <w:p w14:paraId="545876C5"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51.0%</w:t>
            </w:r>
          </w:p>
        </w:tc>
        <w:tc>
          <w:tcPr>
            <w:tcW w:w="821" w:type="dxa"/>
            <w:noWrap/>
            <w:hideMark/>
          </w:tcPr>
          <w:p w14:paraId="60D14113"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44.6%</w:t>
            </w:r>
          </w:p>
        </w:tc>
        <w:tc>
          <w:tcPr>
            <w:tcW w:w="820" w:type="dxa"/>
            <w:noWrap/>
            <w:hideMark/>
          </w:tcPr>
          <w:p w14:paraId="56BA6A1D"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63.4%</w:t>
            </w:r>
          </w:p>
        </w:tc>
        <w:tc>
          <w:tcPr>
            <w:tcW w:w="821" w:type="dxa"/>
            <w:noWrap/>
            <w:hideMark/>
          </w:tcPr>
          <w:p w14:paraId="4885D02C"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44.4%</w:t>
            </w:r>
          </w:p>
        </w:tc>
        <w:tc>
          <w:tcPr>
            <w:tcW w:w="820" w:type="dxa"/>
            <w:noWrap/>
            <w:hideMark/>
          </w:tcPr>
          <w:p w14:paraId="50900891"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A4BA0">
              <w:rPr>
                <w:rFonts w:ascii="Calibri" w:eastAsia="Times New Roman" w:hAnsi="Calibri" w:cs="Calibri"/>
                <w:color w:val="000000"/>
              </w:rPr>
              <w:t>49.2%</w:t>
            </w:r>
          </w:p>
        </w:tc>
        <w:tc>
          <w:tcPr>
            <w:tcW w:w="821" w:type="dxa"/>
            <w:noWrap/>
            <w:hideMark/>
          </w:tcPr>
          <w:p w14:paraId="40A581AF" w14:textId="77777777" w:rsidR="00551658" w:rsidRPr="00EA4BA0"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rPr>
            </w:pPr>
            <w:r w:rsidRPr="00EA4BA0">
              <w:rPr>
                <w:rFonts w:ascii="Calibri" w:eastAsia="Times New Roman" w:hAnsi="Calibri" w:cs="Calibri"/>
                <w:b/>
                <w:bCs/>
                <w:i/>
                <w:iCs/>
                <w:color w:val="000000"/>
              </w:rPr>
              <w:t>38.2%</w:t>
            </w:r>
          </w:p>
        </w:tc>
      </w:tr>
    </w:tbl>
    <w:p w14:paraId="725B47E7" w14:textId="77777777" w:rsidR="00FF4CED" w:rsidRDefault="00FF4CED" w:rsidP="00FF4CED">
      <w:pPr>
        <w:spacing w:after="0" w:line="240" w:lineRule="auto"/>
      </w:pPr>
    </w:p>
    <w:p w14:paraId="32E263F4" w14:textId="77777777" w:rsidR="00FF4CED" w:rsidRPr="00EA4BA0" w:rsidRDefault="00FF4CED" w:rsidP="00B772DF">
      <w:pPr>
        <w:pStyle w:val="Heading3"/>
      </w:pPr>
      <w:r>
        <w:t>Table 3b. Transfer</w:t>
      </w:r>
      <w:r w:rsidRPr="00EA4BA0">
        <w:t xml:space="preserve"> Students by Campus</w:t>
      </w:r>
    </w:p>
    <w:tbl>
      <w:tblPr>
        <w:tblStyle w:val="GridTable4-Accent11"/>
        <w:tblW w:w="9360" w:type="dxa"/>
        <w:tblLook w:val="04A0" w:firstRow="1" w:lastRow="0" w:firstColumn="1" w:lastColumn="0" w:noHBand="0" w:noVBand="1"/>
        <w:tblCaption w:val="Transfer Students by Campus"/>
        <w:tblDescription w:val="Transfer students by campus. Includes both full- and part-time entering degree seeking students."/>
      </w:tblPr>
      <w:tblGrid>
        <w:gridCol w:w="2796"/>
        <w:gridCol w:w="820"/>
        <w:gridCol w:w="821"/>
        <w:gridCol w:w="820"/>
        <w:gridCol w:w="821"/>
        <w:gridCol w:w="820"/>
        <w:gridCol w:w="821"/>
        <w:gridCol w:w="820"/>
        <w:gridCol w:w="821"/>
      </w:tblGrid>
      <w:tr w:rsidR="00551658" w:rsidRPr="00B11DBE" w14:paraId="36D922E3"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616CCC90" w14:textId="77777777" w:rsidR="00551658" w:rsidRPr="00EA4BA0" w:rsidRDefault="00551658" w:rsidP="00712BA8">
            <w:pPr>
              <w:rPr>
                <w:rFonts w:eastAsia="Times New Roman" w:cstheme="minorHAnsi"/>
              </w:rPr>
            </w:pPr>
            <w:r>
              <w:rPr>
                <w:rFonts w:eastAsia="Times New Roman" w:cstheme="minorHAnsi"/>
                <w:szCs w:val="24"/>
              </w:rPr>
              <w:t>Student Type</w:t>
            </w:r>
          </w:p>
        </w:tc>
        <w:tc>
          <w:tcPr>
            <w:tcW w:w="820" w:type="dxa"/>
            <w:noWrap/>
            <w:hideMark/>
          </w:tcPr>
          <w:p w14:paraId="25F0A128"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1B634424"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4A39CCEE"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2677949D"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548D0FD2"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42A4BB63"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44B5A579"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0799EB00"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551658" w:rsidRPr="00B11DBE" w14:paraId="23054985"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431C27AC"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hideMark/>
          </w:tcPr>
          <w:p w14:paraId="2A2AB6B8"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139</w:t>
            </w:r>
          </w:p>
        </w:tc>
        <w:tc>
          <w:tcPr>
            <w:tcW w:w="821" w:type="dxa"/>
            <w:noWrap/>
            <w:hideMark/>
          </w:tcPr>
          <w:p w14:paraId="43B08464"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339</w:t>
            </w:r>
          </w:p>
        </w:tc>
        <w:tc>
          <w:tcPr>
            <w:tcW w:w="820" w:type="dxa"/>
            <w:noWrap/>
            <w:hideMark/>
          </w:tcPr>
          <w:p w14:paraId="65D3B81C"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35</w:t>
            </w:r>
          </w:p>
        </w:tc>
        <w:tc>
          <w:tcPr>
            <w:tcW w:w="821" w:type="dxa"/>
            <w:noWrap/>
            <w:hideMark/>
          </w:tcPr>
          <w:p w14:paraId="064AE477"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67</w:t>
            </w:r>
          </w:p>
        </w:tc>
        <w:tc>
          <w:tcPr>
            <w:tcW w:w="820" w:type="dxa"/>
            <w:noWrap/>
            <w:hideMark/>
          </w:tcPr>
          <w:p w14:paraId="022B57FD"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21</w:t>
            </w:r>
          </w:p>
        </w:tc>
        <w:tc>
          <w:tcPr>
            <w:tcW w:w="821" w:type="dxa"/>
            <w:noWrap/>
            <w:hideMark/>
          </w:tcPr>
          <w:p w14:paraId="53DB4593"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58</w:t>
            </w:r>
          </w:p>
        </w:tc>
        <w:tc>
          <w:tcPr>
            <w:tcW w:w="820" w:type="dxa"/>
            <w:noWrap/>
            <w:hideMark/>
          </w:tcPr>
          <w:p w14:paraId="1E08E8E1"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345</w:t>
            </w:r>
          </w:p>
        </w:tc>
        <w:tc>
          <w:tcPr>
            <w:tcW w:w="821" w:type="dxa"/>
            <w:noWrap/>
            <w:hideMark/>
          </w:tcPr>
          <w:p w14:paraId="56DACD5D"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B11DBE">
              <w:rPr>
                <w:rFonts w:ascii="Calibri" w:hAnsi="Calibri" w:cs="Calibri"/>
                <w:b/>
                <w:bCs/>
                <w:i/>
                <w:iCs/>
                <w:color w:val="000000"/>
              </w:rPr>
              <w:t>1,004</w:t>
            </w:r>
          </w:p>
        </w:tc>
      </w:tr>
      <w:tr w:rsidR="00551658" w:rsidRPr="00B11DBE" w14:paraId="3D7D7B07"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1CE239E7"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hideMark/>
          </w:tcPr>
          <w:p w14:paraId="2DD40A71"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466</w:t>
            </w:r>
          </w:p>
        </w:tc>
        <w:tc>
          <w:tcPr>
            <w:tcW w:w="821" w:type="dxa"/>
            <w:noWrap/>
            <w:hideMark/>
          </w:tcPr>
          <w:p w14:paraId="3AA15B61"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522</w:t>
            </w:r>
          </w:p>
        </w:tc>
        <w:tc>
          <w:tcPr>
            <w:tcW w:w="820" w:type="dxa"/>
            <w:noWrap/>
            <w:hideMark/>
          </w:tcPr>
          <w:p w14:paraId="5B3B7945"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79</w:t>
            </w:r>
          </w:p>
        </w:tc>
        <w:tc>
          <w:tcPr>
            <w:tcW w:w="821" w:type="dxa"/>
            <w:noWrap/>
            <w:hideMark/>
          </w:tcPr>
          <w:p w14:paraId="13A82E86"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121</w:t>
            </w:r>
          </w:p>
        </w:tc>
        <w:tc>
          <w:tcPr>
            <w:tcW w:w="820" w:type="dxa"/>
            <w:noWrap/>
            <w:hideMark/>
          </w:tcPr>
          <w:p w14:paraId="360D9815"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32</w:t>
            </w:r>
          </w:p>
        </w:tc>
        <w:tc>
          <w:tcPr>
            <w:tcW w:w="821" w:type="dxa"/>
            <w:noWrap/>
            <w:hideMark/>
          </w:tcPr>
          <w:p w14:paraId="42902975"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106</w:t>
            </w:r>
          </w:p>
        </w:tc>
        <w:tc>
          <w:tcPr>
            <w:tcW w:w="820" w:type="dxa"/>
            <w:noWrap/>
            <w:hideMark/>
          </w:tcPr>
          <w:p w14:paraId="2F934073"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624</w:t>
            </w:r>
          </w:p>
        </w:tc>
        <w:tc>
          <w:tcPr>
            <w:tcW w:w="821" w:type="dxa"/>
            <w:noWrap/>
            <w:hideMark/>
          </w:tcPr>
          <w:p w14:paraId="3F1C588A"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sidRPr="00B11DBE">
              <w:rPr>
                <w:rFonts w:ascii="Calibri" w:hAnsi="Calibri" w:cs="Calibri"/>
                <w:b/>
                <w:bCs/>
                <w:i/>
                <w:iCs/>
                <w:color w:val="000000"/>
              </w:rPr>
              <w:t>1,950</w:t>
            </w:r>
          </w:p>
        </w:tc>
      </w:tr>
      <w:tr w:rsidR="00551658" w:rsidRPr="00B11DBE" w14:paraId="187D80C4"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11E58DAB"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hideMark/>
          </w:tcPr>
          <w:p w14:paraId="2E788F98"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29.8%</w:t>
            </w:r>
          </w:p>
        </w:tc>
        <w:tc>
          <w:tcPr>
            <w:tcW w:w="821" w:type="dxa"/>
            <w:noWrap/>
            <w:hideMark/>
          </w:tcPr>
          <w:p w14:paraId="62299614"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64.9%</w:t>
            </w:r>
          </w:p>
        </w:tc>
        <w:tc>
          <w:tcPr>
            <w:tcW w:w="820" w:type="dxa"/>
            <w:noWrap/>
            <w:hideMark/>
          </w:tcPr>
          <w:p w14:paraId="706F71A0"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44.3%</w:t>
            </w:r>
          </w:p>
        </w:tc>
        <w:tc>
          <w:tcPr>
            <w:tcW w:w="821" w:type="dxa"/>
            <w:noWrap/>
            <w:hideMark/>
          </w:tcPr>
          <w:p w14:paraId="7E670AB2"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55.4%</w:t>
            </w:r>
          </w:p>
        </w:tc>
        <w:tc>
          <w:tcPr>
            <w:tcW w:w="820" w:type="dxa"/>
            <w:noWrap/>
            <w:hideMark/>
          </w:tcPr>
          <w:p w14:paraId="52124D5E"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65.6%</w:t>
            </w:r>
          </w:p>
        </w:tc>
        <w:tc>
          <w:tcPr>
            <w:tcW w:w="821" w:type="dxa"/>
            <w:noWrap/>
            <w:hideMark/>
          </w:tcPr>
          <w:p w14:paraId="232EEEFC"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54.7%</w:t>
            </w:r>
          </w:p>
        </w:tc>
        <w:tc>
          <w:tcPr>
            <w:tcW w:w="820" w:type="dxa"/>
            <w:noWrap/>
            <w:hideMark/>
          </w:tcPr>
          <w:p w14:paraId="5A92F93C"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55.3%</w:t>
            </w:r>
          </w:p>
        </w:tc>
        <w:tc>
          <w:tcPr>
            <w:tcW w:w="821" w:type="dxa"/>
            <w:noWrap/>
            <w:hideMark/>
          </w:tcPr>
          <w:p w14:paraId="53705BC5"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B11DBE">
              <w:rPr>
                <w:rFonts w:ascii="Calibri" w:hAnsi="Calibri" w:cs="Calibri"/>
                <w:b/>
                <w:bCs/>
                <w:i/>
                <w:iCs/>
                <w:color w:val="000000"/>
              </w:rPr>
              <w:t>51.5%</w:t>
            </w:r>
          </w:p>
        </w:tc>
      </w:tr>
    </w:tbl>
    <w:p w14:paraId="1B9D7D8D" w14:textId="77777777" w:rsidR="00FF4CED" w:rsidRDefault="00FF4CED" w:rsidP="00FF4CED">
      <w:pPr>
        <w:spacing w:after="0" w:line="240" w:lineRule="auto"/>
        <w:rPr>
          <w:b/>
        </w:rPr>
      </w:pPr>
    </w:p>
    <w:p w14:paraId="03E65621" w14:textId="77777777" w:rsidR="00FF4CED" w:rsidRPr="00EA4BA0" w:rsidRDefault="00FF4CED" w:rsidP="00B772DF">
      <w:pPr>
        <w:pStyle w:val="Heading3"/>
      </w:pPr>
      <w:r>
        <w:t xml:space="preserve">Table 3c. </w:t>
      </w:r>
      <w:r w:rsidRPr="00EA4BA0">
        <w:t xml:space="preserve">Total </w:t>
      </w:r>
      <w:r>
        <w:t>First-Time &amp; Transfer</w:t>
      </w:r>
      <w:r w:rsidRPr="00EA4BA0">
        <w:t xml:space="preserve"> Students by Campus</w:t>
      </w:r>
    </w:p>
    <w:tbl>
      <w:tblPr>
        <w:tblStyle w:val="GridTable4-Accent11"/>
        <w:tblW w:w="9360" w:type="dxa"/>
        <w:tblLook w:val="04A0" w:firstRow="1" w:lastRow="0" w:firstColumn="1" w:lastColumn="0" w:noHBand="0" w:noVBand="1"/>
        <w:tblCaption w:val="Total First-Time &amp; Transfer Students by Campus"/>
        <w:tblDescription w:val="Total first-time and transfer students by campus. Includes both full- and part-time entering degree seeking students."/>
      </w:tblPr>
      <w:tblGrid>
        <w:gridCol w:w="2796"/>
        <w:gridCol w:w="820"/>
        <w:gridCol w:w="821"/>
        <w:gridCol w:w="820"/>
        <w:gridCol w:w="821"/>
        <w:gridCol w:w="820"/>
        <w:gridCol w:w="821"/>
        <w:gridCol w:w="820"/>
        <w:gridCol w:w="821"/>
      </w:tblGrid>
      <w:tr w:rsidR="00551658" w:rsidRPr="00B11DBE" w14:paraId="38B61D98"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672D3D58" w14:textId="77777777" w:rsidR="00551658" w:rsidRPr="00EA4BA0" w:rsidRDefault="00551658" w:rsidP="00712BA8">
            <w:pPr>
              <w:rPr>
                <w:rFonts w:eastAsia="Times New Roman" w:cstheme="minorHAnsi"/>
              </w:rPr>
            </w:pPr>
            <w:r>
              <w:rPr>
                <w:rFonts w:eastAsia="Times New Roman" w:cstheme="minorHAnsi"/>
                <w:szCs w:val="24"/>
              </w:rPr>
              <w:t>Student Type</w:t>
            </w:r>
          </w:p>
        </w:tc>
        <w:tc>
          <w:tcPr>
            <w:tcW w:w="820" w:type="dxa"/>
            <w:noWrap/>
            <w:hideMark/>
          </w:tcPr>
          <w:p w14:paraId="4D973B89"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3DD3E1C5"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048904BB"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17873C53"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3A21ED15"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4291098F"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51287F00"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199D0ADA"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551658" w:rsidRPr="00B11DBE" w14:paraId="577909C1"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3D9A263D"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hideMark/>
          </w:tcPr>
          <w:p w14:paraId="5DB9B9B7"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648</w:t>
            </w:r>
          </w:p>
        </w:tc>
        <w:tc>
          <w:tcPr>
            <w:tcW w:w="821" w:type="dxa"/>
            <w:noWrap/>
            <w:hideMark/>
          </w:tcPr>
          <w:p w14:paraId="39168D3A"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593</w:t>
            </w:r>
          </w:p>
        </w:tc>
        <w:tc>
          <w:tcPr>
            <w:tcW w:w="820" w:type="dxa"/>
            <w:noWrap/>
            <w:hideMark/>
          </w:tcPr>
          <w:p w14:paraId="3134CB8E"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231</w:t>
            </w:r>
          </w:p>
        </w:tc>
        <w:tc>
          <w:tcPr>
            <w:tcW w:w="821" w:type="dxa"/>
            <w:noWrap/>
            <w:hideMark/>
          </w:tcPr>
          <w:p w14:paraId="5171C620"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125</w:t>
            </w:r>
          </w:p>
        </w:tc>
        <w:tc>
          <w:tcPr>
            <w:tcW w:w="820" w:type="dxa"/>
            <w:noWrap/>
            <w:hideMark/>
          </w:tcPr>
          <w:p w14:paraId="14CA94AA"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92</w:t>
            </w:r>
          </w:p>
        </w:tc>
        <w:tc>
          <w:tcPr>
            <w:tcW w:w="821" w:type="dxa"/>
            <w:noWrap/>
            <w:hideMark/>
          </w:tcPr>
          <w:p w14:paraId="3AB60BD5"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142</w:t>
            </w:r>
          </w:p>
        </w:tc>
        <w:tc>
          <w:tcPr>
            <w:tcW w:w="820" w:type="dxa"/>
            <w:noWrap/>
            <w:hideMark/>
          </w:tcPr>
          <w:p w14:paraId="74F0CE8E"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784</w:t>
            </w:r>
          </w:p>
        </w:tc>
        <w:tc>
          <w:tcPr>
            <w:tcW w:w="821" w:type="dxa"/>
            <w:noWrap/>
            <w:hideMark/>
          </w:tcPr>
          <w:p w14:paraId="5531182B"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B11DBE">
              <w:rPr>
                <w:rFonts w:ascii="Calibri" w:hAnsi="Calibri" w:cs="Calibri"/>
                <w:b/>
                <w:bCs/>
                <w:i/>
                <w:iCs/>
                <w:color w:val="000000"/>
              </w:rPr>
              <w:t>2,615</w:t>
            </w:r>
          </w:p>
        </w:tc>
      </w:tr>
      <w:tr w:rsidR="00551658" w:rsidRPr="00B11DBE" w14:paraId="6077ECC0"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59780CAD"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hideMark/>
          </w:tcPr>
          <w:p w14:paraId="6D8B2156"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2,606</w:t>
            </w:r>
          </w:p>
        </w:tc>
        <w:tc>
          <w:tcPr>
            <w:tcW w:w="821" w:type="dxa"/>
            <w:noWrap/>
            <w:hideMark/>
          </w:tcPr>
          <w:p w14:paraId="0D8ACDF1"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888</w:t>
            </w:r>
          </w:p>
        </w:tc>
        <w:tc>
          <w:tcPr>
            <w:tcW w:w="820" w:type="dxa"/>
            <w:noWrap/>
            <w:hideMark/>
          </w:tcPr>
          <w:p w14:paraId="210B4708"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463</w:t>
            </w:r>
          </w:p>
        </w:tc>
        <w:tc>
          <w:tcPr>
            <w:tcW w:w="821" w:type="dxa"/>
            <w:noWrap/>
            <w:hideMark/>
          </w:tcPr>
          <w:p w14:paraId="48B0C563"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251</w:t>
            </w:r>
          </w:p>
        </w:tc>
        <w:tc>
          <w:tcPr>
            <w:tcW w:w="820" w:type="dxa"/>
            <w:noWrap/>
            <w:hideMark/>
          </w:tcPr>
          <w:p w14:paraId="40914BBE"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144</w:t>
            </w:r>
          </w:p>
        </w:tc>
        <w:tc>
          <w:tcPr>
            <w:tcW w:w="821" w:type="dxa"/>
            <w:noWrap/>
            <w:hideMark/>
          </w:tcPr>
          <w:p w14:paraId="21139DA1"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295</w:t>
            </w:r>
          </w:p>
        </w:tc>
        <w:tc>
          <w:tcPr>
            <w:tcW w:w="820" w:type="dxa"/>
            <w:noWrap/>
            <w:hideMark/>
          </w:tcPr>
          <w:p w14:paraId="0892E8A8"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1,517</w:t>
            </w:r>
          </w:p>
        </w:tc>
        <w:tc>
          <w:tcPr>
            <w:tcW w:w="821" w:type="dxa"/>
            <w:noWrap/>
            <w:hideMark/>
          </w:tcPr>
          <w:p w14:paraId="06F42D3B"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sidRPr="00B11DBE">
              <w:rPr>
                <w:rFonts w:ascii="Calibri" w:hAnsi="Calibri" w:cs="Calibri"/>
                <w:b/>
                <w:bCs/>
                <w:i/>
                <w:iCs/>
                <w:color w:val="000000"/>
              </w:rPr>
              <w:t>6,164</w:t>
            </w:r>
          </w:p>
        </w:tc>
      </w:tr>
      <w:tr w:rsidR="00551658" w:rsidRPr="00B11DBE" w14:paraId="7FD97B6B"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73C2640E"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hideMark/>
          </w:tcPr>
          <w:p w14:paraId="038552EB"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24.9%</w:t>
            </w:r>
          </w:p>
        </w:tc>
        <w:tc>
          <w:tcPr>
            <w:tcW w:w="821" w:type="dxa"/>
            <w:noWrap/>
            <w:hideMark/>
          </w:tcPr>
          <w:p w14:paraId="2CCAAF27"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66.8%</w:t>
            </w:r>
          </w:p>
        </w:tc>
        <w:tc>
          <w:tcPr>
            <w:tcW w:w="820" w:type="dxa"/>
            <w:noWrap/>
            <w:hideMark/>
          </w:tcPr>
          <w:p w14:paraId="76AE4454"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49.9%</w:t>
            </w:r>
          </w:p>
        </w:tc>
        <w:tc>
          <w:tcPr>
            <w:tcW w:w="821" w:type="dxa"/>
            <w:noWrap/>
            <w:hideMark/>
          </w:tcPr>
          <w:p w14:paraId="16805091"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49.8%</w:t>
            </w:r>
          </w:p>
        </w:tc>
        <w:tc>
          <w:tcPr>
            <w:tcW w:w="820" w:type="dxa"/>
            <w:noWrap/>
            <w:hideMark/>
          </w:tcPr>
          <w:p w14:paraId="539F7C81"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63.9%</w:t>
            </w:r>
          </w:p>
        </w:tc>
        <w:tc>
          <w:tcPr>
            <w:tcW w:w="821" w:type="dxa"/>
            <w:noWrap/>
            <w:hideMark/>
          </w:tcPr>
          <w:p w14:paraId="287832B0"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48.1%</w:t>
            </w:r>
          </w:p>
        </w:tc>
        <w:tc>
          <w:tcPr>
            <w:tcW w:w="820" w:type="dxa"/>
            <w:noWrap/>
            <w:hideMark/>
          </w:tcPr>
          <w:p w14:paraId="263D4AE7"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51.7%</w:t>
            </w:r>
          </w:p>
        </w:tc>
        <w:tc>
          <w:tcPr>
            <w:tcW w:w="821" w:type="dxa"/>
            <w:noWrap/>
            <w:hideMark/>
          </w:tcPr>
          <w:p w14:paraId="186F45E7"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B11DBE">
              <w:rPr>
                <w:rFonts w:ascii="Calibri" w:hAnsi="Calibri" w:cs="Calibri"/>
                <w:b/>
                <w:bCs/>
                <w:i/>
                <w:iCs/>
                <w:color w:val="000000"/>
              </w:rPr>
              <w:t>42.4%</w:t>
            </w:r>
          </w:p>
        </w:tc>
      </w:tr>
    </w:tbl>
    <w:p w14:paraId="1EA7F61A" w14:textId="77777777" w:rsidR="00FF4CED" w:rsidRDefault="00FF4CED" w:rsidP="00FF4CED">
      <w:pPr>
        <w:spacing w:after="0" w:line="240" w:lineRule="auto"/>
        <w:rPr>
          <w:b/>
        </w:rPr>
      </w:pPr>
    </w:p>
    <w:p w14:paraId="2C99114C" w14:textId="7BC125DE" w:rsidR="00FF4CED" w:rsidRPr="00461D7A" w:rsidRDefault="00551658" w:rsidP="00B772DF">
      <w:pPr>
        <w:pStyle w:val="Heading2"/>
        <w:jc w:val="center"/>
      </w:pPr>
      <w:r>
        <w:t>Fall 2019</w:t>
      </w:r>
      <w:r w:rsidR="00FF4CED" w:rsidRPr="00461D7A">
        <w:t xml:space="preserve"> Full-Time Entering Degree</w:t>
      </w:r>
      <w:r w:rsidR="00FF4CED">
        <w:t>-</w:t>
      </w:r>
      <w:r w:rsidR="00FF4CED" w:rsidRPr="00461D7A">
        <w:t>Seeking Students</w:t>
      </w:r>
    </w:p>
    <w:p w14:paraId="07395FE3" w14:textId="77777777" w:rsidR="00FF4CED" w:rsidRPr="00EA4BA0" w:rsidRDefault="00FF4CED" w:rsidP="00B772DF">
      <w:pPr>
        <w:pStyle w:val="Heading3"/>
      </w:pPr>
      <w:r>
        <w:t>Table 3d. First-Time</w:t>
      </w:r>
      <w:r w:rsidRPr="00EA4BA0">
        <w:t xml:space="preserve"> Students by Campus</w:t>
      </w:r>
    </w:p>
    <w:tbl>
      <w:tblPr>
        <w:tblStyle w:val="GridTable4-Accent11"/>
        <w:tblW w:w="9360" w:type="dxa"/>
        <w:tblLook w:val="04A0" w:firstRow="1" w:lastRow="0" w:firstColumn="1" w:lastColumn="0" w:noHBand="0" w:noVBand="1"/>
        <w:tblCaption w:val="First-Time Students by Campus"/>
        <w:tblDescription w:val="First-time students by campus. Includes only full-time entering degree seeking students."/>
      </w:tblPr>
      <w:tblGrid>
        <w:gridCol w:w="2796"/>
        <w:gridCol w:w="820"/>
        <w:gridCol w:w="821"/>
        <w:gridCol w:w="820"/>
        <w:gridCol w:w="821"/>
        <w:gridCol w:w="820"/>
        <w:gridCol w:w="821"/>
        <w:gridCol w:w="820"/>
        <w:gridCol w:w="821"/>
      </w:tblGrid>
      <w:tr w:rsidR="00551658" w:rsidRPr="00B11DBE" w14:paraId="08F40AEE"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44E9D2ED" w14:textId="77777777" w:rsidR="00551658" w:rsidRPr="00EA4BA0" w:rsidRDefault="00551658" w:rsidP="00712BA8">
            <w:pPr>
              <w:rPr>
                <w:rFonts w:eastAsia="Times New Roman" w:cstheme="minorHAnsi"/>
              </w:rPr>
            </w:pPr>
            <w:r>
              <w:rPr>
                <w:rFonts w:eastAsia="Times New Roman" w:cstheme="minorHAnsi"/>
                <w:szCs w:val="24"/>
              </w:rPr>
              <w:t>Student Type</w:t>
            </w:r>
          </w:p>
        </w:tc>
        <w:tc>
          <w:tcPr>
            <w:tcW w:w="820" w:type="dxa"/>
            <w:noWrap/>
            <w:hideMark/>
          </w:tcPr>
          <w:p w14:paraId="594DB99E"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15D6D557"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6DC33681"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750EF323"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599284B8"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64FA5C2F"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73AF7301"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2CDBD7D6"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551658" w:rsidRPr="00B11DBE" w14:paraId="7813974E"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15540C4E"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hideMark/>
          </w:tcPr>
          <w:p w14:paraId="5468B685"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498</w:t>
            </w:r>
          </w:p>
        </w:tc>
        <w:tc>
          <w:tcPr>
            <w:tcW w:w="821" w:type="dxa"/>
            <w:noWrap/>
            <w:hideMark/>
          </w:tcPr>
          <w:p w14:paraId="502EF045"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169</w:t>
            </w:r>
          </w:p>
        </w:tc>
        <w:tc>
          <w:tcPr>
            <w:tcW w:w="820" w:type="dxa"/>
            <w:noWrap/>
            <w:hideMark/>
          </w:tcPr>
          <w:p w14:paraId="33C46CBF"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195</w:t>
            </w:r>
          </w:p>
        </w:tc>
        <w:tc>
          <w:tcPr>
            <w:tcW w:w="821" w:type="dxa"/>
            <w:noWrap/>
            <w:hideMark/>
          </w:tcPr>
          <w:p w14:paraId="118CA186"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54</w:t>
            </w:r>
          </w:p>
        </w:tc>
        <w:tc>
          <w:tcPr>
            <w:tcW w:w="820" w:type="dxa"/>
            <w:noWrap/>
            <w:hideMark/>
          </w:tcPr>
          <w:p w14:paraId="5B1D45C1"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63</w:t>
            </w:r>
          </w:p>
        </w:tc>
        <w:tc>
          <w:tcPr>
            <w:tcW w:w="821" w:type="dxa"/>
            <w:noWrap/>
            <w:hideMark/>
          </w:tcPr>
          <w:p w14:paraId="0D09E02C"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74</w:t>
            </w:r>
          </w:p>
        </w:tc>
        <w:tc>
          <w:tcPr>
            <w:tcW w:w="820" w:type="dxa"/>
            <w:noWrap/>
            <w:hideMark/>
          </w:tcPr>
          <w:p w14:paraId="4EE9B068"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427</w:t>
            </w:r>
          </w:p>
        </w:tc>
        <w:tc>
          <w:tcPr>
            <w:tcW w:w="821" w:type="dxa"/>
            <w:noWrap/>
            <w:hideMark/>
          </w:tcPr>
          <w:p w14:paraId="76215700"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B11DBE">
              <w:rPr>
                <w:rFonts w:ascii="Calibri" w:hAnsi="Calibri" w:cs="Calibri"/>
                <w:b/>
                <w:bCs/>
                <w:i/>
                <w:iCs/>
                <w:color w:val="000000"/>
              </w:rPr>
              <w:t>1,480</w:t>
            </w:r>
          </w:p>
        </w:tc>
      </w:tr>
      <w:tr w:rsidR="00551658" w:rsidRPr="00B11DBE" w14:paraId="21A96B5C"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22A0725D"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hideMark/>
          </w:tcPr>
          <w:p w14:paraId="00502A56"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2,106</w:t>
            </w:r>
          </w:p>
        </w:tc>
        <w:tc>
          <w:tcPr>
            <w:tcW w:w="821" w:type="dxa"/>
            <w:noWrap/>
            <w:hideMark/>
          </w:tcPr>
          <w:p w14:paraId="1E74E2D6"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259</w:t>
            </w:r>
          </w:p>
        </w:tc>
        <w:tc>
          <w:tcPr>
            <w:tcW w:w="820" w:type="dxa"/>
            <w:noWrap/>
            <w:hideMark/>
          </w:tcPr>
          <w:p w14:paraId="052EEB10"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383</w:t>
            </w:r>
          </w:p>
        </w:tc>
        <w:tc>
          <w:tcPr>
            <w:tcW w:w="821" w:type="dxa"/>
            <w:noWrap/>
            <w:hideMark/>
          </w:tcPr>
          <w:p w14:paraId="73FC72F7"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125</w:t>
            </w:r>
          </w:p>
        </w:tc>
        <w:tc>
          <w:tcPr>
            <w:tcW w:w="820" w:type="dxa"/>
            <w:noWrap/>
            <w:hideMark/>
          </w:tcPr>
          <w:p w14:paraId="36D369BD"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102</w:t>
            </w:r>
          </w:p>
        </w:tc>
        <w:tc>
          <w:tcPr>
            <w:tcW w:w="821" w:type="dxa"/>
            <w:noWrap/>
            <w:hideMark/>
          </w:tcPr>
          <w:p w14:paraId="678C42D0"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170</w:t>
            </w:r>
          </w:p>
        </w:tc>
        <w:tc>
          <w:tcPr>
            <w:tcW w:w="820" w:type="dxa"/>
            <w:noWrap/>
            <w:hideMark/>
          </w:tcPr>
          <w:p w14:paraId="0AEC0686"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870</w:t>
            </w:r>
          </w:p>
        </w:tc>
        <w:tc>
          <w:tcPr>
            <w:tcW w:w="821" w:type="dxa"/>
            <w:noWrap/>
            <w:hideMark/>
          </w:tcPr>
          <w:p w14:paraId="1BC2F7CE"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sidRPr="00B11DBE">
              <w:rPr>
                <w:rFonts w:ascii="Calibri" w:hAnsi="Calibri" w:cs="Calibri"/>
                <w:b/>
                <w:bCs/>
                <w:i/>
                <w:iCs/>
                <w:color w:val="000000"/>
              </w:rPr>
              <w:t>4,015</w:t>
            </w:r>
          </w:p>
        </w:tc>
      </w:tr>
      <w:tr w:rsidR="00551658" w:rsidRPr="00B11DBE" w14:paraId="7E71DD87"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7B8873DF"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hideMark/>
          </w:tcPr>
          <w:p w14:paraId="3CD22ED8"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23.6%</w:t>
            </w:r>
          </w:p>
        </w:tc>
        <w:tc>
          <w:tcPr>
            <w:tcW w:w="821" w:type="dxa"/>
            <w:noWrap/>
            <w:hideMark/>
          </w:tcPr>
          <w:p w14:paraId="665BDF9F"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65.3%</w:t>
            </w:r>
          </w:p>
        </w:tc>
        <w:tc>
          <w:tcPr>
            <w:tcW w:w="820" w:type="dxa"/>
            <w:noWrap/>
            <w:hideMark/>
          </w:tcPr>
          <w:p w14:paraId="6D9EB7B7"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50.9%</w:t>
            </w:r>
          </w:p>
        </w:tc>
        <w:tc>
          <w:tcPr>
            <w:tcW w:w="821" w:type="dxa"/>
            <w:noWrap/>
            <w:hideMark/>
          </w:tcPr>
          <w:p w14:paraId="7CFAE954"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43.2%</w:t>
            </w:r>
          </w:p>
        </w:tc>
        <w:tc>
          <w:tcPr>
            <w:tcW w:w="820" w:type="dxa"/>
            <w:noWrap/>
            <w:hideMark/>
          </w:tcPr>
          <w:p w14:paraId="40D6337A"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61.8%</w:t>
            </w:r>
          </w:p>
        </w:tc>
        <w:tc>
          <w:tcPr>
            <w:tcW w:w="821" w:type="dxa"/>
            <w:noWrap/>
            <w:hideMark/>
          </w:tcPr>
          <w:p w14:paraId="7481A1D0"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43.5%</w:t>
            </w:r>
          </w:p>
        </w:tc>
        <w:tc>
          <w:tcPr>
            <w:tcW w:w="820" w:type="dxa"/>
            <w:noWrap/>
            <w:hideMark/>
          </w:tcPr>
          <w:p w14:paraId="2C29A83E"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49.1%</w:t>
            </w:r>
          </w:p>
        </w:tc>
        <w:tc>
          <w:tcPr>
            <w:tcW w:w="821" w:type="dxa"/>
            <w:noWrap/>
            <w:hideMark/>
          </w:tcPr>
          <w:p w14:paraId="552819C7"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B11DBE">
              <w:rPr>
                <w:rFonts w:ascii="Calibri" w:hAnsi="Calibri" w:cs="Calibri"/>
                <w:b/>
                <w:bCs/>
                <w:i/>
                <w:iCs/>
                <w:color w:val="000000"/>
              </w:rPr>
              <w:t>36.9%</w:t>
            </w:r>
          </w:p>
        </w:tc>
      </w:tr>
    </w:tbl>
    <w:p w14:paraId="7B3406B7" w14:textId="77777777" w:rsidR="00FF4CED" w:rsidRDefault="00FF4CED" w:rsidP="00FF4CED">
      <w:pPr>
        <w:spacing w:after="0" w:line="240" w:lineRule="auto"/>
        <w:rPr>
          <w:b/>
        </w:rPr>
      </w:pPr>
    </w:p>
    <w:p w14:paraId="15F29E0F" w14:textId="77777777" w:rsidR="00FF4CED" w:rsidRPr="00EA4BA0" w:rsidRDefault="00FF4CED" w:rsidP="00B772DF">
      <w:pPr>
        <w:pStyle w:val="Heading3"/>
      </w:pPr>
      <w:r>
        <w:t>Table 3e. Transfer</w:t>
      </w:r>
      <w:r w:rsidRPr="00EA4BA0">
        <w:t xml:space="preserve"> Students by Campus</w:t>
      </w:r>
    </w:p>
    <w:tbl>
      <w:tblPr>
        <w:tblStyle w:val="GridTable4-Accent11"/>
        <w:tblW w:w="9360" w:type="dxa"/>
        <w:tblLook w:val="04A0" w:firstRow="1" w:lastRow="0" w:firstColumn="1" w:lastColumn="0" w:noHBand="0" w:noVBand="1"/>
        <w:tblCaption w:val="Transfer Students by Campus"/>
        <w:tblDescription w:val="Transfer students by campus. Includes only full-time entering degree seeking students."/>
      </w:tblPr>
      <w:tblGrid>
        <w:gridCol w:w="2796"/>
        <w:gridCol w:w="820"/>
        <w:gridCol w:w="821"/>
        <w:gridCol w:w="820"/>
        <w:gridCol w:w="821"/>
        <w:gridCol w:w="820"/>
        <w:gridCol w:w="821"/>
        <w:gridCol w:w="820"/>
        <w:gridCol w:w="821"/>
      </w:tblGrid>
      <w:tr w:rsidR="00551658" w:rsidRPr="00B11DBE" w14:paraId="3725A883"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5D5DD6D2" w14:textId="77777777" w:rsidR="00551658" w:rsidRPr="00EA4BA0" w:rsidRDefault="00551658" w:rsidP="00712BA8">
            <w:pPr>
              <w:rPr>
                <w:rFonts w:eastAsia="Times New Roman" w:cstheme="minorHAnsi"/>
              </w:rPr>
            </w:pPr>
            <w:r>
              <w:rPr>
                <w:rFonts w:eastAsia="Times New Roman" w:cstheme="minorHAnsi"/>
                <w:szCs w:val="24"/>
              </w:rPr>
              <w:t>Student Type</w:t>
            </w:r>
          </w:p>
        </w:tc>
        <w:tc>
          <w:tcPr>
            <w:tcW w:w="820" w:type="dxa"/>
            <w:noWrap/>
            <w:hideMark/>
          </w:tcPr>
          <w:p w14:paraId="74072A5A"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51F0A665"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182C5985"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7872FB36"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6E1C33C9"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4AFB98E2"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3125017A"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73B663F5"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551658" w:rsidRPr="00B11DBE" w14:paraId="19220E11"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3ABE82D5"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hideMark/>
          </w:tcPr>
          <w:p w14:paraId="39ADE5AB"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111</w:t>
            </w:r>
          </w:p>
        </w:tc>
        <w:tc>
          <w:tcPr>
            <w:tcW w:w="821" w:type="dxa"/>
            <w:noWrap/>
            <w:hideMark/>
          </w:tcPr>
          <w:p w14:paraId="5F50A51D"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147</w:t>
            </w:r>
          </w:p>
        </w:tc>
        <w:tc>
          <w:tcPr>
            <w:tcW w:w="820" w:type="dxa"/>
            <w:noWrap/>
            <w:hideMark/>
          </w:tcPr>
          <w:p w14:paraId="33DB3B21"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31</w:t>
            </w:r>
          </w:p>
        </w:tc>
        <w:tc>
          <w:tcPr>
            <w:tcW w:w="821" w:type="dxa"/>
            <w:noWrap/>
            <w:hideMark/>
          </w:tcPr>
          <w:p w14:paraId="7C78228C"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38</w:t>
            </w:r>
          </w:p>
        </w:tc>
        <w:tc>
          <w:tcPr>
            <w:tcW w:w="820" w:type="dxa"/>
            <w:noWrap/>
            <w:hideMark/>
          </w:tcPr>
          <w:p w14:paraId="27D25297"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15</w:t>
            </w:r>
          </w:p>
        </w:tc>
        <w:tc>
          <w:tcPr>
            <w:tcW w:w="821" w:type="dxa"/>
            <w:noWrap/>
            <w:hideMark/>
          </w:tcPr>
          <w:p w14:paraId="4AB73CE7"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34</w:t>
            </w:r>
          </w:p>
        </w:tc>
        <w:tc>
          <w:tcPr>
            <w:tcW w:w="820" w:type="dxa"/>
            <w:noWrap/>
            <w:hideMark/>
          </w:tcPr>
          <w:p w14:paraId="72A83FC8"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261</w:t>
            </w:r>
          </w:p>
        </w:tc>
        <w:tc>
          <w:tcPr>
            <w:tcW w:w="821" w:type="dxa"/>
            <w:noWrap/>
            <w:hideMark/>
          </w:tcPr>
          <w:p w14:paraId="3BA3E201"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B11DBE">
              <w:rPr>
                <w:rFonts w:ascii="Calibri" w:hAnsi="Calibri" w:cs="Calibri"/>
                <w:b/>
                <w:bCs/>
                <w:i/>
                <w:iCs/>
                <w:color w:val="000000"/>
              </w:rPr>
              <w:t>637</w:t>
            </w:r>
          </w:p>
        </w:tc>
      </w:tr>
      <w:tr w:rsidR="00551658" w:rsidRPr="00B11DBE" w14:paraId="45E82D98"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4A826383"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hideMark/>
          </w:tcPr>
          <w:p w14:paraId="0730816B"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377</w:t>
            </w:r>
          </w:p>
        </w:tc>
        <w:tc>
          <w:tcPr>
            <w:tcW w:w="821" w:type="dxa"/>
            <w:noWrap/>
            <w:hideMark/>
          </w:tcPr>
          <w:p w14:paraId="6AE19DC4"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229</w:t>
            </w:r>
          </w:p>
        </w:tc>
        <w:tc>
          <w:tcPr>
            <w:tcW w:w="820" w:type="dxa"/>
            <w:noWrap/>
            <w:hideMark/>
          </w:tcPr>
          <w:p w14:paraId="6C6E555F"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69</w:t>
            </w:r>
          </w:p>
        </w:tc>
        <w:tc>
          <w:tcPr>
            <w:tcW w:w="821" w:type="dxa"/>
            <w:noWrap/>
            <w:hideMark/>
          </w:tcPr>
          <w:p w14:paraId="5FCE1060"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71</w:t>
            </w:r>
          </w:p>
        </w:tc>
        <w:tc>
          <w:tcPr>
            <w:tcW w:w="820" w:type="dxa"/>
            <w:noWrap/>
            <w:hideMark/>
          </w:tcPr>
          <w:p w14:paraId="7F571E3E"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24</w:t>
            </w:r>
          </w:p>
        </w:tc>
        <w:tc>
          <w:tcPr>
            <w:tcW w:w="821" w:type="dxa"/>
            <w:noWrap/>
            <w:hideMark/>
          </w:tcPr>
          <w:p w14:paraId="4C303BE4"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70</w:t>
            </w:r>
          </w:p>
        </w:tc>
        <w:tc>
          <w:tcPr>
            <w:tcW w:w="820" w:type="dxa"/>
            <w:noWrap/>
            <w:hideMark/>
          </w:tcPr>
          <w:p w14:paraId="71766DF8"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488</w:t>
            </w:r>
          </w:p>
        </w:tc>
        <w:tc>
          <w:tcPr>
            <w:tcW w:w="821" w:type="dxa"/>
            <w:noWrap/>
            <w:hideMark/>
          </w:tcPr>
          <w:p w14:paraId="6765C29F"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sidRPr="00B11DBE">
              <w:rPr>
                <w:rFonts w:ascii="Calibri" w:hAnsi="Calibri" w:cs="Calibri"/>
                <w:b/>
                <w:bCs/>
                <w:i/>
                <w:iCs/>
                <w:color w:val="000000"/>
              </w:rPr>
              <w:t>1,328</w:t>
            </w:r>
          </w:p>
        </w:tc>
      </w:tr>
      <w:tr w:rsidR="00551658" w:rsidRPr="00B11DBE" w14:paraId="0AFE346B"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772A0645"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hideMark/>
          </w:tcPr>
          <w:p w14:paraId="223F6E0B"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29.4%</w:t>
            </w:r>
          </w:p>
        </w:tc>
        <w:tc>
          <w:tcPr>
            <w:tcW w:w="821" w:type="dxa"/>
            <w:noWrap/>
            <w:hideMark/>
          </w:tcPr>
          <w:p w14:paraId="766D61E7"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64.2%</w:t>
            </w:r>
          </w:p>
        </w:tc>
        <w:tc>
          <w:tcPr>
            <w:tcW w:w="820" w:type="dxa"/>
            <w:noWrap/>
            <w:hideMark/>
          </w:tcPr>
          <w:p w14:paraId="5D51C6D0"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44.9%</w:t>
            </w:r>
          </w:p>
        </w:tc>
        <w:tc>
          <w:tcPr>
            <w:tcW w:w="821" w:type="dxa"/>
            <w:noWrap/>
            <w:hideMark/>
          </w:tcPr>
          <w:p w14:paraId="254508FC"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53.5%</w:t>
            </w:r>
          </w:p>
        </w:tc>
        <w:tc>
          <w:tcPr>
            <w:tcW w:w="820" w:type="dxa"/>
            <w:noWrap/>
            <w:hideMark/>
          </w:tcPr>
          <w:p w14:paraId="647662D8"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62.5%</w:t>
            </w:r>
          </w:p>
        </w:tc>
        <w:tc>
          <w:tcPr>
            <w:tcW w:w="821" w:type="dxa"/>
            <w:noWrap/>
            <w:hideMark/>
          </w:tcPr>
          <w:p w14:paraId="2CBAD442"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48.6%</w:t>
            </w:r>
          </w:p>
        </w:tc>
        <w:tc>
          <w:tcPr>
            <w:tcW w:w="820" w:type="dxa"/>
            <w:noWrap/>
            <w:hideMark/>
          </w:tcPr>
          <w:p w14:paraId="166DAF03"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53.5%</w:t>
            </w:r>
          </w:p>
        </w:tc>
        <w:tc>
          <w:tcPr>
            <w:tcW w:w="821" w:type="dxa"/>
            <w:noWrap/>
            <w:hideMark/>
          </w:tcPr>
          <w:p w14:paraId="08DFC110"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B11DBE">
              <w:rPr>
                <w:rFonts w:ascii="Calibri" w:hAnsi="Calibri" w:cs="Calibri"/>
                <w:b/>
                <w:bCs/>
                <w:i/>
                <w:iCs/>
                <w:color w:val="000000"/>
              </w:rPr>
              <w:t>48.0%</w:t>
            </w:r>
          </w:p>
        </w:tc>
      </w:tr>
    </w:tbl>
    <w:p w14:paraId="1B7416C4" w14:textId="77777777" w:rsidR="00FF4CED" w:rsidRDefault="00FF4CED" w:rsidP="00FF4CED">
      <w:pPr>
        <w:spacing w:after="0" w:line="240" w:lineRule="auto"/>
        <w:rPr>
          <w:b/>
        </w:rPr>
      </w:pPr>
    </w:p>
    <w:p w14:paraId="4F9A0BF5" w14:textId="77777777" w:rsidR="00FF4CED" w:rsidRPr="00EA4BA0" w:rsidRDefault="00FF4CED" w:rsidP="00B772DF">
      <w:pPr>
        <w:pStyle w:val="Heading3"/>
      </w:pPr>
      <w:r>
        <w:t>Table 3f. Total</w:t>
      </w:r>
      <w:r w:rsidRPr="00EA4BA0">
        <w:t xml:space="preserve"> </w:t>
      </w:r>
      <w:r>
        <w:t>First-Time &amp; Transfer</w:t>
      </w:r>
      <w:r w:rsidRPr="00EA4BA0">
        <w:t xml:space="preserve"> Students by Campus</w:t>
      </w:r>
    </w:p>
    <w:tbl>
      <w:tblPr>
        <w:tblStyle w:val="GridTable4-Accent11"/>
        <w:tblW w:w="9360" w:type="dxa"/>
        <w:tblLook w:val="04A0" w:firstRow="1" w:lastRow="0" w:firstColumn="1" w:lastColumn="0" w:noHBand="0" w:noVBand="1"/>
        <w:tblCaption w:val="Total First-Time &amp; Transfer Students by Campus"/>
        <w:tblDescription w:val="Total first-time and transfer students by campus. Includes only full-time entering degree seeking students."/>
      </w:tblPr>
      <w:tblGrid>
        <w:gridCol w:w="2796"/>
        <w:gridCol w:w="820"/>
        <w:gridCol w:w="821"/>
        <w:gridCol w:w="820"/>
        <w:gridCol w:w="821"/>
        <w:gridCol w:w="820"/>
        <w:gridCol w:w="821"/>
        <w:gridCol w:w="820"/>
        <w:gridCol w:w="821"/>
      </w:tblGrid>
      <w:tr w:rsidR="00551658" w:rsidRPr="00EA4BA0" w14:paraId="089089AB" w14:textId="77777777" w:rsidTr="007071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0E7A4DF3" w14:textId="77777777" w:rsidR="00551658" w:rsidRPr="00EA4BA0" w:rsidRDefault="00551658" w:rsidP="00712BA8">
            <w:pPr>
              <w:rPr>
                <w:rFonts w:eastAsia="Times New Roman" w:cstheme="minorHAnsi"/>
              </w:rPr>
            </w:pPr>
            <w:r>
              <w:rPr>
                <w:rFonts w:eastAsia="Times New Roman" w:cstheme="minorHAnsi"/>
                <w:szCs w:val="24"/>
              </w:rPr>
              <w:t>Student Type</w:t>
            </w:r>
          </w:p>
        </w:tc>
        <w:tc>
          <w:tcPr>
            <w:tcW w:w="820" w:type="dxa"/>
            <w:noWrap/>
            <w:hideMark/>
          </w:tcPr>
          <w:p w14:paraId="050D2957"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w:t>
            </w:r>
          </w:p>
        </w:tc>
        <w:tc>
          <w:tcPr>
            <w:tcW w:w="821" w:type="dxa"/>
            <w:noWrap/>
            <w:hideMark/>
          </w:tcPr>
          <w:p w14:paraId="64F79BB6"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UMA</w:t>
            </w:r>
          </w:p>
        </w:tc>
        <w:tc>
          <w:tcPr>
            <w:tcW w:w="820" w:type="dxa"/>
            <w:noWrap/>
            <w:hideMark/>
          </w:tcPr>
          <w:p w14:paraId="0A1D7C4C"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w:t>
            </w:r>
          </w:p>
        </w:tc>
        <w:tc>
          <w:tcPr>
            <w:tcW w:w="821" w:type="dxa"/>
            <w:noWrap/>
            <w:hideMark/>
          </w:tcPr>
          <w:p w14:paraId="283627A8"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UMFK</w:t>
            </w:r>
          </w:p>
        </w:tc>
        <w:tc>
          <w:tcPr>
            <w:tcW w:w="820" w:type="dxa"/>
            <w:noWrap/>
            <w:hideMark/>
          </w:tcPr>
          <w:p w14:paraId="409C2CC7"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UMM</w:t>
            </w:r>
          </w:p>
        </w:tc>
        <w:tc>
          <w:tcPr>
            <w:tcW w:w="821" w:type="dxa"/>
            <w:noWrap/>
            <w:hideMark/>
          </w:tcPr>
          <w:p w14:paraId="426E927A"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UMPI</w:t>
            </w:r>
          </w:p>
        </w:tc>
        <w:tc>
          <w:tcPr>
            <w:tcW w:w="820" w:type="dxa"/>
            <w:noWrap/>
            <w:hideMark/>
          </w:tcPr>
          <w:p w14:paraId="26F63767"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A4BA0">
              <w:rPr>
                <w:rFonts w:ascii="Calibri" w:eastAsia="Times New Roman" w:hAnsi="Calibri" w:cs="Calibri"/>
              </w:rPr>
              <w:t>USM</w:t>
            </w:r>
          </w:p>
        </w:tc>
        <w:tc>
          <w:tcPr>
            <w:tcW w:w="821" w:type="dxa"/>
            <w:noWrap/>
            <w:hideMark/>
          </w:tcPr>
          <w:p w14:paraId="4EB81F2B" w14:textId="77777777" w:rsidR="00551658" w:rsidRPr="00EA4BA0" w:rsidRDefault="00551658" w:rsidP="00712B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rPr>
            </w:pPr>
            <w:r w:rsidRPr="00EA4BA0">
              <w:rPr>
                <w:rFonts w:ascii="Calibri" w:eastAsia="Times New Roman" w:hAnsi="Calibri" w:cs="Calibri"/>
                <w:i/>
                <w:iCs/>
              </w:rPr>
              <w:t>Total</w:t>
            </w:r>
          </w:p>
        </w:tc>
      </w:tr>
      <w:tr w:rsidR="00551658" w:rsidRPr="00EA4BA0" w14:paraId="3A617AD8"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2BFE1ED1"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First Generation Students </w:t>
            </w:r>
          </w:p>
        </w:tc>
        <w:tc>
          <w:tcPr>
            <w:tcW w:w="820" w:type="dxa"/>
            <w:noWrap/>
            <w:hideMark/>
          </w:tcPr>
          <w:p w14:paraId="4EF10C85"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609</w:t>
            </w:r>
          </w:p>
        </w:tc>
        <w:tc>
          <w:tcPr>
            <w:tcW w:w="821" w:type="dxa"/>
            <w:noWrap/>
            <w:hideMark/>
          </w:tcPr>
          <w:p w14:paraId="107A26EE"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316</w:t>
            </w:r>
          </w:p>
        </w:tc>
        <w:tc>
          <w:tcPr>
            <w:tcW w:w="820" w:type="dxa"/>
            <w:noWrap/>
            <w:hideMark/>
          </w:tcPr>
          <w:p w14:paraId="39343F6B"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226</w:t>
            </w:r>
          </w:p>
        </w:tc>
        <w:tc>
          <w:tcPr>
            <w:tcW w:w="821" w:type="dxa"/>
            <w:noWrap/>
            <w:hideMark/>
          </w:tcPr>
          <w:p w14:paraId="2471C63D"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92</w:t>
            </w:r>
          </w:p>
        </w:tc>
        <w:tc>
          <w:tcPr>
            <w:tcW w:w="820" w:type="dxa"/>
            <w:noWrap/>
            <w:hideMark/>
          </w:tcPr>
          <w:p w14:paraId="3BCEC7E2"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78</w:t>
            </w:r>
          </w:p>
        </w:tc>
        <w:tc>
          <w:tcPr>
            <w:tcW w:w="821" w:type="dxa"/>
            <w:noWrap/>
            <w:hideMark/>
          </w:tcPr>
          <w:p w14:paraId="06D70C03"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108</w:t>
            </w:r>
          </w:p>
        </w:tc>
        <w:tc>
          <w:tcPr>
            <w:tcW w:w="820" w:type="dxa"/>
            <w:noWrap/>
            <w:hideMark/>
          </w:tcPr>
          <w:p w14:paraId="02F47994"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688</w:t>
            </w:r>
          </w:p>
        </w:tc>
        <w:tc>
          <w:tcPr>
            <w:tcW w:w="821" w:type="dxa"/>
            <w:noWrap/>
            <w:hideMark/>
          </w:tcPr>
          <w:p w14:paraId="77E8D5DD"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B11DBE">
              <w:rPr>
                <w:rFonts w:ascii="Calibri" w:hAnsi="Calibri" w:cs="Calibri"/>
                <w:b/>
                <w:bCs/>
                <w:i/>
                <w:iCs/>
                <w:color w:val="000000"/>
              </w:rPr>
              <w:t>2,117</w:t>
            </w:r>
          </w:p>
        </w:tc>
      </w:tr>
      <w:tr w:rsidR="00551658" w:rsidRPr="00EA4BA0" w14:paraId="58494D91" w14:textId="77777777" w:rsidTr="0070714E">
        <w:trPr>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48B28F1A"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Total Students </w:t>
            </w:r>
          </w:p>
        </w:tc>
        <w:tc>
          <w:tcPr>
            <w:tcW w:w="820" w:type="dxa"/>
            <w:noWrap/>
            <w:hideMark/>
          </w:tcPr>
          <w:p w14:paraId="0528C219"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2,483</w:t>
            </w:r>
          </w:p>
        </w:tc>
        <w:tc>
          <w:tcPr>
            <w:tcW w:w="821" w:type="dxa"/>
            <w:noWrap/>
            <w:hideMark/>
          </w:tcPr>
          <w:p w14:paraId="07AAF0E8"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488</w:t>
            </w:r>
          </w:p>
        </w:tc>
        <w:tc>
          <w:tcPr>
            <w:tcW w:w="820" w:type="dxa"/>
            <w:noWrap/>
            <w:hideMark/>
          </w:tcPr>
          <w:p w14:paraId="43E8B41F"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452</w:t>
            </w:r>
          </w:p>
        </w:tc>
        <w:tc>
          <w:tcPr>
            <w:tcW w:w="821" w:type="dxa"/>
            <w:noWrap/>
            <w:hideMark/>
          </w:tcPr>
          <w:p w14:paraId="5152D9CF"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196</w:t>
            </w:r>
          </w:p>
        </w:tc>
        <w:tc>
          <w:tcPr>
            <w:tcW w:w="820" w:type="dxa"/>
            <w:noWrap/>
            <w:hideMark/>
          </w:tcPr>
          <w:p w14:paraId="727ABE27"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126</w:t>
            </w:r>
          </w:p>
        </w:tc>
        <w:tc>
          <w:tcPr>
            <w:tcW w:w="821" w:type="dxa"/>
            <w:noWrap/>
            <w:hideMark/>
          </w:tcPr>
          <w:p w14:paraId="69DDC3D8"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240</w:t>
            </w:r>
          </w:p>
        </w:tc>
        <w:tc>
          <w:tcPr>
            <w:tcW w:w="820" w:type="dxa"/>
            <w:noWrap/>
            <w:hideMark/>
          </w:tcPr>
          <w:p w14:paraId="7BAF2209"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B11DBE">
              <w:rPr>
                <w:rFonts w:ascii="Calibri" w:hAnsi="Calibri" w:cs="Calibri"/>
                <w:color w:val="000000"/>
              </w:rPr>
              <w:t>1,358</w:t>
            </w:r>
          </w:p>
        </w:tc>
        <w:tc>
          <w:tcPr>
            <w:tcW w:w="821" w:type="dxa"/>
            <w:noWrap/>
            <w:hideMark/>
          </w:tcPr>
          <w:p w14:paraId="08B9BB0B" w14:textId="77777777" w:rsidR="00551658" w:rsidRPr="00B11DBE" w:rsidRDefault="00551658" w:rsidP="00712B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sidRPr="00B11DBE">
              <w:rPr>
                <w:rFonts w:ascii="Calibri" w:hAnsi="Calibri" w:cs="Calibri"/>
                <w:b/>
                <w:bCs/>
                <w:i/>
                <w:iCs/>
                <w:color w:val="000000"/>
              </w:rPr>
              <w:t>5,343</w:t>
            </w:r>
          </w:p>
        </w:tc>
      </w:tr>
      <w:tr w:rsidR="00551658" w:rsidRPr="00EA4BA0" w14:paraId="12F883E3" w14:textId="77777777" w:rsidTr="007071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6" w:type="dxa"/>
            <w:noWrap/>
            <w:hideMark/>
          </w:tcPr>
          <w:p w14:paraId="0F3192D7" w14:textId="77777777" w:rsidR="00551658" w:rsidRPr="00EA4BA0" w:rsidRDefault="00551658" w:rsidP="00712BA8">
            <w:pPr>
              <w:rPr>
                <w:rFonts w:ascii="Calibri" w:eastAsia="Times New Roman" w:hAnsi="Calibri" w:cs="Calibri"/>
                <w:color w:val="000000"/>
              </w:rPr>
            </w:pPr>
            <w:r w:rsidRPr="00EA4BA0">
              <w:rPr>
                <w:rFonts w:ascii="Calibri" w:eastAsia="Times New Roman" w:hAnsi="Calibri" w:cs="Calibri"/>
                <w:color w:val="000000"/>
              </w:rPr>
              <w:t xml:space="preserve">% First Generation Students </w:t>
            </w:r>
          </w:p>
        </w:tc>
        <w:tc>
          <w:tcPr>
            <w:tcW w:w="820" w:type="dxa"/>
            <w:noWrap/>
            <w:hideMark/>
          </w:tcPr>
          <w:p w14:paraId="7BDAE971"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24.5%</w:t>
            </w:r>
          </w:p>
        </w:tc>
        <w:tc>
          <w:tcPr>
            <w:tcW w:w="821" w:type="dxa"/>
            <w:noWrap/>
            <w:hideMark/>
          </w:tcPr>
          <w:p w14:paraId="183A7BC1"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64.8%</w:t>
            </w:r>
          </w:p>
        </w:tc>
        <w:tc>
          <w:tcPr>
            <w:tcW w:w="820" w:type="dxa"/>
            <w:noWrap/>
            <w:hideMark/>
          </w:tcPr>
          <w:p w14:paraId="16AA5D94"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50.0%</w:t>
            </w:r>
          </w:p>
        </w:tc>
        <w:tc>
          <w:tcPr>
            <w:tcW w:w="821" w:type="dxa"/>
            <w:noWrap/>
            <w:hideMark/>
          </w:tcPr>
          <w:p w14:paraId="20D4AEAA"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46.9%</w:t>
            </w:r>
          </w:p>
        </w:tc>
        <w:tc>
          <w:tcPr>
            <w:tcW w:w="820" w:type="dxa"/>
            <w:noWrap/>
            <w:hideMark/>
          </w:tcPr>
          <w:p w14:paraId="1A3D7691"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61.9%</w:t>
            </w:r>
          </w:p>
        </w:tc>
        <w:tc>
          <w:tcPr>
            <w:tcW w:w="821" w:type="dxa"/>
            <w:noWrap/>
            <w:hideMark/>
          </w:tcPr>
          <w:p w14:paraId="42FA651A"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45.0%</w:t>
            </w:r>
          </w:p>
        </w:tc>
        <w:tc>
          <w:tcPr>
            <w:tcW w:w="820" w:type="dxa"/>
            <w:noWrap/>
            <w:hideMark/>
          </w:tcPr>
          <w:p w14:paraId="1B057AC7"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11DBE">
              <w:rPr>
                <w:rFonts w:ascii="Calibri" w:hAnsi="Calibri" w:cs="Calibri"/>
                <w:color w:val="000000"/>
              </w:rPr>
              <w:t>50.7%</w:t>
            </w:r>
          </w:p>
        </w:tc>
        <w:tc>
          <w:tcPr>
            <w:tcW w:w="821" w:type="dxa"/>
            <w:noWrap/>
            <w:hideMark/>
          </w:tcPr>
          <w:p w14:paraId="3C43E016" w14:textId="77777777" w:rsidR="00551658" w:rsidRPr="00B11DBE" w:rsidRDefault="00551658" w:rsidP="00712B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rPr>
            </w:pPr>
            <w:r w:rsidRPr="00B11DBE">
              <w:rPr>
                <w:rFonts w:ascii="Calibri" w:hAnsi="Calibri" w:cs="Calibri"/>
                <w:b/>
                <w:bCs/>
                <w:i/>
                <w:iCs/>
                <w:color w:val="000000"/>
              </w:rPr>
              <w:t>39.6%</w:t>
            </w:r>
          </w:p>
        </w:tc>
      </w:tr>
    </w:tbl>
    <w:p w14:paraId="07CF93A2" w14:textId="77777777" w:rsidR="00FF4CED" w:rsidRDefault="00FF4CED" w:rsidP="00FF4CED"/>
    <w:p w14:paraId="415F6DC4" w14:textId="77777777" w:rsidR="00FF4CED" w:rsidRDefault="00FF4CED" w:rsidP="00FF4CED">
      <w:r>
        <w:br w:type="page"/>
      </w:r>
    </w:p>
    <w:p w14:paraId="770B0390" w14:textId="77777777" w:rsidR="004E477F" w:rsidRDefault="004E477F" w:rsidP="00B772DF">
      <w:pPr>
        <w:pStyle w:val="Heading1"/>
        <w:sectPr w:rsidR="004E477F" w:rsidSect="00C86071">
          <w:footerReference w:type="default" r:id="rId8"/>
          <w:pgSz w:w="12240" w:h="15840"/>
          <w:pgMar w:top="1440" w:right="1440" w:bottom="1440" w:left="1440" w:header="720" w:footer="720" w:gutter="0"/>
          <w:cols w:space="720"/>
          <w:docGrid w:linePitch="360"/>
        </w:sectPr>
      </w:pPr>
    </w:p>
    <w:p w14:paraId="24DBF27D" w14:textId="0690BF9C" w:rsidR="00C218AF" w:rsidRDefault="004E477F" w:rsidP="00B772DF">
      <w:pPr>
        <w:pStyle w:val="Heading1"/>
      </w:pPr>
      <w:r>
        <w:lastRenderedPageBreak/>
        <w:t>TABLE 4:  YEAR 6 OUTCOMES – 2015</w:t>
      </w:r>
      <w:r w:rsidR="00C42A4A">
        <w:t xml:space="preserve"> ENTERING COHORT</w:t>
      </w:r>
    </w:p>
    <w:p w14:paraId="7A1371F9" w14:textId="77777777" w:rsidR="00A023CD" w:rsidRPr="00A023CD" w:rsidRDefault="00A023CD" w:rsidP="00A023CD"/>
    <w:p w14:paraId="57E7A5AD" w14:textId="48385DEA" w:rsidR="00FF4CED" w:rsidRPr="006278A7" w:rsidRDefault="00FF4CED" w:rsidP="00B772DF">
      <w:pPr>
        <w:pStyle w:val="Heading2"/>
        <w:jc w:val="center"/>
      </w:pPr>
      <w:r>
        <w:t>Year 6 Outcomes for Full-Time, First-Time, Bac</w:t>
      </w:r>
      <w:r w:rsidR="004E477F">
        <w:t>helor’s Degree-Seeking Fall 2015</w:t>
      </w:r>
      <w:r>
        <w:t xml:space="preserve"> Entering Cohort (Counts)</w:t>
      </w:r>
    </w:p>
    <w:tbl>
      <w:tblPr>
        <w:tblStyle w:val="GridTable4-Accent11"/>
        <w:tblW w:w="9360" w:type="dxa"/>
        <w:tblLayout w:type="fixed"/>
        <w:tblLook w:val="04A0" w:firstRow="1" w:lastRow="0" w:firstColumn="1" w:lastColumn="0" w:noHBand="0" w:noVBand="1"/>
      </w:tblPr>
      <w:tblGrid>
        <w:gridCol w:w="2875"/>
        <w:gridCol w:w="1080"/>
        <w:gridCol w:w="675"/>
        <w:gridCol w:w="676"/>
        <w:gridCol w:w="675"/>
        <w:gridCol w:w="676"/>
        <w:gridCol w:w="676"/>
        <w:gridCol w:w="675"/>
        <w:gridCol w:w="676"/>
        <w:gridCol w:w="676"/>
      </w:tblGrid>
      <w:tr w:rsidR="004E477F" w:rsidRPr="00855265" w14:paraId="4BA90392" w14:textId="77777777" w:rsidTr="00D67A4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vAlign w:val="bottom"/>
          </w:tcPr>
          <w:p w14:paraId="483D0DAF" w14:textId="77777777" w:rsidR="004E477F" w:rsidRPr="001539FA" w:rsidRDefault="004E477F" w:rsidP="00D67A46">
            <w:pPr>
              <w:rPr>
                <w:rFonts w:ascii="Calibri" w:hAnsi="Calibri" w:cs="Calibri"/>
                <w:color w:val="FFFFFF" w:themeColor="background1"/>
                <w:sz w:val="18"/>
                <w:szCs w:val="18"/>
              </w:rPr>
            </w:pPr>
            <w:r w:rsidRPr="001539FA">
              <w:rPr>
                <w:rFonts w:ascii="Calibri" w:hAnsi="Calibri" w:cs="Calibri"/>
                <w:color w:val="FFFFFF" w:themeColor="background1"/>
                <w:sz w:val="18"/>
                <w:szCs w:val="18"/>
              </w:rPr>
              <w:t>Year 6 Outcome</w:t>
            </w:r>
          </w:p>
        </w:tc>
        <w:tc>
          <w:tcPr>
            <w:tcW w:w="1080" w:type="dxa"/>
            <w:noWrap/>
            <w:vAlign w:val="bottom"/>
            <w:hideMark/>
          </w:tcPr>
          <w:p w14:paraId="6942CA17" w14:textId="77777777" w:rsidR="004E477F" w:rsidRPr="001539FA" w:rsidRDefault="004E477F" w:rsidP="00D67A4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 w:val="18"/>
                <w:szCs w:val="18"/>
              </w:rPr>
            </w:pPr>
            <w:r w:rsidRPr="001539FA">
              <w:rPr>
                <w:rFonts w:ascii="Calibri" w:hAnsi="Calibri" w:cs="Calibri"/>
                <w:color w:val="FFFFFF" w:themeColor="background1"/>
                <w:sz w:val="18"/>
                <w:szCs w:val="18"/>
              </w:rPr>
              <w:t>First</w:t>
            </w:r>
          </w:p>
          <w:p w14:paraId="424FB430" w14:textId="77777777" w:rsidR="004E477F" w:rsidRPr="001539FA" w:rsidRDefault="004E477F" w:rsidP="00D67A4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 w:val="18"/>
                <w:szCs w:val="18"/>
              </w:rPr>
            </w:pPr>
            <w:r w:rsidRPr="001539FA">
              <w:rPr>
                <w:rFonts w:ascii="Calibri" w:hAnsi="Calibri" w:cs="Calibri"/>
                <w:color w:val="FFFFFF" w:themeColor="background1"/>
                <w:sz w:val="18"/>
                <w:szCs w:val="18"/>
              </w:rPr>
              <w:t>Generation</w:t>
            </w:r>
          </w:p>
        </w:tc>
        <w:tc>
          <w:tcPr>
            <w:tcW w:w="675" w:type="dxa"/>
            <w:noWrap/>
            <w:vAlign w:val="bottom"/>
            <w:hideMark/>
          </w:tcPr>
          <w:p w14:paraId="06C07B7E"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w:t>
            </w:r>
          </w:p>
        </w:tc>
        <w:tc>
          <w:tcPr>
            <w:tcW w:w="676" w:type="dxa"/>
            <w:noWrap/>
            <w:vAlign w:val="bottom"/>
            <w:hideMark/>
          </w:tcPr>
          <w:p w14:paraId="214E5363"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UMA</w:t>
            </w:r>
          </w:p>
        </w:tc>
        <w:tc>
          <w:tcPr>
            <w:tcW w:w="675" w:type="dxa"/>
            <w:noWrap/>
            <w:vAlign w:val="bottom"/>
            <w:hideMark/>
          </w:tcPr>
          <w:p w14:paraId="54E1C2CC"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UMF</w:t>
            </w:r>
          </w:p>
        </w:tc>
        <w:tc>
          <w:tcPr>
            <w:tcW w:w="676" w:type="dxa"/>
            <w:noWrap/>
            <w:vAlign w:val="bottom"/>
            <w:hideMark/>
          </w:tcPr>
          <w:p w14:paraId="73FAF109"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UMFK</w:t>
            </w:r>
          </w:p>
        </w:tc>
        <w:tc>
          <w:tcPr>
            <w:tcW w:w="676" w:type="dxa"/>
            <w:noWrap/>
            <w:vAlign w:val="bottom"/>
            <w:hideMark/>
          </w:tcPr>
          <w:p w14:paraId="7CFDD9CE"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UMM</w:t>
            </w:r>
          </w:p>
        </w:tc>
        <w:tc>
          <w:tcPr>
            <w:tcW w:w="675" w:type="dxa"/>
            <w:noWrap/>
            <w:vAlign w:val="bottom"/>
            <w:hideMark/>
          </w:tcPr>
          <w:p w14:paraId="3199B7A3"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UMPI</w:t>
            </w:r>
          </w:p>
        </w:tc>
        <w:tc>
          <w:tcPr>
            <w:tcW w:w="676" w:type="dxa"/>
            <w:noWrap/>
            <w:vAlign w:val="bottom"/>
            <w:hideMark/>
          </w:tcPr>
          <w:p w14:paraId="7126AF2B"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USM</w:t>
            </w:r>
          </w:p>
        </w:tc>
        <w:tc>
          <w:tcPr>
            <w:tcW w:w="676" w:type="dxa"/>
            <w:noWrap/>
            <w:vAlign w:val="bottom"/>
            <w:hideMark/>
          </w:tcPr>
          <w:p w14:paraId="741B0558"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color w:val="FFFFFF" w:themeColor="background1"/>
                <w:sz w:val="18"/>
                <w:szCs w:val="18"/>
              </w:rPr>
            </w:pPr>
            <w:r w:rsidRPr="001539FA">
              <w:rPr>
                <w:rFonts w:ascii="Calibri" w:hAnsi="Calibri" w:cs="Calibri"/>
                <w:i/>
                <w:iCs/>
                <w:color w:val="FFFFFF" w:themeColor="background1"/>
                <w:sz w:val="18"/>
                <w:szCs w:val="18"/>
              </w:rPr>
              <w:t>Total</w:t>
            </w:r>
          </w:p>
        </w:tc>
      </w:tr>
      <w:tr w:rsidR="004E477F" w:rsidRPr="00855265" w14:paraId="056905DF"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4472C4"/>
              <w:bottom w:val="nil"/>
            </w:tcBorders>
            <w:vAlign w:val="center"/>
          </w:tcPr>
          <w:p w14:paraId="2DFAC298"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Starting Institution</w:t>
            </w:r>
          </w:p>
        </w:tc>
        <w:tc>
          <w:tcPr>
            <w:tcW w:w="1080" w:type="dxa"/>
            <w:tcBorders>
              <w:top w:val="single" w:sz="4" w:space="0" w:color="4472C4"/>
              <w:bottom w:val="nil"/>
            </w:tcBorders>
            <w:noWrap/>
            <w:vAlign w:val="center"/>
            <w:hideMark/>
          </w:tcPr>
          <w:p w14:paraId="080810CC"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rPr>
            </w:pPr>
            <w:r w:rsidRPr="001539FA">
              <w:rPr>
                <w:rFonts w:ascii="Calibri" w:hAnsi="Calibri" w:cs="Calibri"/>
                <w:color w:val="000000"/>
                <w:sz w:val="18"/>
                <w:szCs w:val="18"/>
              </w:rPr>
              <w:t>Yes</w:t>
            </w:r>
          </w:p>
        </w:tc>
        <w:tc>
          <w:tcPr>
            <w:tcW w:w="675" w:type="dxa"/>
            <w:tcBorders>
              <w:top w:val="single" w:sz="4" w:space="0" w:color="4472C4"/>
              <w:bottom w:val="nil"/>
            </w:tcBorders>
            <w:noWrap/>
            <w:vAlign w:val="center"/>
          </w:tcPr>
          <w:p w14:paraId="387911D7"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289</w:t>
            </w:r>
          </w:p>
        </w:tc>
        <w:tc>
          <w:tcPr>
            <w:tcW w:w="676" w:type="dxa"/>
            <w:tcBorders>
              <w:top w:val="single" w:sz="4" w:space="0" w:color="4472C4"/>
              <w:bottom w:val="nil"/>
            </w:tcBorders>
            <w:noWrap/>
            <w:vAlign w:val="center"/>
          </w:tcPr>
          <w:p w14:paraId="17AE33A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13</w:t>
            </w:r>
          </w:p>
        </w:tc>
        <w:tc>
          <w:tcPr>
            <w:tcW w:w="675" w:type="dxa"/>
            <w:tcBorders>
              <w:top w:val="single" w:sz="4" w:space="0" w:color="4472C4"/>
              <w:bottom w:val="nil"/>
            </w:tcBorders>
            <w:noWrap/>
            <w:vAlign w:val="center"/>
          </w:tcPr>
          <w:p w14:paraId="10FF8F1E"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113</w:t>
            </w:r>
          </w:p>
        </w:tc>
        <w:tc>
          <w:tcPr>
            <w:tcW w:w="676" w:type="dxa"/>
            <w:tcBorders>
              <w:top w:val="single" w:sz="4" w:space="0" w:color="4472C4"/>
              <w:bottom w:val="nil"/>
            </w:tcBorders>
            <w:noWrap/>
            <w:vAlign w:val="center"/>
          </w:tcPr>
          <w:p w14:paraId="37222D64"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22</w:t>
            </w:r>
          </w:p>
        </w:tc>
        <w:tc>
          <w:tcPr>
            <w:tcW w:w="676" w:type="dxa"/>
            <w:tcBorders>
              <w:top w:val="single" w:sz="4" w:space="0" w:color="4472C4"/>
              <w:bottom w:val="nil"/>
            </w:tcBorders>
            <w:noWrap/>
            <w:vAlign w:val="center"/>
          </w:tcPr>
          <w:p w14:paraId="353437B6"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21</w:t>
            </w:r>
          </w:p>
        </w:tc>
        <w:tc>
          <w:tcPr>
            <w:tcW w:w="675" w:type="dxa"/>
            <w:tcBorders>
              <w:top w:val="single" w:sz="4" w:space="0" w:color="4472C4"/>
              <w:bottom w:val="nil"/>
            </w:tcBorders>
            <w:noWrap/>
            <w:vAlign w:val="center"/>
          </w:tcPr>
          <w:p w14:paraId="2F4A078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27</w:t>
            </w:r>
          </w:p>
        </w:tc>
        <w:tc>
          <w:tcPr>
            <w:tcW w:w="676" w:type="dxa"/>
            <w:tcBorders>
              <w:top w:val="single" w:sz="4" w:space="0" w:color="4472C4"/>
              <w:bottom w:val="nil"/>
            </w:tcBorders>
            <w:noWrap/>
            <w:vAlign w:val="center"/>
          </w:tcPr>
          <w:p w14:paraId="46107C2C"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114</w:t>
            </w:r>
          </w:p>
        </w:tc>
        <w:tc>
          <w:tcPr>
            <w:tcW w:w="676" w:type="dxa"/>
            <w:tcBorders>
              <w:top w:val="single" w:sz="4" w:space="0" w:color="4472C4"/>
              <w:bottom w:val="nil"/>
            </w:tcBorders>
            <w:noWrap/>
            <w:vAlign w:val="center"/>
          </w:tcPr>
          <w:p w14:paraId="0178768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i/>
                <w:iCs/>
                <w:color w:val="000000"/>
                <w:sz w:val="18"/>
                <w:szCs w:val="18"/>
              </w:rPr>
              <w:t>599</w:t>
            </w:r>
          </w:p>
        </w:tc>
      </w:tr>
      <w:tr w:rsidR="004E477F" w:rsidRPr="00855265" w14:paraId="71393604"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2912FF26"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Starting Institution</w:t>
            </w:r>
          </w:p>
        </w:tc>
        <w:tc>
          <w:tcPr>
            <w:tcW w:w="1080" w:type="dxa"/>
            <w:tcBorders>
              <w:top w:val="nil"/>
              <w:bottom w:val="nil"/>
            </w:tcBorders>
            <w:noWrap/>
            <w:vAlign w:val="center"/>
            <w:hideMark/>
          </w:tcPr>
          <w:p w14:paraId="58D3308C"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38FA604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885</w:t>
            </w:r>
          </w:p>
        </w:tc>
        <w:tc>
          <w:tcPr>
            <w:tcW w:w="676" w:type="dxa"/>
            <w:tcBorders>
              <w:top w:val="nil"/>
              <w:bottom w:val="nil"/>
            </w:tcBorders>
            <w:noWrap/>
            <w:vAlign w:val="center"/>
          </w:tcPr>
          <w:p w14:paraId="784D990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20</w:t>
            </w:r>
          </w:p>
        </w:tc>
        <w:tc>
          <w:tcPr>
            <w:tcW w:w="675" w:type="dxa"/>
            <w:tcBorders>
              <w:top w:val="nil"/>
              <w:bottom w:val="nil"/>
            </w:tcBorders>
            <w:noWrap/>
            <w:vAlign w:val="center"/>
          </w:tcPr>
          <w:p w14:paraId="53F3A13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135</w:t>
            </w:r>
          </w:p>
        </w:tc>
        <w:tc>
          <w:tcPr>
            <w:tcW w:w="676" w:type="dxa"/>
            <w:tcBorders>
              <w:top w:val="nil"/>
              <w:bottom w:val="nil"/>
            </w:tcBorders>
            <w:noWrap/>
            <w:vAlign w:val="center"/>
          </w:tcPr>
          <w:p w14:paraId="447BA8F2"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21</w:t>
            </w:r>
          </w:p>
        </w:tc>
        <w:tc>
          <w:tcPr>
            <w:tcW w:w="676" w:type="dxa"/>
            <w:tcBorders>
              <w:top w:val="nil"/>
              <w:bottom w:val="nil"/>
            </w:tcBorders>
            <w:noWrap/>
            <w:vAlign w:val="center"/>
          </w:tcPr>
          <w:p w14:paraId="570D251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7</w:t>
            </w:r>
          </w:p>
        </w:tc>
        <w:tc>
          <w:tcPr>
            <w:tcW w:w="675" w:type="dxa"/>
            <w:tcBorders>
              <w:top w:val="nil"/>
              <w:bottom w:val="nil"/>
            </w:tcBorders>
            <w:noWrap/>
            <w:vAlign w:val="center"/>
          </w:tcPr>
          <w:p w14:paraId="2E544FF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38</w:t>
            </w:r>
          </w:p>
        </w:tc>
        <w:tc>
          <w:tcPr>
            <w:tcW w:w="676" w:type="dxa"/>
            <w:tcBorders>
              <w:top w:val="nil"/>
              <w:bottom w:val="nil"/>
            </w:tcBorders>
            <w:noWrap/>
            <w:vAlign w:val="center"/>
          </w:tcPr>
          <w:p w14:paraId="738BF56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114</w:t>
            </w:r>
          </w:p>
        </w:tc>
        <w:tc>
          <w:tcPr>
            <w:tcW w:w="676" w:type="dxa"/>
            <w:tcBorders>
              <w:top w:val="nil"/>
              <w:bottom w:val="nil"/>
            </w:tcBorders>
            <w:noWrap/>
            <w:vAlign w:val="center"/>
          </w:tcPr>
          <w:p w14:paraId="5B51EE8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i/>
                <w:iCs/>
                <w:color w:val="000000"/>
                <w:sz w:val="18"/>
                <w:szCs w:val="18"/>
              </w:rPr>
              <w:t>1,220</w:t>
            </w:r>
          </w:p>
        </w:tc>
      </w:tr>
      <w:tr w:rsidR="004E477F" w:rsidRPr="00855265" w14:paraId="571D50E8"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3ADA2A65" w14:textId="77777777" w:rsidR="004E477F" w:rsidRPr="001539FA" w:rsidRDefault="004E477F" w:rsidP="00D67A46">
            <w:pPr>
              <w:rPr>
                <w:rFonts w:ascii="Calibri" w:hAnsi="Calibri" w:cs="Calibri"/>
                <w:i/>
                <w:iCs/>
                <w:color w:val="000000"/>
                <w:sz w:val="18"/>
                <w:szCs w:val="18"/>
              </w:rPr>
            </w:pPr>
            <w:r w:rsidRPr="001539FA">
              <w:rPr>
                <w:rFonts w:ascii="Calibri" w:hAnsi="Calibri" w:cs="Calibri"/>
                <w:color w:val="000000"/>
                <w:sz w:val="18"/>
                <w:szCs w:val="18"/>
              </w:rPr>
              <w:t>Graduated from Starting Institution</w:t>
            </w:r>
          </w:p>
        </w:tc>
        <w:tc>
          <w:tcPr>
            <w:tcW w:w="1080" w:type="dxa"/>
            <w:tcBorders>
              <w:top w:val="nil"/>
              <w:bottom w:val="single" w:sz="4" w:space="0" w:color="auto"/>
            </w:tcBorders>
            <w:noWrap/>
            <w:vAlign w:val="center"/>
            <w:hideMark/>
          </w:tcPr>
          <w:p w14:paraId="5E9930BE"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35EFD0E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1,174</w:t>
            </w:r>
          </w:p>
        </w:tc>
        <w:tc>
          <w:tcPr>
            <w:tcW w:w="676" w:type="dxa"/>
            <w:tcBorders>
              <w:top w:val="nil"/>
              <w:bottom w:val="single" w:sz="4" w:space="0" w:color="auto"/>
            </w:tcBorders>
            <w:noWrap/>
            <w:vAlign w:val="center"/>
          </w:tcPr>
          <w:p w14:paraId="4C2CF1C6"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33</w:t>
            </w:r>
          </w:p>
        </w:tc>
        <w:tc>
          <w:tcPr>
            <w:tcW w:w="675" w:type="dxa"/>
            <w:tcBorders>
              <w:top w:val="nil"/>
              <w:bottom w:val="single" w:sz="4" w:space="0" w:color="auto"/>
            </w:tcBorders>
            <w:noWrap/>
            <w:vAlign w:val="center"/>
          </w:tcPr>
          <w:p w14:paraId="73440EF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248</w:t>
            </w:r>
          </w:p>
        </w:tc>
        <w:tc>
          <w:tcPr>
            <w:tcW w:w="676" w:type="dxa"/>
            <w:tcBorders>
              <w:top w:val="nil"/>
              <w:bottom w:val="single" w:sz="4" w:space="0" w:color="auto"/>
            </w:tcBorders>
            <w:noWrap/>
            <w:vAlign w:val="center"/>
          </w:tcPr>
          <w:p w14:paraId="14FE47D6"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43</w:t>
            </w:r>
          </w:p>
        </w:tc>
        <w:tc>
          <w:tcPr>
            <w:tcW w:w="676" w:type="dxa"/>
            <w:tcBorders>
              <w:top w:val="nil"/>
              <w:bottom w:val="single" w:sz="4" w:space="0" w:color="auto"/>
            </w:tcBorders>
            <w:noWrap/>
            <w:vAlign w:val="center"/>
          </w:tcPr>
          <w:p w14:paraId="7A16A23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28</w:t>
            </w:r>
          </w:p>
        </w:tc>
        <w:tc>
          <w:tcPr>
            <w:tcW w:w="675" w:type="dxa"/>
            <w:tcBorders>
              <w:top w:val="nil"/>
              <w:bottom w:val="single" w:sz="4" w:space="0" w:color="auto"/>
            </w:tcBorders>
            <w:noWrap/>
            <w:vAlign w:val="center"/>
          </w:tcPr>
          <w:p w14:paraId="515966F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65</w:t>
            </w:r>
          </w:p>
        </w:tc>
        <w:tc>
          <w:tcPr>
            <w:tcW w:w="676" w:type="dxa"/>
            <w:tcBorders>
              <w:top w:val="nil"/>
              <w:bottom w:val="single" w:sz="4" w:space="0" w:color="auto"/>
            </w:tcBorders>
            <w:noWrap/>
            <w:vAlign w:val="center"/>
          </w:tcPr>
          <w:p w14:paraId="6DD066C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228</w:t>
            </w:r>
          </w:p>
        </w:tc>
        <w:tc>
          <w:tcPr>
            <w:tcW w:w="676" w:type="dxa"/>
            <w:tcBorders>
              <w:top w:val="nil"/>
              <w:bottom w:val="single" w:sz="4" w:space="0" w:color="auto"/>
            </w:tcBorders>
            <w:noWrap/>
            <w:vAlign w:val="center"/>
          </w:tcPr>
          <w:p w14:paraId="6F02BD19"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i/>
                <w:iCs/>
                <w:color w:val="000000"/>
                <w:sz w:val="18"/>
                <w:szCs w:val="18"/>
              </w:rPr>
              <w:t>1,819</w:t>
            </w:r>
          </w:p>
        </w:tc>
      </w:tr>
      <w:tr w:rsidR="004E477F" w:rsidRPr="00855265" w14:paraId="00DFFEED"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1AB5B29E"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Other Institution</w:t>
            </w:r>
          </w:p>
        </w:tc>
        <w:tc>
          <w:tcPr>
            <w:tcW w:w="1080" w:type="dxa"/>
            <w:tcBorders>
              <w:top w:val="single" w:sz="4" w:space="0" w:color="auto"/>
              <w:bottom w:val="nil"/>
            </w:tcBorders>
            <w:noWrap/>
            <w:vAlign w:val="center"/>
          </w:tcPr>
          <w:p w14:paraId="4792252D"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4CA8F7A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74</w:t>
            </w:r>
          </w:p>
        </w:tc>
        <w:tc>
          <w:tcPr>
            <w:tcW w:w="676" w:type="dxa"/>
            <w:tcBorders>
              <w:top w:val="single" w:sz="4" w:space="0" w:color="auto"/>
              <w:bottom w:val="nil"/>
            </w:tcBorders>
            <w:noWrap/>
            <w:vAlign w:val="center"/>
          </w:tcPr>
          <w:p w14:paraId="0931A66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9</w:t>
            </w:r>
          </w:p>
        </w:tc>
        <w:tc>
          <w:tcPr>
            <w:tcW w:w="675" w:type="dxa"/>
            <w:tcBorders>
              <w:top w:val="single" w:sz="4" w:space="0" w:color="auto"/>
              <w:bottom w:val="nil"/>
            </w:tcBorders>
            <w:noWrap/>
            <w:vAlign w:val="center"/>
          </w:tcPr>
          <w:p w14:paraId="50C86925"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20</w:t>
            </w:r>
          </w:p>
        </w:tc>
        <w:tc>
          <w:tcPr>
            <w:tcW w:w="676" w:type="dxa"/>
            <w:tcBorders>
              <w:top w:val="single" w:sz="4" w:space="0" w:color="auto"/>
              <w:bottom w:val="nil"/>
            </w:tcBorders>
            <w:noWrap/>
            <w:vAlign w:val="center"/>
          </w:tcPr>
          <w:p w14:paraId="33769A1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w:t>
            </w:r>
          </w:p>
        </w:tc>
        <w:tc>
          <w:tcPr>
            <w:tcW w:w="676" w:type="dxa"/>
            <w:tcBorders>
              <w:top w:val="single" w:sz="4" w:space="0" w:color="auto"/>
              <w:bottom w:val="nil"/>
            </w:tcBorders>
            <w:noWrap/>
            <w:vAlign w:val="center"/>
          </w:tcPr>
          <w:p w14:paraId="6802428A"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w:t>
            </w:r>
          </w:p>
        </w:tc>
        <w:tc>
          <w:tcPr>
            <w:tcW w:w="675" w:type="dxa"/>
            <w:tcBorders>
              <w:top w:val="single" w:sz="4" w:space="0" w:color="auto"/>
              <w:bottom w:val="nil"/>
            </w:tcBorders>
            <w:noWrap/>
            <w:vAlign w:val="center"/>
          </w:tcPr>
          <w:p w14:paraId="39BF8E5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16</w:t>
            </w:r>
          </w:p>
        </w:tc>
        <w:tc>
          <w:tcPr>
            <w:tcW w:w="676" w:type="dxa"/>
            <w:tcBorders>
              <w:top w:val="single" w:sz="4" w:space="0" w:color="auto"/>
              <w:bottom w:val="nil"/>
            </w:tcBorders>
            <w:noWrap/>
            <w:vAlign w:val="center"/>
          </w:tcPr>
          <w:p w14:paraId="04C449C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44</w:t>
            </w:r>
          </w:p>
        </w:tc>
        <w:tc>
          <w:tcPr>
            <w:tcW w:w="676" w:type="dxa"/>
            <w:tcBorders>
              <w:top w:val="single" w:sz="4" w:space="0" w:color="auto"/>
              <w:bottom w:val="nil"/>
            </w:tcBorders>
            <w:noWrap/>
            <w:vAlign w:val="center"/>
          </w:tcPr>
          <w:p w14:paraId="794FAE55"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171</w:t>
            </w:r>
          </w:p>
        </w:tc>
      </w:tr>
      <w:tr w:rsidR="004E477F" w:rsidRPr="00855265" w14:paraId="228C6BD9"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2C4369F2"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Other Institution</w:t>
            </w:r>
          </w:p>
        </w:tc>
        <w:tc>
          <w:tcPr>
            <w:tcW w:w="1080" w:type="dxa"/>
            <w:tcBorders>
              <w:top w:val="nil"/>
              <w:bottom w:val="nil"/>
            </w:tcBorders>
            <w:noWrap/>
            <w:vAlign w:val="center"/>
          </w:tcPr>
          <w:p w14:paraId="314423F6"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1E24587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173</w:t>
            </w:r>
          </w:p>
        </w:tc>
        <w:tc>
          <w:tcPr>
            <w:tcW w:w="676" w:type="dxa"/>
            <w:tcBorders>
              <w:top w:val="nil"/>
              <w:bottom w:val="nil"/>
            </w:tcBorders>
            <w:noWrap/>
            <w:vAlign w:val="center"/>
          </w:tcPr>
          <w:p w14:paraId="7361AE7E"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13</w:t>
            </w:r>
          </w:p>
        </w:tc>
        <w:tc>
          <w:tcPr>
            <w:tcW w:w="675" w:type="dxa"/>
            <w:tcBorders>
              <w:top w:val="nil"/>
              <w:bottom w:val="nil"/>
            </w:tcBorders>
            <w:noWrap/>
            <w:vAlign w:val="center"/>
          </w:tcPr>
          <w:p w14:paraId="05700C4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25</w:t>
            </w:r>
          </w:p>
        </w:tc>
        <w:tc>
          <w:tcPr>
            <w:tcW w:w="676" w:type="dxa"/>
            <w:tcBorders>
              <w:top w:val="nil"/>
              <w:bottom w:val="nil"/>
            </w:tcBorders>
            <w:noWrap/>
            <w:vAlign w:val="center"/>
          </w:tcPr>
          <w:p w14:paraId="3692C7D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w:t>
            </w:r>
          </w:p>
        </w:tc>
        <w:tc>
          <w:tcPr>
            <w:tcW w:w="676" w:type="dxa"/>
            <w:tcBorders>
              <w:top w:val="nil"/>
              <w:bottom w:val="nil"/>
            </w:tcBorders>
            <w:noWrap/>
            <w:vAlign w:val="center"/>
          </w:tcPr>
          <w:p w14:paraId="38098615"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w:t>
            </w:r>
          </w:p>
        </w:tc>
        <w:tc>
          <w:tcPr>
            <w:tcW w:w="675" w:type="dxa"/>
            <w:tcBorders>
              <w:top w:val="nil"/>
              <w:bottom w:val="nil"/>
            </w:tcBorders>
            <w:noWrap/>
            <w:vAlign w:val="center"/>
          </w:tcPr>
          <w:p w14:paraId="60699A96"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9</w:t>
            </w:r>
          </w:p>
        </w:tc>
        <w:tc>
          <w:tcPr>
            <w:tcW w:w="676" w:type="dxa"/>
            <w:tcBorders>
              <w:top w:val="nil"/>
              <w:bottom w:val="nil"/>
            </w:tcBorders>
            <w:noWrap/>
            <w:vAlign w:val="center"/>
          </w:tcPr>
          <w:p w14:paraId="4E5C46DB"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33</w:t>
            </w:r>
          </w:p>
        </w:tc>
        <w:tc>
          <w:tcPr>
            <w:tcW w:w="676" w:type="dxa"/>
            <w:tcBorders>
              <w:top w:val="nil"/>
              <w:bottom w:val="nil"/>
            </w:tcBorders>
            <w:noWrap/>
            <w:vAlign w:val="center"/>
          </w:tcPr>
          <w:p w14:paraId="45171BA5"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255</w:t>
            </w:r>
          </w:p>
        </w:tc>
      </w:tr>
      <w:tr w:rsidR="004E477F" w:rsidRPr="00855265" w14:paraId="0C425490"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001234AF"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t>Graduated from Other Institution</w:t>
            </w:r>
          </w:p>
        </w:tc>
        <w:tc>
          <w:tcPr>
            <w:tcW w:w="1080" w:type="dxa"/>
            <w:tcBorders>
              <w:top w:val="nil"/>
              <w:bottom w:val="single" w:sz="4" w:space="0" w:color="auto"/>
            </w:tcBorders>
            <w:noWrap/>
            <w:vAlign w:val="center"/>
          </w:tcPr>
          <w:p w14:paraId="557BD0AD"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0A01520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247</w:t>
            </w:r>
          </w:p>
        </w:tc>
        <w:tc>
          <w:tcPr>
            <w:tcW w:w="676" w:type="dxa"/>
            <w:tcBorders>
              <w:top w:val="nil"/>
              <w:bottom w:val="single" w:sz="4" w:space="0" w:color="auto"/>
            </w:tcBorders>
            <w:noWrap/>
            <w:vAlign w:val="center"/>
          </w:tcPr>
          <w:p w14:paraId="6FB5454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22</w:t>
            </w:r>
          </w:p>
        </w:tc>
        <w:tc>
          <w:tcPr>
            <w:tcW w:w="675" w:type="dxa"/>
            <w:tcBorders>
              <w:top w:val="nil"/>
              <w:bottom w:val="single" w:sz="4" w:space="0" w:color="auto"/>
            </w:tcBorders>
            <w:noWrap/>
            <w:vAlign w:val="center"/>
          </w:tcPr>
          <w:p w14:paraId="182F104E"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45</w:t>
            </w:r>
          </w:p>
        </w:tc>
        <w:tc>
          <w:tcPr>
            <w:tcW w:w="676" w:type="dxa"/>
            <w:tcBorders>
              <w:top w:val="nil"/>
              <w:bottom w:val="single" w:sz="4" w:space="0" w:color="auto"/>
            </w:tcBorders>
            <w:noWrap/>
            <w:vAlign w:val="center"/>
          </w:tcPr>
          <w:p w14:paraId="609148A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6</w:t>
            </w:r>
          </w:p>
        </w:tc>
        <w:tc>
          <w:tcPr>
            <w:tcW w:w="676" w:type="dxa"/>
            <w:tcBorders>
              <w:top w:val="nil"/>
              <w:bottom w:val="single" w:sz="4" w:space="0" w:color="auto"/>
            </w:tcBorders>
            <w:noWrap/>
            <w:vAlign w:val="center"/>
          </w:tcPr>
          <w:p w14:paraId="409CA048"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w:t>
            </w:r>
          </w:p>
        </w:tc>
        <w:tc>
          <w:tcPr>
            <w:tcW w:w="675" w:type="dxa"/>
            <w:tcBorders>
              <w:top w:val="nil"/>
              <w:bottom w:val="single" w:sz="4" w:space="0" w:color="auto"/>
            </w:tcBorders>
            <w:noWrap/>
            <w:vAlign w:val="center"/>
          </w:tcPr>
          <w:p w14:paraId="53BDC8CA"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25</w:t>
            </w:r>
          </w:p>
        </w:tc>
        <w:tc>
          <w:tcPr>
            <w:tcW w:w="676" w:type="dxa"/>
            <w:tcBorders>
              <w:top w:val="nil"/>
              <w:bottom w:val="single" w:sz="4" w:space="0" w:color="auto"/>
            </w:tcBorders>
            <w:noWrap/>
            <w:vAlign w:val="center"/>
          </w:tcPr>
          <w:p w14:paraId="32CCD708"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77</w:t>
            </w:r>
          </w:p>
        </w:tc>
        <w:tc>
          <w:tcPr>
            <w:tcW w:w="676" w:type="dxa"/>
            <w:tcBorders>
              <w:top w:val="nil"/>
              <w:bottom w:val="single" w:sz="4" w:space="0" w:color="auto"/>
            </w:tcBorders>
            <w:noWrap/>
            <w:vAlign w:val="center"/>
          </w:tcPr>
          <w:p w14:paraId="77622C1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426</w:t>
            </w:r>
          </w:p>
        </w:tc>
      </w:tr>
      <w:tr w:rsidR="004E477F" w:rsidRPr="00855265" w14:paraId="057D61CD"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67B2C27F"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Starting Institution</w:t>
            </w:r>
          </w:p>
        </w:tc>
        <w:tc>
          <w:tcPr>
            <w:tcW w:w="1080" w:type="dxa"/>
            <w:tcBorders>
              <w:top w:val="single" w:sz="4" w:space="0" w:color="auto"/>
              <w:bottom w:val="nil"/>
            </w:tcBorders>
            <w:noWrap/>
            <w:vAlign w:val="center"/>
          </w:tcPr>
          <w:p w14:paraId="4FDC6617"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5545660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19</w:t>
            </w:r>
          </w:p>
        </w:tc>
        <w:tc>
          <w:tcPr>
            <w:tcW w:w="676" w:type="dxa"/>
            <w:tcBorders>
              <w:top w:val="single" w:sz="4" w:space="0" w:color="auto"/>
              <w:bottom w:val="nil"/>
            </w:tcBorders>
            <w:noWrap/>
            <w:vAlign w:val="center"/>
          </w:tcPr>
          <w:p w14:paraId="62682D67"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9</w:t>
            </w:r>
          </w:p>
        </w:tc>
        <w:tc>
          <w:tcPr>
            <w:tcW w:w="675" w:type="dxa"/>
            <w:tcBorders>
              <w:top w:val="single" w:sz="4" w:space="0" w:color="auto"/>
              <w:bottom w:val="nil"/>
            </w:tcBorders>
            <w:noWrap/>
            <w:vAlign w:val="center"/>
          </w:tcPr>
          <w:p w14:paraId="51A2A2DB"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w:t>
            </w:r>
          </w:p>
        </w:tc>
        <w:tc>
          <w:tcPr>
            <w:tcW w:w="676" w:type="dxa"/>
            <w:tcBorders>
              <w:top w:val="single" w:sz="4" w:space="0" w:color="auto"/>
              <w:bottom w:val="nil"/>
            </w:tcBorders>
            <w:noWrap/>
            <w:vAlign w:val="center"/>
          </w:tcPr>
          <w:p w14:paraId="674E8E9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w:t>
            </w:r>
          </w:p>
        </w:tc>
        <w:tc>
          <w:tcPr>
            <w:tcW w:w="676" w:type="dxa"/>
            <w:tcBorders>
              <w:top w:val="single" w:sz="4" w:space="0" w:color="auto"/>
              <w:bottom w:val="nil"/>
            </w:tcBorders>
            <w:noWrap/>
            <w:vAlign w:val="center"/>
          </w:tcPr>
          <w:p w14:paraId="4BC1FBD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w:t>
            </w:r>
          </w:p>
        </w:tc>
        <w:tc>
          <w:tcPr>
            <w:tcW w:w="675" w:type="dxa"/>
            <w:tcBorders>
              <w:top w:val="single" w:sz="4" w:space="0" w:color="auto"/>
              <w:bottom w:val="nil"/>
            </w:tcBorders>
            <w:noWrap/>
            <w:vAlign w:val="center"/>
          </w:tcPr>
          <w:p w14:paraId="6BE6788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w:t>
            </w:r>
          </w:p>
        </w:tc>
        <w:tc>
          <w:tcPr>
            <w:tcW w:w="676" w:type="dxa"/>
            <w:tcBorders>
              <w:top w:val="single" w:sz="4" w:space="0" w:color="auto"/>
              <w:bottom w:val="nil"/>
            </w:tcBorders>
            <w:noWrap/>
            <w:vAlign w:val="center"/>
          </w:tcPr>
          <w:p w14:paraId="03AA0F89"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21</w:t>
            </w:r>
          </w:p>
        </w:tc>
        <w:tc>
          <w:tcPr>
            <w:tcW w:w="676" w:type="dxa"/>
            <w:tcBorders>
              <w:top w:val="single" w:sz="4" w:space="0" w:color="auto"/>
              <w:bottom w:val="nil"/>
            </w:tcBorders>
            <w:noWrap/>
            <w:vAlign w:val="center"/>
          </w:tcPr>
          <w:p w14:paraId="2E22BB6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60</w:t>
            </w:r>
          </w:p>
        </w:tc>
      </w:tr>
      <w:tr w:rsidR="004E477F" w:rsidRPr="00855265" w14:paraId="29E0D9C4"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361DAC19"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Starting Institution</w:t>
            </w:r>
          </w:p>
        </w:tc>
        <w:tc>
          <w:tcPr>
            <w:tcW w:w="1080" w:type="dxa"/>
            <w:tcBorders>
              <w:top w:val="nil"/>
              <w:bottom w:val="nil"/>
            </w:tcBorders>
            <w:noWrap/>
            <w:vAlign w:val="center"/>
          </w:tcPr>
          <w:p w14:paraId="2B5FFE85"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1CB3FA1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36</w:t>
            </w:r>
          </w:p>
        </w:tc>
        <w:tc>
          <w:tcPr>
            <w:tcW w:w="676" w:type="dxa"/>
            <w:tcBorders>
              <w:top w:val="nil"/>
              <w:bottom w:val="nil"/>
            </w:tcBorders>
            <w:noWrap/>
            <w:vAlign w:val="center"/>
          </w:tcPr>
          <w:p w14:paraId="3F8D88DD"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w:t>
            </w:r>
          </w:p>
        </w:tc>
        <w:tc>
          <w:tcPr>
            <w:tcW w:w="675" w:type="dxa"/>
            <w:tcBorders>
              <w:top w:val="nil"/>
              <w:bottom w:val="nil"/>
            </w:tcBorders>
            <w:noWrap/>
            <w:vAlign w:val="center"/>
          </w:tcPr>
          <w:p w14:paraId="33C85795"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w:t>
            </w:r>
          </w:p>
        </w:tc>
        <w:tc>
          <w:tcPr>
            <w:tcW w:w="676" w:type="dxa"/>
            <w:tcBorders>
              <w:top w:val="nil"/>
              <w:bottom w:val="nil"/>
            </w:tcBorders>
            <w:noWrap/>
            <w:vAlign w:val="center"/>
          </w:tcPr>
          <w:p w14:paraId="27D4CC0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p>
        </w:tc>
        <w:tc>
          <w:tcPr>
            <w:tcW w:w="676" w:type="dxa"/>
            <w:tcBorders>
              <w:top w:val="nil"/>
              <w:bottom w:val="nil"/>
            </w:tcBorders>
            <w:noWrap/>
            <w:vAlign w:val="center"/>
          </w:tcPr>
          <w:p w14:paraId="29A47E7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p>
        </w:tc>
        <w:tc>
          <w:tcPr>
            <w:tcW w:w="675" w:type="dxa"/>
            <w:tcBorders>
              <w:top w:val="nil"/>
              <w:bottom w:val="nil"/>
            </w:tcBorders>
            <w:noWrap/>
            <w:vAlign w:val="center"/>
          </w:tcPr>
          <w:p w14:paraId="2694651D"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w:t>
            </w:r>
          </w:p>
        </w:tc>
        <w:tc>
          <w:tcPr>
            <w:tcW w:w="676" w:type="dxa"/>
            <w:tcBorders>
              <w:top w:val="nil"/>
              <w:bottom w:val="nil"/>
            </w:tcBorders>
            <w:noWrap/>
            <w:vAlign w:val="center"/>
          </w:tcPr>
          <w:p w14:paraId="25F7C0C2"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15</w:t>
            </w:r>
          </w:p>
        </w:tc>
        <w:tc>
          <w:tcPr>
            <w:tcW w:w="676" w:type="dxa"/>
            <w:tcBorders>
              <w:top w:val="nil"/>
              <w:bottom w:val="nil"/>
            </w:tcBorders>
            <w:noWrap/>
            <w:vAlign w:val="center"/>
          </w:tcPr>
          <w:p w14:paraId="2CAAA74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61</w:t>
            </w:r>
          </w:p>
        </w:tc>
      </w:tr>
      <w:tr w:rsidR="004E477F" w:rsidRPr="00855265" w14:paraId="21EAF235"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320EEECC"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t>Enrolled at Starting Institution</w:t>
            </w:r>
          </w:p>
        </w:tc>
        <w:tc>
          <w:tcPr>
            <w:tcW w:w="1080" w:type="dxa"/>
            <w:tcBorders>
              <w:top w:val="nil"/>
              <w:bottom w:val="single" w:sz="4" w:space="0" w:color="auto"/>
            </w:tcBorders>
            <w:noWrap/>
            <w:vAlign w:val="center"/>
          </w:tcPr>
          <w:p w14:paraId="01EBE39A"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5187361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55</w:t>
            </w:r>
          </w:p>
        </w:tc>
        <w:tc>
          <w:tcPr>
            <w:tcW w:w="676" w:type="dxa"/>
            <w:tcBorders>
              <w:top w:val="nil"/>
              <w:bottom w:val="single" w:sz="4" w:space="0" w:color="auto"/>
            </w:tcBorders>
            <w:noWrap/>
            <w:vAlign w:val="center"/>
          </w:tcPr>
          <w:p w14:paraId="4B33754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15</w:t>
            </w:r>
          </w:p>
        </w:tc>
        <w:tc>
          <w:tcPr>
            <w:tcW w:w="675" w:type="dxa"/>
            <w:tcBorders>
              <w:top w:val="nil"/>
              <w:bottom w:val="single" w:sz="4" w:space="0" w:color="auto"/>
            </w:tcBorders>
            <w:noWrap/>
            <w:vAlign w:val="center"/>
          </w:tcPr>
          <w:p w14:paraId="102678D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6</w:t>
            </w:r>
          </w:p>
        </w:tc>
        <w:tc>
          <w:tcPr>
            <w:tcW w:w="676" w:type="dxa"/>
            <w:tcBorders>
              <w:top w:val="nil"/>
              <w:bottom w:val="single" w:sz="4" w:space="0" w:color="auto"/>
            </w:tcBorders>
            <w:noWrap/>
            <w:vAlign w:val="center"/>
          </w:tcPr>
          <w:p w14:paraId="2EF5858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w:t>
            </w:r>
          </w:p>
        </w:tc>
        <w:tc>
          <w:tcPr>
            <w:tcW w:w="676" w:type="dxa"/>
            <w:tcBorders>
              <w:top w:val="nil"/>
              <w:bottom w:val="single" w:sz="4" w:space="0" w:color="auto"/>
            </w:tcBorders>
            <w:noWrap/>
            <w:vAlign w:val="center"/>
          </w:tcPr>
          <w:p w14:paraId="1C0F5359"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3</w:t>
            </w:r>
          </w:p>
        </w:tc>
        <w:tc>
          <w:tcPr>
            <w:tcW w:w="675" w:type="dxa"/>
            <w:tcBorders>
              <w:top w:val="nil"/>
              <w:bottom w:val="single" w:sz="4" w:space="0" w:color="auto"/>
            </w:tcBorders>
            <w:noWrap/>
            <w:vAlign w:val="center"/>
          </w:tcPr>
          <w:p w14:paraId="12FD3AA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w:t>
            </w:r>
          </w:p>
        </w:tc>
        <w:tc>
          <w:tcPr>
            <w:tcW w:w="676" w:type="dxa"/>
            <w:tcBorders>
              <w:top w:val="nil"/>
              <w:bottom w:val="single" w:sz="4" w:space="0" w:color="auto"/>
            </w:tcBorders>
            <w:noWrap/>
            <w:vAlign w:val="center"/>
          </w:tcPr>
          <w:p w14:paraId="17BED5E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36</w:t>
            </w:r>
          </w:p>
        </w:tc>
        <w:tc>
          <w:tcPr>
            <w:tcW w:w="676" w:type="dxa"/>
            <w:tcBorders>
              <w:top w:val="nil"/>
              <w:bottom w:val="single" w:sz="4" w:space="0" w:color="auto"/>
            </w:tcBorders>
            <w:noWrap/>
            <w:vAlign w:val="center"/>
          </w:tcPr>
          <w:p w14:paraId="0F21E215"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121</w:t>
            </w:r>
          </w:p>
        </w:tc>
      </w:tr>
      <w:tr w:rsidR="004E477F" w:rsidRPr="00855265" w14:paraId="1730DC19"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4D5AA608"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Other Institution</w:t>
            </w:r>
          </w:p>
        </w:tc>
        <w:tc>
          <w:tcPr>
            <w:tcW w:w="1080" w:type="dxa"/>
            <w:tcBorders>
              <w:top w:val="single" w:sz="4" w:space="0" w:color="auto"/>
              <w:bottom w:val="nil"/>
            </w:tcBorders>
            <w:noWrap/>
            <w:vAlign w:val="center"/>
          </w:tcPr>
          <w:p w14:paraId="29A06563"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095E50B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36</w:t>
            </w:r>
          </w:p>
        </w:tc>
        <w:tc>
          <w:tcPr>
            <w:tcW w:w="676" w:type="dxa"/>
            <w:tcBorders>
              <w:top w:val="single" w:sz="4" w:space="0" w:color="auto"/>
              <w:bottom w:val="nil"/>
            </w:tcBorders>
            <w:noWrap/>
            <w:vAlign w:val="center"/>
          </w:tcPr>
          <w:p w14:paraId="024A8C5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8</w:t>
            </w:r>
          </w:p>
        </w:tc>
        <w:tc>
          <w:tcPr>
            <w:tcW w:w="675" w:type="dxa"/>
            <w:tcBorders>
              <w:top w:val="single" w:sz="4" w:space="0" w:color="auto"/>
              <w:bottom w:val="nil"/>
            </w:tcBorders>
            <w:noWrap/>
            <w:vAlign w:val="center"/>
          </w:tcPr>
          <w:p w14:paraId="00F5B62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15</w:t>
            </w:r>
          </w:p>
        </w:tc>
        <w:tc>
          <w:tcPr>
            <w:tcW w:w="676" w:type="dxa"/>
            <w:tcBorders>
              <w:top w:val="single" w:sz="4" w:space="0" w:color="auto"/>
              <w:bottom w:val="nil"/>
            </w:tcBorders>
            <w:noWrap/>
            <w:vAlign w:val="center"/>
          </w:tcPr>
          <w:p w14:paraId="6D58B40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w:t>
            </w:r>
          </w:p>
        </w:tc>
        <w:tc>
          <w:tcPr>
            <w:tcW w:w="676" w:type="dxa"/>
            <w:tcBorders>
              <w:top w:val="single" w:sz="4" w:space="0" w:color="auto"/>
              <w:bottom w:val="nil"/>
            </w:tcBorders>
            <w:noWrap/>
            <w:vAlign w:val="center"/>
          </w:tcPr>
          <w:p w14:paraId="7EFF6F89"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w:t>
            </w:r>
          </w:p>
        </w:tc>
        <w:tc>
          <w:tcPr>
            <w:tcW w:w="675" w:type="dxa"/>
            <w:tcBorders>
              <w:top w:val="single" w:sz="4" w:space="0" w:color="auto"/>
              <w:bottom w:val="nil"/>
            </w:tcBorders>
            <w:noWrap/>
            <w:vAlign w:val="center"/>
          </w:tcPr>
          <w:p w14:paraId="2866E9A9"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w:t>
            </w:r>
          </w:p>
        </w:tc>
        <w:tc>
          <w:tcPr>
            <w:tcW w:w="676" w:type="dxa"/>
            <w:tcBorders>
              <w:top w:val="single" w:sz="4" w:space="0" w:color="auto"/>
              <w:bottom w:val="nil"/>
            </w:tcBorders>
            <w:noWrap/>
            <w:vAlign w:val="center"/>
          </w:tcPr>
          <w:p w14:paraId="0F1EBAD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21</w:t>
            </w:r>
          </w:p>
        </w:tc>
        <w:tc>
          <w:tcPr>
            <w:tcW w:w="676" w:type="dxa"/>
            <w:tcBorders>
              <w:top w:val="single" w:sz="4" w:space="0" w:color="auto"/>
              <w:bottom w:val="nil"/>
            </w:tcBorders>
            <w:noWrap/>
            <w:vAlign w:val="center"/>
          </w:tcPr>
          <w:p w14:paraId="28F341D2"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90</w:t>
            </w:r>
          </w:p>
        </w:tc>
      </w:tr>
      <w:tr w:rsidR="004E477F" w:rsidRPr="00855265" w14:paraId="3376979C"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48787782"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Other Institution</w:t>
            </w:r>
          </w:p>
        </w:tc>
        <w:tc>
          <w:tcPr>
            <w:tcW w:w="1080" w:type="dxa"/>
            <w:tcBorders>
              <w:top w:val="nil"/>
              <w:bottom w:val="nil"/>
            </w:tcBorders>
            <w:noWrap/>
            <w:vAlign w:val="center"/>
          </w:tcPr>
          <w:p w14:paraId="508D9A8E"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636F1BB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58</w:t>
            </w:r>
          </w:p>
        </w:tc>
        <w:tc>
          <w:tcPr>
            <w:tcW w:w="676" w:type="dxa"/>
            <w:tcBorders>
              <w:top w:val="nil"/>
              <w:bottom w:val="nil"/>
            </w:tcBorders>
            <w:noWrap/>
            <w:vAlign w:val="center"/>
          </w:tcPr>
          <w:p w14:paraId="38881FE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w:t>
            </w:r>
          </w:p>
        </w:tc>
        <w:tc>
          <w:tcPr>
            <w:tcW w:w="675" w:type="dxa"/>
            <w:tcBorders>
              <w:top w:val="nil"/>
              <w:bottom w:val="nil"/>
            </w:tcBorders>
            <w:noWrap/>
            <w:vAlign w:val="center"/>
          </w:tcPr>
          <w:p w14:paraId="593D305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11</w:t>
            </w:r>
          </w:p>
        </w:tc>
        <w:tc>
          <w:tcPr>
            <w:tcW w:w="676" w:type="dxa"/>
            <w:tcBorders>
              <w:top w:val="nil"/>
              <w:bottom w:val="nil"/>
            </w:tcBorders>
            <w:noWrap/>
            <w:vAlign w:val="center"/>
          </w:tcPr>
          <w:p w14:paraId="1B738B3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w:t>
            </w:r>
          </w:p>
        </w:tc>
        <w:tc>
          <w:tcPr>
            <w:tcW w:w="676" w:type="dxa"/>
            <w:tcBorders>
              <w:top w:val="nil"/>
              <w:bottom w:val="nil"/>
            </w:tcBorders>
            <w:noWrap/>
            <w:vAlign w:val="center"/>
          </w:tcPr>
          <w:p w14:paraId="3AB167A5"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w:t>
            </w:r>
          </w:p>
        </w:tc>
        <w:tc>
          <w:tcPr>
            <w:tcW w:w="675" w:type="dxa"/>
            <w:tcBorders>
              <w:top w:val="nil"/>
              <w:bottom w:val="nil"/>
            </w:tcBorders>
            <w:noWrap/>
            <w:vAlign w:val="center"/>
          </w:tcPr>
          <w:p w14:paraId="42E1FF8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w:t>
            </w:r>
          </w:p>
        </w:tc>
        <w:tc>
          <w:tcPr>
            <w:tcW w:w="676" w:type="dxa"/>
            <w:tcBorders>
              <w:top w:val="nil"/>
              <w:bottom w:val="nil"/>
            </w:tcBorders>
            <w:noWrap/>
            <w:vAlign w:val="center"/>
          </w:tcPr>
          <w:p w14:paraId="7314CF0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15</w:t>
            </w:r>
          </w:p>
        </w:tc>
        <w:tc>
          <w:tcPr>
            <w:tcW w:w="676" w:type="dxa"/>
            <w:tcBorders>
              <w:top w:val="nil"/>
              <w:bottom w:val="nil"/>
            </w:tcBorders>
            <w:noWrap/>
            <w:vAlign w:val="center"/>
          </w:tcPr>
          <w:p w14:paraId="005762D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96</w:t>
            </w:r>
          </w:p>
        </w:tc>
      </w:tr>
      <w:tr w:rsidR="004E477F" w:rsidRPr="00855265" w14:paraId="5DF26485"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67A3118A"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t>Enrolled at Other Institution</w:t>
            </w:r>
          </w:p>
        </w:tc>
        <w:tc>
          <w:tcPr>
            <w:tcW w:w="1080" w:type="dxa"/>
            <w:tcBorders>
              <w:top w:val="nil"/>
              <w:bottom w:val="single" w:sz="4" w:space="0" w:color="auto"/>
            </w:tcBorders>
            <w:noWrap/>
            <w:vAlign w:val="center"/>
          </w:tcPr>
          <w:p w14:paraId="75E4C980"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651322B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94</w:t>
            </w:r>
          </w:p>
        </w:tc>
        <w:tc>
          <w:tcPr>
            <w:tcW w:w="676" w:type="dxa"/>
            <w:tcBorders>
              <w:top w:val="nil"/>
              <w:bottom w:val="single" w:sz="4" w:space="0" w:color="auto"/>
            </w:tcBorders>
            <w:noWrap/>
            <w:vAlign w:val="center"/>
          </w:tcPr>
          <w:p w14:paraId="2A26CF6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13</w:t>
            </w:r>
          </w:p>
        </w:tc>
        <w:tc>
          <w:tcPr>
            <w:tcW w:w="675" w:type="dxa"/>
            <w:tcBorders>
              <w:top w:val="nil"/>
              <w:bottom w:val="single" w:sz="4" w:space="0" w:color="auto"/>
            </w:tcBorders>
            <w:noWrap/>
            <w:vAlign w:val="center"/>
          </w:tcPr>
          <w:p w14:paraId="2DF0240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26</w:t>
            </w:r>
          </w:p>
        </w:tc>
        <w:tc>
          <w:tcPr>
            <w:tcW w:w="676" w:type="dxa"/>
            <w:tcBorders>
              <w:top w:val="nil"/>
              <w:bottom w:val="single" w:sz="4" w:space="0" w:color="auto"/>
            </w:tcBorders>
            <w:noWrap/>
            <w:vAlign w:val="center"/>
          </w:tcPr>
          <w:p w14:paraId="70A2C01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7</w:t>
            </w:r>
          </w:p>
        </w:tc>
        <w:tc>
          <w:tcPr>
            <w:tcW w:w="676" w:type="dxa"/>
            <w:tcBorders>
              <w:top w:val="nil"/>
              <w:bottom w:val="single" w:sz="4" w:space="0" w:color="auto"/>
            </w:tcBorders>
            <w:noWrap/>
            <w:vAlign w:val="center"/>
          </w:tcPr>
          <w:p w14:paraId="2EAFF7E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6</w:t>
            </w:r>
          </w:p>
        </w:tc>
        <w:tc>
          <w:tcPr>
            <w:tcW w:w="675" w:type="dxa"/>
            <w:tcBorders>
              <w:top w:val="nil"/>
              <w:bottom w:val="single" w:sz="4" w:space="0" w:color="auto"/>
            </w:tcBorders>
            <w:noWrap/>
            <w:vAlign w:val="center"/>
          </w:tcPr>
          <w:p w14:paraId="2FC5AEE2"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w:t>
            </w:r>
          </w:p>
        </w:tc>
        <w:tc>
          <w:tcPr>
            <w:tcW w:w="676" w:type="dxa"/>
            <w:tcBorders>
              <w:top w:val="nil"/>
              <w:bottom w:val="single" w:sz="4" w:space="0" w:color="auto"/>
            </w:tcBorders>
            <w:noWrap/>
            <w:vAlign w:val="center"/>
          </w:tcPr>
          <w:p w14:paraId="4DD2F1C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36</w:t>
            </w:r>
          </w:p>
        </w:tc>
        <w:tc>
          <w:tcPr>
            <w:tcW w:w="676" w:type="dxa"/>
            <w:tcBorders>
              <w:top w:val="nil"/>
              <w:bottom w:val="single" w:sz="4" w:space="0" w:color="auto"/>
            </w:tcBorders>
            <w:noWrap/>
            <w:vAlign w:val="center"/>
          </w:tcPr>
          <w:p w14:paraId="3091A1A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186</w:t>
            </w:r>
          </w:p>
        </w:tc>
      </w:tr>
      <w:tr w:rsidR="004E477F" w:rsidRPr="00855265" w14:paraId="4E1693DB"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370723A6"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Not Enrolled; Did Not Complete</w:t>
            </w:r>
          </w:p>
        </w:tc>
        <w:tc>
          <w:tcPr>
            <w:tcW w:w="1080" w:type="dxa"/>
            <w:tcBorders>
              <w:top w:val="single" w:sz="4" w:space="0" w:color="auto"/>
              <w:bottom w:val="nil"/>
            </w:tcBorders>
            <w:noWrap/>
            <w:vAlign w:val="center"/>
          </w:tcPr>
          <w:p w14:paraId="27EF6F46"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278C8D59"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198</w:t>
            </w:r>
          </w:p>
        </w:tc>
        <w:tc>
          <w:tcPr>
            <w:tcW w:w="676" w:type="dxa"/>
            <w:tcBorders>
              <w:top w:val="single" w:sz="4" w:space="0" w:color="auto"/>
              <w:bottom w:val="nil"/>
            </w:tcBorders>
            <w:noWrap/>
            <w:vAlign w:val="center"/>
          </w:tcPr>
          <w:p w14:paraId="56175CA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61</w:t>
            </w:r>
          </w:p>
        </w:tc>
        <w:tc>
          <w:tcPr>
            <w:tcW w:w="675" w:type="dxa"/>
            <w:tcBorders>
              <w:top w:val="single" w:sz="4" w:space="0" w:color="auto"/>
              <w:bottom w:val="nil"/>
            </w:tcBorders>
            <w:noWrap/>
            <w:vAlign w:val="center"/>
          </w:tcPr>
          <w:p w14:paraId="594A844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78</w:t>
            </w:r>
          </w:p>
        </w:tc>
        <w:tc>
          <w:tcPr>
            <w:tcW w:w="676" w:type="dxa"/>
            <w:tcBorders>
              <w:top w:val="single" w:sz="4" w:space="0" w:color="auto"/>
              <w:bottom w:val="nil"/>
            </w:tcBorders>
            <w:noWrap/>
            <w:vAlign w:val="center"/>
          </w:tcPr>
          <w:p w14:paraId="1AC088A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20</w:t>
            </w:r>
          </w:p>
        </w:tc>
        <w:tc>
          <w:tcPr>
            <w:tcW w:w="676" w:type="dxa"/>
            <w:tcBorders>
              <w:top w:val="single" w:sz="4" w:space="0" w:color="auto"/>
              <w:bottom w:val="nil"/>
            </w:tcBorders>
            <w:noWrap/>
            <w:vAlign w:val="center"/>
          </w:tcPr>
          <w:p w14:paraId="6748579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44</w:t>
            </w:r>
          </w:p>
        </w:tc>
        <w:tc>
          <w:tcPr>
            <w:tcW w:w="675" w:type="dxa"/>
            <w:tcBorders>
              <w:top w:val="single" w:sz="4" w:space="0" w:color="auto"/>
              <w:bottom w:val="nil"/>
            </w:tcBorders>
            <w:noWrap/>
            <w:vAlign w:val="center"/>
          </w:tcPr>
          <w:p w14:paraId="5D5560F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44</w:t>
            </w:r>
          </w:p>
        </w:tc>
        <w:tc>
          <w:tcPr>
            <w:tcW w:w="676" w:type="dxa"/>
            <w:tcBorders>
              <w:top w:val="single" w:sz="4" w:space="0" w:color="auto"/>
              <w:bottom w:val="nil"/>
            </w:tcBorders>
            <w:noWrap/>
            <w:vAlign w:val="center"/>
          </w:tcPr>
          <w:p w14:paraId="2F76FD5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191</w:t>
            </w:r>
          </w:p>
        </w:tc>
        <w:tc>
          <w:tcPr>
            <w:tcW w:w="676" w:type="dxa"/>
            <w:tcBorders>
              <w:top w:val="single" w:sz="4" w:space="0" w:color="auto"/>
              <w:bottom w:val="nil"/>
            </w:tcBorders>
            <w:noWrap/>
            <w:vAlign w:val="center"/>
          </w:tcPr>
          <w:p w14:paraId="02E2B3C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636</w:t>
            </w:r>
          </w:p>
        </w:tc>
      </w:tr>
      <w:tr w:rsidR="004E477F" w:rsidRPr="00855265" w14:paraId="26F8A5BC"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533320DC"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Not Enrolled; Did Not Complete</w:t>
            </w:r>
          </w:p>
        </w:tc>
        <w:tc>
          <w:tcPr>
            <w:tcW w:w="1080" w:type="dxa"/>
            <w:tcBorders>
              <w:top w:val="nil"/>
              <w:bottom w:val="nil"/>
            </w:tcBorders>
            <w:noWrap/>
            <w:vAlign w:val="center"/>
          </w:tcPr>
          <w:p w14:paraId="6B8082C4"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3C259A28"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244</w:t>
            </w:r>
          </w:p>
        </w:tc>
        <w:tc>
          <w:tcPr>
            <w:tcW w:w="676" w:type="dxa"/>
            <w:tcBorders>
              <w:top w:val="nil"/>
              <w:bottom w:val="nil"/>
            </w:tcBorders>
            <w:noWrap/>
            <w:vAlign w:val="center"/>
          </w:tcPr>
          <w:p w14:paraId="0997BB3D"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31</w:t>
            </w:r>
          </w:p>
        </w:tc>
        <w:tc>
          <w:tcPr>
            <w:tcW w:w="675" w:type="dxa"/>
            <w:tcBorders>
              <w:top w:val="nil"/>
              <w:bottom w:val="nil"/>
            </w:tcBorders>
            <w:noWrap/>
            <w:vAlign w:val="center"/>
          </w:tcPr>
          <w:p w14:paraId="1CF6CA4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44</w:t>
            </w:r>
          </w:p>
        </w:tc>
        <w:tc>
          <w:tcPr>
            <w:tcW w:w="676" w:type="dxa"/>
            <w:tcBorders>
              <w:top w:val="nil"/>
              <w:bottom w:val="nil"/>
            </w:tcBorders>
            <w:noWrap/>
            <w:vAlign w:val="center"/>
          </w:tcPr>
          <w:p w14:paraId="42BC068D"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16</w:t>
            </w:r>
          </w:p>
        </w:tc>
        <w:tc>
          <w:tcPr>
            <w:tcW w:w="676" w:type="dxa"/>
            <w:tcBorders>
              <w:top w:val="nil"/>
              <w:bottom w:val="nil"/>
            </w:tcBorders>
            <w:noWrap/>
            <w:vAlign w:val="center"/>
          </w:tcPr>
          <w:p w14:paraId="42541E7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26</w:t>
            </w:r>
          </w:p>
        </w:tc>
        <w:tc>
          <w:tcPr>
            <w:tcW w:w="675" w:type="dxa"/>
            <w:tcBorders>
              <w:top w:val="nil"/>
              <w:bottom w:val="nil"/>
            </w:tcBorders>
            <w:noWrap/>
            <w:vAlign w:val="center"/>
          </w:tcPr>
          <w:p w14:paraId="3022CEB8"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27</w:t>
            </w:r>
          </w:p>
        </w:tc>
        <w:tc>
          <w:tcPr>
            <w:tcW w:w="676" w:type="dxa"/>
            <w:tcBorders>
              <w:top w:val="nil"/>
              <w:bottom w:val="nil"/>
            </w:tcBorders>
            <w:noWrap/>
            <w:vAlign w:val="center"/>
          </w:tcPr>
          <w:p w14:paraId="426147DA"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90</w:t>
            </w:r>
          </w:p>
        </w:tc>
        <w:tc>
          <w:tcPr>
            <w:tcW w:w="676" w:type="dxa"/>
            <w:tcBorders>
              <w:top w:val="nil"/>
              <w:bottom w:val="nil"/>
            </w:tcBorders>
            <w:noWrap/>
            <w:vAlign w:val="center"/>
          </w:tcPr>
          <w:p w14:paraId="290E5C5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478</w:t>
            </w:r>
          </w:p>
        </w:tc>
      </w:tr>
      <w:tr w:rsidR="004E477F" w:rsidRPr="00855265" w14:paraId="5AC1301F"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2BFADF03"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t>Not Enrolled; Did Not Complete</w:t>
            </w:r>
          </w:p>
        </w:tc>
        <w:tc>
          <w:tcPr>
            <w:tcW w:w="1080" w:type="dxa"/>
            <w:tcBorders>
              <w:top w:val="nil"/>
              <w:bottom w:val="single" w:sz="4" w:space="0" w:color="auto"/>
            </w:tcBorders>
            <w:noWrap/>
            <w:vAlign w:val="center"/>
          </w:tcPr>
          <w:p w14:paraId="524A3507"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03E13D9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442</w:t>
            </w:r>
          </w:p>
        </w:tc>
        <w:tc>
          <w:tcPr>
            <w:tcW w:w="676" w:type="dxa"/>
            <w:tcBorders>
              <w:top w:val="nil"/>
              <w:bottom w:val="single" w:sz="4" w:space="0" w:color="auto"/>
            </w:tcBorders>
            <w:noWrap/>
            <w:vAlign w:val="center"/>
          </w:tcPr>
          <w:p w14:paraId="730385F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92</w:t>
            </w:r>
          </w:p>
        </w:tc>
        <w:tc>
          <w:tcPr>
            <w:tcW w:w="675" w:type="dxa"/>
            <w:tcBorders>
              <w:top w:val="nil"/>
              <w:bottom w:val="single" w:sz="4" w:space="0" w:color="auto"/>
            </w:tcBorders>
            <w:noWrap/>
            <w:vAlign w:val="center"/>
          </w:tcPr>
          <w:p w14:paraId="69384274"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122</w:t>
            </w:r>
          </w:p>
        </w:tc>
        <w:tc>
          <w:tcPr>
            <w:tcW w:w="676" w:type="dxa"/>
            <w:tcBorders>
              <w:top w:val="nil"/>
              <w:bottom w:val="single" w:sz="4" w:space="0" w:color="auto"/>
            </w:tcBorders>
            <w:noWrap/>
            <w:vAlign w:val="center"/>
          </w:tcPr>
          <w:p w14:paraId="2E5A4C9C"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36</w:t>
            </w:r>
          </w:p>
        </w:tc>
        <w:tc>
          <w:tcPr>
            <w:tcW w:w="676" w:type="dxa"/>
            <w:tcBorders>
              <w:top w:val="nil"/>
              <w:bottom w:val="single" w:sz="4" w:space="0" w:color="auto"/>
            </w:tcBorders>
            <w:noWrap/>
            <w:vAlign w:val="center"/>
          </w:tcPr>
          <w:p w14:paraId="5939C8CC"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70</w:t>
            </w:r>
          </w:p>
        </w:tc>
        <w:tc>
          <w:tcPr>
            <w:tcW w:w="675" w:type="dxa"/>
            <w:tcBorders>
              <w:top w:val="nil"/>
              <w:bottom w:val="single" w:sz="4" w:space="0" w:color="auto"/>
            </w:tcBorders>
            <w:noWrap/>
            <w:vAlign w:val="center"/>
          </w:tcPr>
          <w:p w14:paraId="18D928EE"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71</w:t>
            </w:r>
          </w:p>
        </w:tc>
        <w:tc>
          <w:tcPr>
            <w:tcW w:w="676" w:type="dxa"/>
            <w:tcBorders>
              <w:top w:val="nil"/>
              <w:bottom w:val="single" w:sz="4" w:space="0" w:color="auto"/>
            </w:tcBorders>
            <w:noWrap/>
            <w:vAlign w:val="center"/>
          </w:tcPr>
          <w:p w14:paraId="5E03FEB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281</w:t>
            </w:r>
          </w:p>
        </w:tc>
        <w:tc>
          <w:tcPr>
            <w:tcW w:w="676" w:type="dxa"/>
            <w:tcBorders>
              <w:top w:val="nil"/>
              <w:bottom w:val="single" w:sz="4" w:space="0" w:color="auto"/>
            </w:tcBorders>
            <w:noWrap/>
            <w:vAlign w:val="center"/>
          </w:tcPr>
          <w:p w14:paraId="5A506F0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1,114</w:t>
            </w:r>
          </w:p>
        </w:tc>
      </w:tr>
      <w:tr w:rsidR="004E477F" w:rsidRPr="00855265" w14:paraId="5E298647"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tcBorders>
            <w:vAlign w:val="center"/>
          </w:tcPr>
          <w:p w14:paraId="405FEC67"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Total</w:t>
            </w:r>
          </w:p>
        </w:tc>
        <w:tc>
          <w:tcPr>
            <w:tcW w:w="1080" w:type="dxa"/>
            <w:tcBorders>
              <w:top w:val="single" w:sz="4" w:space="0" w:color="auto"/>
            </w:tcBorders>
            <w:noWrap/>
            <w:vAlign w:val="center"/>
          </w:tcPr>
          <w:p w14:paraId="3AFD0EC6"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tcBorders>
            <w:noWrap/>
            <w:vAlign w:val="center"/>
          </w:tcPr>
          <w:p w14:paraId="192C963A"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616</w:t>
            </w:r>
          </w:p>
        </w:tc>
        <w:tc>
          <w:tcPr>
            <w:tcW w:w="676" w:type="dxa"/>
            <w:tcBorders>
              <w:top w:val="single" w:sz="4" w:space="0" w:color="auto"/>
            </w:tcBorders>
            <w:noWrap/>
            <w:vAlign w:val="center"/>
          </w:tcPr>
          <w:p w14:paraId="5E8BEFC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100</w:t>
            </w:r>
          </w:p>
        </w:tc>
        <w:tc>
          <w:tcPr>
            <w:tcW w:w="675" w:type="dxa"/>
            <w:tcBorders>
              <w:top w:val="single" w:sz="4" w:space="0" w:color="auto"/>
            </w:tcBorders>
            <w:noWrap/>
            <w:vAlign w:val="center"/>
          </w:tcPr>
          <w:p w14:paraId="397BAFA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229</w:t>
            </w:r>
          </w:p>
        </w:tc>
        <w:tc>
          <w:tcPr>
            <w:tcW w:w="676" w:type="dxa"/>
            <w:tcBorders>
              <w:top w:val="single" w:sz="4" w:space="0" w:color="auto"/>
            </w:tcBorders>
            <w:noWrap/>
            <w:vAlign w:val="center"/>
          </w:tcPr>
          <w:p w14:paraId="590DFF7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53</w:t>
            </w:r>
          </w:p>
        </w:tc>
        <w:tc>
          <w:tcPr>
            <w:tcW w:w="676" w:type="dxa"/>
            <w:tcBorders>
              <w:top w:val="single" w:sz="4" w:space="0" w:color="auto"/>
            </w:tcBorders>
            <w:noWrap/>
            <w:vAlign w:val="center"/>
          </w:tcPr>
          <w:p w14:paraId="090D7C3A"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74</w:t>
            </w:r>
          </w:p>
        </w:tc>
        <w:tc>
          <w:tcPr>
            <w:tcW w:w="675" w:type="dxa"/>
            <w:tcBorders>
              <w:top w:val="single" w:sz="4" w:space="0" w:color="auto"/>
            </w:tcBorders>
            <w:noWrap/>
            <w:vAlign w:val="center"/>
          </w:tcPr>
          <w:p w14:paraId="65637F4E"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93</w:t>
            </w:r>
          </w:p>
        </w:tc>
        <w:tc>
          <w:tcPr>
            <w:tcW w:w="676" w:type="dxa"/>
            <w:tcBorders>
              <w:top w:val="single" w:sz="4" w:space="0" w:color="auto"/>
            </w:tcBorders>
            <w:noWrap/>
            <w:vAlign w:val="center"/>
          </w:tcPr>
          <w:p w14:paraId="3517C30E"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391</w:t>
            </w:r>
          </w:p>
        </w:tc>
        <w:tc>
          <w:tcPr>
            <w:tcW w:w="676" w:type="dxa"/>
            <w:tcBorders>
              <w:top w:val="single" w:sz="4" w:space="0" w:color="auto"/>
            </w:tcBorders>
            <w:noWrap/>
            <w:vAlign w:val="center"/>
          </w:tcPr>
          <w:p w14:paraId="6BA2C34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1,556</w:t>
            </w:r>
          </w:p>
        </w:tc>
      </w:tr>
      <w:tr w:rsidR="004E477F" w:rsidRPr="00855265" w14:paraId="74D357B0"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7A1140C2"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Total</w:t>
            </w:r>
          </w:p>
        </w:tc>
        <w:tc>
          <w:tcPr>
            <w:tcW w:w="1080" w:type="dxa"/>
            <w:noWrap/>
            <w:vAlign w:val="center"/>
          </w:tcPr>
          <w:p w14:paraId="02EE530F"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noWrap/>
            <w:vAlign w:val="center"/>
          </w:tcPr>
          <w:p w14:paraId="0BF50E3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1,396</w:t>
            </w:r>
          </w:p>
        </w:tc>
        <w:tc>
          <w:tcPr>
            <w:tcW w:w="676" w:type="dxa"/>
            <w:noWrap/>
            <w:vAlign w:val="center"/>
          </w:tcPr>
          <w:p w14:paraId="532FFEF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75</w:t>
            </w:r>
          </w:p>
        </w:tc>
        <w:tc>
          <w:tcPr>
            <w:tcW w:w="675" w:type="dxa"/>
            <w:noWrap/>
            <w:vAlign w:val="center"/>
          </w:tcPr>
          <w:p w14:paraId="7354710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218</w:t>
            </w:r>
          </w:p>
        </w:tc>
        <w:tc>
          <w:tcPr>
            <w:tcW w:w="676" w:type="dxa"/>
            <w:noWrap/>
            <w:vAlign w:val="center"/>
          </w:tcPr>
          <w:p w14:paraId="098021E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41</w:t>
            </w:r>
          </w:p>
        </w:tc>
        <w:tc>
          <w:tcPr>
            <w:tcW w:w="676" w:type="dxa"/>
            <w:noWrap/>
            <w:vAlign w:val="center"/>
          </w:tcPr>
          <w:p w14:paraId="13A0B1F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37</w:t>
            </w:r>
          </w:p>
        </w:tc>
        <w:tc>
          <w:tcPr>
            <w:tcW w:w="675" w:type="dxa"/>
            <w:noWrap/>
            <w:vAlign w:val="center"/>
          </w:tcPr>
          <w:p w14:paraId="16D75866"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76</w:t>
            </w:r>
          </w:p>
        </w:tc>
        <w:tc>
          <w:tcPr>
            <w:tcW w:w="676" w:type="dxa"/>
            <w:noWrap/>
            <w:vAlign w:val="center"/>
          </w:tcPr>
          <w:p w14:paraId="5E66FF7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267</w:t>
            </w:r>
          </w:p>
        </w:tc>
        <w:tc>
          <w:tcPr>
            <w:tcW w:w="676" w:type="dxa"/>
            <w:noWrap/>
            <w:vAlign w:val="center"/>
          </w:tcPr>
          <w:p w14:paraId="3063843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2,110</w:t>
            </w:r>
          </w:p>
        </w:tc>
      </w:tr>
      <w:tr w:rsidR="004E477F" w:rsidRPr="00855265" w14:paraId="5CC38BA9"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6AD7FFDC" w14:textId="77777777" w:rsidR="004E477F" w:rsidRPr="001539FA" w:rsidRDefault="004E477F" w:rsidP="00D67A46">
            <w:pPr>
              <w:rPr>
                <w:rFonts w:ascii="Calibri" w:hAnsi="Calibri" w:cs="Calibri"/>
                <w:i/>
                <w:iCs/>
                <w:color w:val="000000"/>
                <w:sz w:val="18"/>
                <w:szCs w:val="18"/>
              </w:rPr>
            </w:pPr>
            <w:r w:rsidRPr="001539FA">
              <w:rPr>
                <w:rFonts w:ascii="Calibri" w:hAnsi="Calibri" w:cs="Calibri"/>
                <w:i/>
                <w:iCs/>
                <w:color w:val="000000"/>
                <w:sz w:val="18"/>
                <w:szCs w:val="18"/>
              </w:rPr>
              <w:t>Total</w:t>
            </w:r>
          </w:p>
        </w:tc>
        <w:tc>
          <w:tcPr>
            <w:tcW w:w="1080" w:type="dxa"/>
            <w:noWrap/>
            <w:vAlign w:val="center"/>
          </w:tcPr>
          <w:p w14:paraId="7B7F7DC0"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i/>
                <w:iCs/>
                <w:color w:val="000000"/>
                <w:sz w:val="18"/>
                <w:szCs w:val="18"/>
              </w:rPr>
              <w:t>Total</w:t>
            </w:r>
          </w:p>
        </w:tc>
        <w:tc>
          <w:tcPr>
            <w:tcW w:w="675" w:type="dxa"/>
            <w:noWrap/>
            <w:vAlign w:val="center"/>
          </w:tcPr>
          <w:p w14:paraId="65081F1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2,012</w:t>
            </w:r>
          </w:p>
        </w:tc>
        <w:tc>
          <w:tcPr>
            <w:tcW w:w="676" w:type="dxa"/>
            <w:noWrap/>
            <w:vAlign w:val="center"/>
          </w:tcPr>
          <w:p w14:paraId="039CB3C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175</w:t>
            </w:r>
          </w:p>
        </w:tc>
        <w:tc>
          <w:tcPr>
            <w:tcW w:w="675" w:type="dxa"/>
            <w:noWrap/>
            <w:vAlign w:val="center"/>
          </w:tcPr>
          <w:p w14:paraId="2DAABD8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447</w:t>
            </w:r>
          </w:p>
        </w:tc>
        <w:tc>
          <w:tcPr>
            <w:tcW w:w="676" w:type="dxa"/>
            <w:noWrap/>
            <w:vAlign w:val="center"/>
          </w:tcPr>
          <w:p w14:paraId="0A34C54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94</w:t>
            </w:r>
          </w:p>
        </w:tc>
        <w:tc>
          <w:tcPr>
            <w:tcW w:w="676" w:type="dxa"/>
            <w:noWrap/>
            <w:vAlign w:val="center"/>
          </w:tcPr>
          <w:p w14:paraId="2580C5E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111</w:t>
            </w:r>
          </w:p>
        </w:tc>
        <w:tc>
          <w:tcPr>
            <w:tcW w:w="675" w:type="dxa"/>
            <w:noWrap/>
            <w:vAlign w:val="center"/>
          </w:tcPr>
          <w:p w14:paraId="58340C19"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169</w:t>
            </w:r>
          </w:p>
        </w:tc>
        <w:tc>
          <w:tcPr>
            <w:tcW w:w="676" w:type="dxa"/>
            <w:noWrap/>
            <w:vAlign w:val="center"/>
          </w:tcPr>
          <w:p w14:paraId="5FC1003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658</w:t>
            </w:r>
          </w:p>
        </w:tc>
        <w:tc>
          <w:tcPr>
            <w:tcW w:w="676" w:type="dxa"/>
            <w:noWrap/>
            <w:vAlign w:val="center"/>
          </w:tcPr>
          <w:p w14:paraId="0A32DFE2"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3,666</w:t>
            </w:r>
          </w:p>
        </w:tc>
      </w:tr>
    </w:tbl>
    <w:p w14:paraId="1E544323" w14:textId="77777777" w:rsidR="00FF4CED" w:rsidRPr="00A63761" w:rsidRDefault="00FF4CED" w:rsidP="00FF4CED">
      <w:pPr>
        <w:spacing w:after="0" w:line="240" w:lineRule="auto"/>
        <w:rPr>
          <w:sz w:val="20"/>
          <w:szCs w:val="20"/>
        </w:rPr>
      </w:pPr>
    </w:p>
    <w:p w14:paraId="21A05C86" w14:textId="55FC016E" w:rsidR="00FF4CED" w:rsidRDefault="00FF4CED" w:rsidP="00B772DF">
      <w:pPr>
        <w:pStyle w:val="Heading2"/>
        <w:jc w:val="center"/>
      </w:pPr>
      <w:r w:rsidRPr="006278A7">
        <w:t>Year 6 Outcomes for Full-Time, First-Time, Bac</w:t>
      </w:r>
      <w:r w:rsidR="004E477F">
        <w:t>helor’s Degree-Seeking Fall 2015</w:t>
      </w:r>
      <w:r w:rsidRPr="006278A7">
        <w:t xml:space="preserve"> Entering Cohort (Percentages)</w:t>
      </w:r>
    </w:p>
    <w:tbl>
      <w:tblPr>
        <w:tblStyle w:val="GridTable4-Accent11"/>
        <w:tblW w:w="9360" w:type="dxa"/>
        <w:tblLayout w:type="fixed"/>
        <w:tblLook w:val="04A0" w:firstRow="1" w:lastRow="0" w:firstColumn="1" w:lastColumn="0" w:noHBand="0" w:noVBand="1"/>
      </w:tblPr>
      <w:tblGrid>
        <w:gridCol w:w="2875"/>
        <w:gridCol w:w="1080"/>
        <w:gridCol w:w="675"/>
        <w:gridCol w:w="676"/>
        <w:gridCol w:w="675"/>
        <w:gridCol w:w="676"/>
        <w:gridCol w:w="676"/>
        <w:gridCol w:w="675"/>
        <w:gridCol w:w="676"/>
        <w:gridCol w:w="676"/>
      </w:tblGrid>
      <w:tr w:rsidR="004E477F" w:rsidRPr="00855265" w14:paraId="0DBF82F7" w14:textId="77777777" w:rsidTr="00D67A4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vAlign w:val="bottom"/>
          </w:tcPr>
          <w:p w14:paraId="19345DDA" w14:textId="77777777" w:rsidR="004E477F" w:rsidRPr="001539FA" w:rsidRDefault="004E477F" w:rsidP="00D67A46">
            <w:pPr>
              <w:rPr>
                <w:rFonts w:ascii="Calibri" w:hAnsi="Calibri" w:cs="Calibri"/>
                <w:color w:val="FFFFFF" w:themeColor="background1"/>
                <w:sz w:val="18"/>
                <w:szCs w:val="18"/>
              </w:rPr>
            </w:pPr>
            <w:r w:rsidRPr="001539FA">
              <w:rPr>
                <w:rFonts w:ascii="Calibri" w:hAnsi="Calibri" w:cs="Calibri"/>
                <w:color w:val="FFFFFF" w:themeColor="background1"/>
                <w:sz w:val="18"/>
                <w:szCs w:val="18"/>
              </w:rPr>
              <w:t>Year 6 Outcome</w:t>
            </w:r>
          </w:p>
        </w:tc>
        <w:tc>
          <w:tcPr>
            <w:tcW w:w="1080" w:type="dxa"/>
            <w:noWrap/>
            <w:vAlign w:val="bottom"/>
            <w:hideMark/>
          </w:tcPr>
          <w:p w14:paraId="09012EB8" w14:textId="77777777" w:rsidR="004E477F" w:rsidRPr="001539FA" w:rsidRDefault="004E477F" w:rsidP="00D67A4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 w:val="18"/>
                <w:szCs w:val="18"/>
              </w:rPr>
            </w:pPr>
            <w:r w:rsidRPr="001539FA">
              <w:rPr>
                <w:rFonts w:ascii="Calibri" w:hAnsi="Calibri" w:cs="Calibri"/>
                <w:color w:val="FFFFFF" w:themeColor="background1"/>
                <w:sz w:val="18"/>
                <w:szCs w:val="18"/>
              </w:rPr>
              <w:t>First</w:t>
            </w:r>
          </w:p>
          <w:p w14:paraId="0D69F701" w14:textId="77777777" w:rsidR="004E477F" w:rsidRPr="001539FA" w:rsidRDefault="004E477F" w:rsidP="00D67A4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 w:val="18"/>
                <w:szCs w:val="18"/>
              </w:rPr>
            </w:pPr>
            <w:r w:rsidRPr="001539FA">
              <w:rPr>
                <w:rFonts w:ascii="Calibri" w:hAnsi="Calibri" w:cs="Calibri"/>
                <w:color w:val="FFFFFF" w:themeColor="background1"/>
                <w:sz w:val="18"/>
                <w:szCs w:val="18"/>
              </w:rPr>
              <w:t>Generation</w:t>
            </w:r>
          </w:p>
        </w:tc>
        <w:tc>
          <w:tcPr>
            <w:tcW w:w="675" w:type="dxa"/>
            <w:noWrap/>
            <w:vAlign w:val="bottom"/>
            <w:hideMark/>
          </w:tcPr>
          <w:p w14:paraId="353590A5"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w:t>
            </w:r>
          </w:p>
        </w:tc>
        <w:tc>
          <w:tcPr>
            <w:tcW w:w="676" w:type="dxa"/>
            <w:noWrap/>
            <w:vAlign w:val="bottom"/>
            <w:hideMark/>
          </w:tcPr>
          <w:p w14:paraId="62FAD505"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UMA</w:t>
            </w:r>
          </w:p>
        </w:tc>
        <w:tc>
          <w:tcPr>
            <w:tcW w:w="675" w:type="dxa"/>
            <w:noWrap/>
            <w:vAlign w:val="bottom"/>
            <w:hideMark/>
          </w:tcPr>
          <w:p w14:paraId="4BCAFACE"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UMF</w:t>
            </w:r>
          </w:p>
        </w:tc>
        <w:tc>
          <w:tcPr>
            <w:tcW w:w="676" w:type="dxa"/>
            <w:noWrap/>
            <w:vAlign w:val="bottom"/>
            <w:hideMark/>
          </w:tcPr>
          <w:p w14:paraId="45049072"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UMFK</w:t>
            </w:r>
          </w:p>
        </w:tc>
        <w:tc>
          <w:tcPr>
            <w:tcW w:w="676" w:type="dxa"/>
            <w:noWrap/>
            <w:vAlign w:val="bottom"/>
            <w:hideMark/>
          </w:tcPr>
          <w:p w14:paraId="5B26368F"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UMM</w:t>
            </w:r>
          </w:p>
        </w:tc>
        <w:tc>
          <w:tcPr>
            <w:tcW w:w="675" w:type="dxa"/>
            <w:noWrap/>
            <w:vAlign w:val="bottom"/>
            <w:hideMark/>
          </w:tcPr>
          <w:p w14:paraId="64080149"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UMPI</w:t>
            </w:r>
          </w:p>
        </w:tc>
        <w:tc>
          <w:tcPr>
            <w:tcW w:w="676" w:type="dxa"/>
            <w:noWrap/>
            <w:vAlign w:val="bottom"/>
            <w:hideMark/>
          </w:tcPr>
          <w:p w14:paraId="22263898"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USM</w:t>
            </w:r>
          </w:p>
        </w:tc>
        <w:tc>
          <w:tcPr>
            <w:tcW w:w="676" w:type="dxa"/>
            <w:noWrap/>
            <w:vAlign w:val="bottom"/>
            <w:hideMark/>
          </w:tcPr>
          <w:p w14:paraId="2F55E85A"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color w:val="FFFFFF" w:themeColor="background1"/>
                <w:sz w:val="18"/>
                <w:szCs w:val="18"/>
              </w:rPr>
            </w:pPr>
            <w:r w:rsidRPr="001539FA">
              <w:rPr>
                <w:rFonts w:ascii="Calibri" w:hAnsi="Calibri" w:cs="Calibri"/>
                <w:i/>
                <w:iCs/>
                <w:color w:val="FFFFFF" w:themeColor="background1"/>
                <w:sz w:val="18"/>
                <w:szCs w:val="18"/>
              </w:rPr>
              <w:t>Total</w:t>
            </w:r>
          </w:p>
        </w:tc>
      </w:tr>
      <w:tr w:rsidR="004E477F" w:rsidRPr="00855265" w14:paraId="7C12BD28"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4472C4"/>
              <w:bottom w:val="nil"/>
            </w:tcBorders>
            <w:vAlign w:val="center"/>
          </w:tcPr>
          <w:p w14:paraId="070FEF09"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Starting Institution</w:t>
            </w:r>
          </w:p>
        </w:tc>
        <w:tc>
          <w:tcPr>
            <w:tcW w:w="1080" w:type="dxa"/>
            <w:tcBorders>
              <w:top w:val="single" w:sz="4" w:space="0" w:color="4472C4"/>
              <w:bottom w:val="nil"/>
            </w:tcBorders>
            <w:noWrap/>
            <w:vAlign w:val="center"/>
            <w:hideMark/>
          </w:tcPr>
          <w:p w14:paraId="0951F3AE"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rPr>
            </w:pPr>
            <w:r w:rsidRPr="001539FA">
              <w:rPr>
                <w:rFonts w:ascii="Calibri" w:hAnsi="Calibri" w:cs="Calibri"/>
                <w:color w:val="000000"/>
                <w:sz w:val="18"/>
                <w:szCs w:val="18"/>
              </w:rPr>
              <w:t>Yes</w:t>
            </w:r>
          </w:p>
        </w:tc>
        <w:tc>
          <w:tcPr>
            <w:tcW w:w="675" w:type="dxa"/>
            <w:tcBorders>
              <w:top w:val="single" w:sz="4" w:space="0" w:color="4472C4"/>
              <w:bottom w:val="nil"/>
            </w:tcBorders>
            <w:noWrap/>
            <w:vAlign w:val="center"/>
          </w:tcPr>
          <w:p w14:paraId="27FE11A9"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46.9%</w:t>
            </w:r>
          </w:p>
        </w:tc>
        <w:tc>
          <w:tcPr>
            <w:tcW w:w="676" w:type="dxa"/>
            <w:tcBorders>
              <w:top w:val="single" w:sz="4" w:space="0" w:color="4472C4"/>
              <w:bottom w:val="nil"/>
            </w:tcBorders>
            <w:noWrap/>
            <w:vAlign w:val="center"/>
          </w:tcPr>
          <w:p w14:paraId="58F843C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13.0%</w:t>
            </w:r>
          </w:p>
        </w:tc>
        <w:tc>
          <w:tcPr>
            <w:tcW w:w="675" w:type="dxa"/>
            <w:tcBorders>
              <w:top w:val="single" w:sz="4" w:space="0" w:color="4472C4"/>
              <w:bottom w:val="nil"/>
            </w:tcBorders>
            <w:noWrap/>
            <w:vAlign w:val="center"/>
          </w:tcPr>
          <w:p w14:paraId="474C2844"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49.3%</w:t>
            </w:r>
          </w:p>
        </w:tc>
        <w:tc>
          <w:tcPr>
            <w:tcW w:w="676" w:type="dxa"/>
            <w:tcBorders>
              <w:top w:val="single" w:sz="4" w:space="0" w:color="4472C4"/>
              <w:bottom w:val="nil"/>
            </w:tcBorders>
            <w:noWrap/>
            <w:vAlign w:val="center"/>
          </w:tcPr>
          <w:p w14:paraId="4FB19AC9"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41.5%</w:t>
            </w:r>
          </w:p>
        </w:tc>
        <w:tc>
          <w:tcPr>
            <w:tcW w:w="676" w:type="dxa"/>
            <w:tcBorders>
              <w:top w:val="single" w:sz="4" w:space="0" w:color="4472C4"/>
              <w:bottom w:val="nil"/>
            </w:tcBorders>
            <w:noWrap/>
            <w:vAlign w:val="center"/>
          </w:tcPr>
          <w:p w14:paraId="6B8BE1F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28.4%</w:t>
            </w:r>
          </w:p>
        </w:tc>
        <w:tc>
          <w:tcPr>
            <w:tcW w:w="675" w:type="dxa"/>
            <w:tcBorders>
              <w:top w:val="single" w:sz="4" w:space="0" w:color="4472C4"/>
              <w:bottom w:val="nil"/>
            </w:tcBorders>
            <w:noWrap/>
            <w:vAlign w:val="center"/>
          </w:tcPr>
          <w:p w14:paraId="7067BAFB"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29.0%</w:t>
            </w:r>
          </w:p>
        </w:tc>
        <w:tc>
          <w:tcPr>
            <w:tcW w:w="676" w:type="dxa"/>
            <w:tcBorders>
              <w:top w:val="single" w:sz="4" w:space="0" w:color="4472C4"/>
              <w:bottom w:val="nil"/>
            </w:tcBorders>
            <w:noWrap/>
            <w:vAlign w:val="center"/>
          </w:tcPr>
          <w:p w14:paraId="567D26B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29.2%</w:t>
            </w:r>
          </w:p>
        </w:tc>
        <w:tc>
          <w:tcPr>
            <w:tcW w:w="676" w:type="dxa"/>
            <w:tcBorders>
              <w:top w:val="single" w:sz="4" w:space="0" w:color="4472C4"/>
              <w:bottom w:val="nil"/>
            </w:tcBorders>
            <w:noWrap/>
            <w:vAlign w:val="center"/>
          </w:tcPr>
          <w:p w14:paraId="1A4249B7"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i/>
                <w:iCs/>
                <w:color w:val="000000"/>
                <w:sz w:val="18"/>
                <w:szCs w:val="18"/>
              </w:rPr>
              <w:t>38.5%</w:t>
            </w:r>
          </w:p>
        </w:tc>
      </w:tr>
      <w:tr w:rsidR="004E477F" w:rsidRPr="00855265" w14:paraId="7333C515"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75EF92E7"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Starting Institution</w:t>
            </w:r>
          </w:p>
        </w:tc>
        <w:tc>
          <w:tcPr>
            <w:tcW w:w="1080" w:type="dxa"/>
            <w:tcBorders>
              <w:top w:val="nil"/>
              <w:bottom w:val="nil"/>
            </w:tcBorders>
            <w:noWrap/>
            <w:vAlign w:val="center"/>
            <w:hideMark/>
          </w:tcPr>
          <w:p w14:paraId="02E38D00"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6EA4EDD2"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63.4%</w:t>
            </w:r>
          </w:p>
        </w:tc>
        <w:tc>
          <w:tcPr>
            <w:tcW w:w="676" w:type="dxa"/>
            <w:tcBorders>
              <w:top w:val="nil"/>
              <w:bottom w:val="nil"/>
            </w:tcBorders>
            <w:noWrap/>
            <w:vAlign w:val="center"/>
          </w:tcPr>
          <w:p w14:paraId="484493A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26.7%</w:t>
            </w:r>
          </w:p>
        </w:tc>
        <w:tc>
          <w:tcPr>
            <w:tcW w:w="675" w:type="dxa"/>
            <w:tcBorders>
              <w:top w:val="nil"/>
              <w:bottom w:val="nil"/>
            </w:tcBorders>
            <w:noWrap/>
            <w:vAlign w:val="center"/>
          </w:tcPr>
          <w:p w14:paraId="09E1D3C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61.9%</w:t>
            </w:r>
          </w:p>
        </w:tc>
        <w:tc>
          <w:tcPr>
            <w:tcW w:w="676" w:type="dxa"/>
            <w:tcBorders>
              <w:top w:val="nil"/>
              <w:bottom w:val="nil"/>
            </w:tcBorders>
            <w:noWrap/>
            <w:vAlign w:val="center"/>
          </w:tcPr>
          <w:p w14:paraId="378625CD"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51.2%</w:t>
            </w:r>
          </w:p>
        </w:tc>
        <w:tc>
          <w:tcPr>
            <w:tcW w:w="676" w:type="dxa"/>
            <w:tcBorders>
              <w:top w:val="nil"/>
              <w:bottom w:val="nil"/>
            </w:tcBorders>
            <w:noWrap/>
            <w:vAlign w:val="center"/>
          </w:tcPr>
          <w:p w14:paraId="3064FF4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18.9%</w:t>
            </w:r>
          </w:p>
        </w:tc>
        <w:tc>
          <w:tcPr>
            <w:tcW w:w="675" w:type="dxa"/>
            <w:tcBorders>
              <w:top w:val="nil"/>
              <w:bottom w:val="nil"/>
            </w:tcBorders>
            <w:noWrap/>
            <w:vAlign w:val="center"/>
          </w:tcPr>
          <w:p w14:paraId="2DA1ACB8"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50.0%</w:t>
            </w:r>
          </w:p>
        </w:tc>
        <w:tc>
          <w:tcPr>
            <w:tcW w:w="676" w:type="dxa"/>
            <w:tcBorders>
              <w:top w:val="nil"/>
              <w:bottom w:val="nil"/>
            </w:tcBorders>
            <w:noWrap/>
            <w:vAlign w:val="center"/>
          </w:tcPr>
          <w:p w14:paraId="2E6BE098"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42.7%</w:t>
            </w:r>
          </w:p>
        </w:tc>
        <w:tc>
          <w:tcPr>
            <w:tcW w:w="676" w:type="dxa"/>
            <w:tcBorders>
              <w:top w:val="nil"/>
              <w:bottom w:val="nil"/>
            </w:tcBorders>
            <w:noWrap/>
            <w:vAlign w:val="center"/>
          </w:tcPr>
          <w:p w14:paraId="7B93E13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i/>
                <w:iCs/>
                <w:color w:val="000000"/>
                <w:sz w:val="18"/>
                <w:szCs w:val="18"/>
              </w:rPr>
              <w:t>57.8%</w:t>
            </w:r>
          </w:p>
        </w:tc>
      </w:tr>
      <w:tr w:rsidR="004E477F" w:rsidRPr="00855265" w14:paraId="04C8FC90"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241CA932" w14:textId="77777777" w:rsidR="004E477F" w:rsidRPr="001539FA" w:rsidRDefault="004E477F" w:rsidP="00D67A46">
            <w:pPr>
              <w:rPr>
                <w:rFonts w:ascii="Calibri" w:hAnsi="Calibri" w:cs="Calibri"/>
                <w:i/>
                <w:iCs/>
                <w:color w:val="000000"/>
                <w:sz w:val="18"/>
                <w:szCs w:val="18"/>
              </w:rPr>
            </w:pPr>
            <w:r w:rsidRPr="001539FA">
              <w:rPr>
                <w:rFonts w:ascii="Calibri" w:hAnsi="Calibri" w:cs="Calibri"/>
                <w:color w:val="000000"/>
                <w:sz w:val="18"/>
                <w:szCs w:val="18"/>
              </w:rPr>
              <w:t>Graduated from Starting Institution</w:t>
            </w:r>
          </w:p>
        </w:tc>
        <w:tc>
          <w:tcPr>
            <w:tcW w:w="1080" w:type="dxa"/>
            <w:tcBorders>
              <w:top w:val="nil"/>
              <w:bottom w:val="single" w:sz="4" w:space="0" w:color="auto"/>
            </w:tcBorders>
            <w:noWrap/>
            <w:vAlign w:val="center"/>
            <w:hideMark/>
          </w:tcPr>
          <w:p w14:paraId="7A93B2A9"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0F39F2E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58.3%</w:t>
            </w:r>
          </w:p>
        </w:tc>
        <w:tc>
          <w:tcPr>
            <w:tcW w:w="676" w:type="dxa"/>
            <w:tcBorders>
              <w:top w:val="nil"/>
              <w:bottom w:val="single" w:sz="4" w:space="0" w:color="auto"/>
            </w:tcBorders>
            <w:noWrap/>
            <w:vAlign w:val="center"/>
          </w:tcPr>
          <w:p w14:paraId="3D279AB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18.9%</w:t>
            </w:r>
          </w:p>
        </w:tc>
        <w:tc>
          <w:tcPr>
            <w:tcW w:w="675" w:type="dxa"/>
            <w:tcBorders>
              <w:top w:val="nil"/>
              <w:bottom w:val="single" w:sz="4" w:space="0" w:color="auto"/>
            </w:tcBorders>
            <w:noWrap/>
            <w:vAlign w:val="center"/>
          </w:tcPr>
          <w:p w14:paraId="336878A4"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55.5%</w:t>
            </w:r>
          </w:p>
        </w:tc>
        <w:tc>
          <w:tcPr>
            <w:tcW w:w="676" w:type="dxa"/>
            <w:tcBorders>
              <w:top w:val="nil"/>
              <w:bottom w:val="single" w:sz="4" w:space="0" w:color="auto"/>
            </w:tcBorders>
            <w:noWrap/>
            <w:vAlign w:val="center"/>
          </w:tcPr>
          <w:p w14:paraId="49E8EA9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45.7%</w:t>
            </w:r>
          </w:p>
        </w:tc>
        <w:tc>
          <w:tcPr>
            <w:tcW w:w="676" w:type="dxa"/>
            <w:tcBorders>
              <w:top w:val="nil"/>
              <w:bottom w:val="single" w:sz="4" w:space="0" w:color="auto"/>
            </w:tcBorders>
            <w:noWrap/>
            <w:vAlign w:val="center"/>
          </w:tcPr>
          <w:p w14:paraId="077C99D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25.2%</w:t>
            </w:r>
          </w:p>
        </w:tc>
        <w:tc>
          <w:tcPr>
            <w:tcW w:w="675" w:type="dxa"/>
            <w:tcBorders>
              <w:top w:val="nil"/>
              <w:bottom w:val="single" w:sz="4" w:space="0" w:color="auto"/>
            </w:tcBorders>
            <w:noWrap/>
            <w:vAlign w:val="center"/>
          </w:tcPr>
          <w:p w14:paraId="5226B807"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38.5%</w:t>
            </w:r>
          </w:p>
        </w:tc>
        <w:tc>
          <w:tcPr>
            <w:tcW w:w="676" w:type="dxa"/>
            <w:tcBorders>
              <w:top w:val="nil"/>
              <w:bottom w:val="single" w:sz="4" w:space="0" w:color="auto"/>
            </w:tcBorders>
            <w:noWrap/>
            <w:vAlign w:val="center"/>
          </w:tcPr>
          <w:p w14:paraId="326EC61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34.7%</w:t>
            </w:r>
          </w:p>
        </w:tc>
        <w:tc>
          <w:tcPr>
            <w:tcW w:w="676" w:type="dxa"/>
            <w:tcBorders>
              <w:top w:val="nil"/>
              <w:bottom w:val="single" w:sz="4" w:space="0" w:color="auto"/>
            </w:tcBorders>
            <w:noWrap/>
            <w:vAlign w:val="center"/>
          </w:tcPr>
          <w:p w14:paraId="5EB299F4"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i/>
                <w:iCs/>
                <w:color w:val="000000"/>
                <w:sz w:val="18"/>
                <w:szCs w:val="18"/>
              </w:rPr>
              <w:t>49.6%</w:t>
            </w:r>
          </w:p>
        </w:tc>
      </w:tr>
      <w:tr w:rsidR="004E477F" w:rsidRPr="00855265" w14:paraId="0E975DF6"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2D8DC867"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Other Institution</w:t>
            </w:r>
          </w:p>
        </w:tc>
        <w:tc>
          <w:tcPr>
            <w:tcW w:w="1080" w:type="dxa"/>
            <w:tcBorders>
              <w:top w:val="single" w:sz="4" w:space="0" w:color="auto"/>
              <w:bottom w:val="nil"/>
            </w:tcBorders>
            <w:noWrap/>
            <w:vAlign w:val="center"/>
          </w:tcPr>
          <w:p w14:paraId="334DD1B7"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4B731918"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12.0%</w:t>
            </w:r>
          </w:p>
        </w:tc>
        <w:tc>
          <w:tcPr>
            <w:tcW w:w="676" w:type="dxa"/>
            <w:tcBorders>
              <w:top w:val="single" w:sz="4" w:space="0" w:color="auto"/>
              <w:bottom w:val="nil"/>
            </w:tcBorders>
            <w:noWrap/>
            <w:vAlign w:val="center"/>
          </w:tcPr>
          <w:p w14:paraId="19968FBA"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9.0%</w:t>
            </w:r>
          </w:p>
        </w:tc>
        <w:tc>
          <w:tcPr>
            <w:tcW w:w="675" w:type="dxa"/>
            <w:tcBorders>
              <w:top w:val="single" w:sz="4" w:space="0" w:color="auto"/>
              <w:bottom w:val="nil"/>
            </w:tcBorders>
            <w:noWrap/>
            <w:vAlign w:val="center"/>
          </w:tcPr>
          <w:p w14:paraId="40149C8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8.7%</w:t>
            </w:r>
          </w:p>
        </w:tc>
        <w:tc>
          <w:tcPr>
            <w:tcW w:w="676" w:type="dxa"/>
            <w:tcBorders>
              <w:top w:val="single" w:sz="4" w:space="0" w:color="auto"/>
              <w:bottom w:val="nil"/>
            </w:tcBorders>
            <w:noWrap/>
            <w:vAlign w:val="center"/>
          </w:tcPr>
          <w:p w14:paraId="71C5A53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9.4%</w:t>
            </w:r>
          </w:p>
        </w:tc>
        <w:tc>
          <w:tcPr>
            <w:tcW w:w="676" w:type="dxa"/>
            <w:tcBorders>
              <w:top w:val="single" w:sz="4" w:space="0" w:color="auto"/>
              <w:bottom w:val="nil"/>
            </w:tcBorders>
            <w:noWrap/>
            <w:vAlign w:val="center"/>
          </w:tcPr>
          <w:p w14:paraId="4660BF7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4.1%</w:t>
            </w:r>
          </w:p>
        </w:tc>
        <w:tc>
          <w:tcPr>
            <w:tcW w:w="675" w:type="dxa"/>
            <w:tcBorders>
              <w:top w:val="single" w:sz="4" w:space="0" w:color="auto"/>
              <w:bottom w:val="nil"/>
            </w:tcBorders>
            <w:noWrap/>
            <w:vAlign w:val="center"/>
          </w:tcPr>
          <w:p w14:paraId="089F36BE"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17.2%</w:t>
            </w:r>
          </w:p>
        </w:tc>
        <w:tc>
          <w:tcPr>
            <w:tcW w:w="676" w:type="dxa"/>
            <w:tcBorders>
              <w:top w:val="single" w:sz="4" w:space="0" w:color="auto"/>
              <w:bottom w:val="nil"/>
            </w:tcBorders>
            <w:noWrap/>
            <w:vAlign w:val="center"/>
          </w:tcPr>
          <w:p w14:paraId="5F03D51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11.3%</w:t>
            </w:r>
          </w:p>
        </w:tc>
        <w:tc>
          <w:tcPr>
            <w:tcW w:w="676" w:type="dxa"/>
            <w:tcBorders>
              <w:top w:val="single" w:sz="4" w:space="0" w:color="auto"/>
              <w:bottom w:val="nil"/>
            </w:tcBorders>
            <w:noWrap/>
            <w:vAlign w:val="center"/>
          </w:tcPr>
          <w:p w14:paraId="3111AFF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11.0%</w:t>
            </w:r>
          </w:p>
        </w:tc>
      </w:tr>
      <w:tr w:rsidR="004E477F" w:rsidRPr="00855265" w14:paraId="215B0F97"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5FFC5CB0"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Other Institution</w:t>
            </w:r>
          </w:p>
        </w:tc>
        <w:tc>
          <w:tcPr>
            <w:tcW w:w="1080" w:type="dxa"/>
            <w:tcBorders>
              <w:top w:val="nil"/>
              <w:bottom w:val="nil"/>
            </w:tcBorders>
            <w:noWrap/>
            <w:vAlign w:val="center"/>
          </w:tcPr>
          <w:p w14:paraId="6F7CC039"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1FE7475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12.4%</w:t>
            </w:r>
          </w:p>
        </w:tc>
        <w:tc>
          <w:tcPr>
            <w:tcW w:w="676" w:type="dxa"/>
            <w:tcBorders>
              <w:top w:val="nil"/>
              <w:bottom w:val="nil"/>
            </w:tcBorders>
            <w:noWrap/>
            <w:vAlign w:val="center"/>
          </w:tcPr>
          <w:p w14:paraId="06A7A49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17.3%</w:t>
            </w:r>
          </w:p>
        </w:tc>
        <w:tc>
          <w:tcPr>
            <w:tcW w:w="675" w:type="dxa"/>
            <w:tcBorders>
              <w:top w:val="nil"/>
              <w:bottom w:val="nil"/>
            </w:tcBorders>
            <w:noWrap/>
            <w:vAlign w:val="center"/>
          </w:tcPr>
          <w:p w14:paraId="686267E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11.5%</w:t>
            </w:r>
          </w:p>
        </w:tc>
        <w:tc>
          <w:tcPr>
            <w:tcW w:w="676" w:type="dxa"/>
            <w:tcBorders>
              <w:top w:val="nil"/>
              <w:bottom w:val="nil"/>
            </w:tcBorders>
            <w:noWrap/>
            <w:vAlign w:val="center"/>
          </w:tcPr>
          <w:p w14:paraId="223A1A5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2.4%</w:t>
            </w:r>
          </w:p>
        </w:tc>
        <w:tc>
          <w:tcPr>
            <w:tcW w:w="676" w:type="dxa"/>
            <w:tcBorders>
              <w:top w:val="nil"/>
              <w:bottom w:val="nil"/>
            </w:tcBorders>
            <w:noWrap/>
            <w:vAlign w:val="center"/>
          </w:tcPr>
          <w:p w14:paraId="2A10246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2.7%</w:t>
            </w:r>
          </w:p>
        </w:tc>
        <w:tc>
          <w:tcPr>
            <w:tcW w:w="675" w:type="dxa"/>
            <w:tcBorders>
              <w:top w:val="nil"/>
              <w:bottom w:val="nil"/>
            </w:tcBorders>
            <w:noWrap/>
            <w:vAlign w:val="center"/>
          </w:tcPr>
          <w:p w14:paraId="4851B69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11.8%</w:t>
            </w:r>
          </w:p>
        </w:tc>
        <w:tc>
          <w:tcPr>
            <w:tcW w:w="676" w:type="dxa"/>
            <w:tcBorders>
              <w:top w:val="nil"/>
              <w:bottom w:val="nil"/>
            </w:tcBorders>
            <w:noWrap/>
            <w:vAlign w:val="center"/>
          </w:tcPr>
          <w:p w14:paraId="01D5E47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12.4%</w:t>
            </w:r>
          </w:p>
        </w:tc>
        <w:tc>
          <w:tcPr>
            <w:tcW w:w="676" w:type="dxa"/>
            <w:tcBorders>
              <w:top w:val="nil"/>
              <w:bottom w:val="nil"/>
            </w:tcBorders>
            <w:noWrap/>
            <w:vAlign w:val="center"/>
          </w:tcPr>
          <w:p w14:paraId="05AB8D5E"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12.1%</w:t>
            </w:r>
          </w:p>
        </w:tc>
      </w:tr>
      <w:tr w:rsidR="004E477F" w:rsidRPr="00855265" w14:paraId="7D9FA0C8"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3D71E66B"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t>Graduated from Other Institution</w:t>
            </w:r>
          </w:p>
        </w:tc>
        <w:tc>
          <w:tcPr>
            <w:tcW w:w="1080" w:type="dxa"/>
            <w:tcBorders>
              <w:top w:val="nil"/>
              <w:bottom w:val="single" w:sz="4" w:space="0" w:color="auto"/>
            </w:tcBorders>
            <w:noWrap/>
            <w:vAlign w:val="center"/>
          </w:tcPr>
          <w:p w14:paraId="55A167E8"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2C1C06F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12.3%</w:t>
            </w:r>
          </w:p>
        </w:tc>
        <w:tc>
          <w:tcPr>
            <w:tcW w:w="676" w:type="dxa"/>
            <w:tcBorders>
              <w:top w:val="nil"/>
              <w:bottom w:val="single" w:sz="4" w:space="0" w:color="auto"/>
            </w:tcBorders>
            <w:noWrap/>
            <w:vAlign w:val="center"/>
          </w:tcPr>
          <w:p w14:paraId="4A435FA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12.6%</w:t>
            </w:r>
          </w:p>
        </w:tc>
        <w:tc>
          <w:tcPr>
            <w:tcW w:w="675" w:type="dxa"/>
            <w:tcBorders>
              <w:top w:val="nil"/>
              <w:bottom w:val="single" w:sz="4" w:space="0" w:color="auto"/>
            </w:tcBorders>
            <w:noWrap/>
            <w:vAlign w:val="center"/>
          </w:tcPr>
          <w:p w14:paraId="15BA9A6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10.1%</w:t>
            </w:r>
          </w:p>
        </w:tc>
        <w:tc>
          <w:tcPr>
            <w:tcW w:w="676" w:type="dxa"/>
            <w:tcBorders>
              <w:top w:val="nil"/>
              <w:bottom w:val="single" w:sz="4" w:space="0" w:color="auto"/>
            </w:tcBorders>
            <w:noWrap/>
            <w:vAlign w:val="center"/>
          </w:tcPr>
          <w:p w14:paraId="32C18B5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6.4%</w:t>
            </w:r>
          </w:p>
        </w:tc>
        <w:tc>
          <w:tcPr>
            <w:tcW w:w="676" w:type="dxa"/>
            <w:tcBorders>
              <w:top w:val="nil"/>
              <w:bottom w:val="single" w:sz="4" w:space="0" w:color="auto"/>
            </w:tcBorders>
            <w:noWrap/>
            <w:vAlign w:val="center"/>
          </w:tcPr>
          <w:p w14:paraId="460AD44E"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3.6%</w:t>
            </w:r>
          </w:p>
        </w:tc>
        <w:tc>
          <w:tcPr>
            <w:tcW w:w="675" w:type="dxa"/>
            <w:tcBorders>
              <w:top w:val="nil"/>
              <w:bottom w:val="single" w:sz="4" w:space="0" w:color="auto"/>
            </w:tcBorders>
            <w:noWrap/>
            <w:vAlign w:val="center"/>
          </w:tcPr>
          <w:p w14:paraId="287F966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14.8%</w:t>
            </w:r>
          </w:p>
        </w:tc>
        <w:tc>
          <w:tcPr>
            <w:tcW w:w="676" w:type="dxa"/>
            <w:tcBorders>
              <w:top w:val="nil"/>
              <w:bottom w:val="single" w:sz="4" w:space="0" w:color="auto"/>
            </w:tcBorders>
            <w:noWrap/>
            <w:vAlign w:val="center"/>
          </w:tcPr>
          <w:p w14:paraId="41BA57C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11.7%</w:t>
            </w:r>
          </w:p>
        </w:tc>
        <w:tc>
          <w:tcPr>
            <w:tcW w:w="676" w:type="dxa"/>
            <w:tcBorders>
              <w:top w:val="nil"/>
              <w:bottom w:val="single" w:sz="4" w:space="0" w:color="auto"/>
            </w:tcBorders>
            <w:noWrap/>
            <w:vAlign w:val="center"/>
          </w:tcPr>
          <w:p w14:paraId="24C6E72E"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11.6%</w:t>
            </w:r>
          </w:p>
        </w:tc>
      </w:tr>
      <w:tr w:rsidR="004E477F" w:rsidRPr="00855265" w14:paraId="638A43E1"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6FE80706"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Starting Institution</w:t>
            </w:r>
          </w:p>
        </w:tc>
        <w:tc>
          <w:tcPr>
            <w:tcW w:w="1080" w:type="dxa"/>
            <w:tcBorders>
              <w:top w:val="single" w:sz="4" w:space="0" w:color="auto"/>
              <w:bottom w:val="nil"/>
            </w:tcBorders>
            <w:noWrap/>
            <w:vAlign w:val="center"/>
          </w:tcPr>
          <w:p w14:paraId="33626073"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601AEB9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3.1%</w:t>
            </w:r>
          </w:p>
        </w:tc>
        <w:tc>
          <w:tcPr>
            <w:tcW w:w="676" w:type="dxa"/>
            <w:tcBorders>
              <w:top w:val="single" w:sz="4" w:space="0" w:color="auto"/>
              <w:bottom w:val="nil"/>
            </w:tcBorders>
            <w:noWrap/>
            <w:vAlign w:val="center"/>
          </w:tcPr>
          <w:p w14:paraId="03CC5167"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9.0%</w:t>
            </w:r>
          </w:p>
        </w:tc>
        <w:tc>
          <w:tcPr>
            <w:tcW w:w="675" w:type="dxa"/>
            <w:tcBorders>
              <w:top w:val="single" w:sz="4" w:space="0" w:color="auto"/>
              <w:bottom w:val="nil"/>
            </w:tcBorders>
            <w:noWrap/>
            <w:vAlign w:val="center"/>
          </w:tcPr>
          <w:p w14:paraId="505B9E94"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1.3%</w:t>
            </w:r>
          </w:p>
        </w:tc>
        <w:tc>
          <w:tcPr>
            <w:tcW w:w="676" w:type="dxa"/>
            <w:tcBorders>
              <w:top w:val="single" w:sz="4" w:space="0" w:color="auto"/>
              <w:bottom w:val="nil"/>
            </w:tcBorders>
            <w:noWrap/>
            <w:vAlign w:val="center"/>
          </w:tcPr>
          <w:p w14:paraId="65DF7C8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3.8%</w:t>
            </w:r>
          </w:p>
        </w:tc>
        <w:tc>
          <w:tcPr>
            <w:tcW w:w="676" w:type="dxa"/>
            <w:tcBorders>
              <w:top w:val="single" w:sz="4" w:space="0" w:color="auto"/>
              <w:bottom w:val="nil"/>
            </w:tcBorders>
            <w:noWrap/>
            <w:vAlign w:val="center"/>
          </w:tcPr>
          <w:p w14:paraId="49B8AB3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4.1%</w:t>
            </w:r>
          </w:p>
        </w:tc>
        <w:tc>
          <w:tcPr>
            <w:tcW w:w="675" w:type="dxa"/>
            <w:tcBorders>
              <w:top w:val="single" w:sz="4" w:space="0" w:color="auto"/>
              <w:bottom w:val="nil"/>
            </w:tcBorders>
            <w:noWrap/>
            <w:vAlign w:val="center"/>
          </w:tcPr>
          <w:p w14:paraId="4C8E5AD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3.2%</w:t>
            </w:r>
          </w:p>
        </w:tc>
        <w:tc>
          <w:tcPr>
            <w:tcW w:w="676" w:type="dxa"/>
            <w:tcBorders>
              <w:top w:val="single" w:sz="4" w:space="0" w:color="auto"/>
              <w:bottom w:val="nil"/>
            </w:tcBorders>
            <w:noWrap/>
            <w:vAlign w:val="center"/>
          </w:tcPr>
          <w:p w14:paraId="0C3ECFFB"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5.4%</w:t>
            </w:r>
          </w:p>
        </w:tc>
        <w:tc>
          <w:tcPr>
            <w:tcW w:w="676" w:type="dxa"/>
            <w:tcBorders>
              <w:top w:val="single" w:sz="4" w:space="0" w:color="auto"/>
              <w:bottom w:val="nil"/>
            </w:tcBorders>
            <w:noWrap/>
            <w:vAlign w:val="center"/>
          </w:tcPr>
          <w:p w14:paraId="60BD91AB"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3.9%</w:t>
            </w:r>
          </w:p>
        </w:tc>
      </w:tr>
      <w:tr w:rsidR="004E477F" w:rsidRPr="00855265" w14:paraId="28A113C7"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4A5B0B1E"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Starting Institution</w:t>
            </w:r>
          </w:p>
        </w:tc>
        <w:tc>
          <w:tcPr>
            <w:tcW w:w="1080" w:type="dxa"/>
            <w:tcBorders>
              <w:top w:val="nil"/>
              <w:bottom w:val="nil"/>
            </w:tcBorders>
            <w:noWrap/>
            <w:vAlign w:val="center"/>
          </w:tcPr>
          <w:p w14:paraId="21C66BD2"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54231CA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2.6%</w:t>
            </w:r>
          </w:p>
        </w:tc>
        <w:tc>
          <w:tcPr>
            <w:tcW w:w="676" w:type="dxa"/>
            <w:tcBorders>
              <w:top w:val="nil"/>
              <w:bottom w:val="nil"/>
            </w:tcBorders>
            <w:noWrap/>
            <w:vAlign w:val="center"/>
          </w:tcPr>
          <w:p w14:paraId="620FD3F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8.0%</w:t>
            </w:r>
          </w:p>
        </w:tc>
        <w:tc>
          <w:tcPr>
            <w:tcW w:w="675" w:type="dxa"/>
            <w:tcBorders>
              <w:top w:val="nil"/>
              <w:bottom w:val="nil"/>
            </w:tcBorders>
            <w:noWrap/>
            <w:vAlign w:val="center"/>
          </w:tcPr>
          <w:p w14:paraId="144390A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1.4%</w:t>
            </w:r>
          </w:p>
        </w:tc>
        <w:tc>
          <w:tcPr>
            <w:tcW w:w="676" w:type="dxa"/>
            <w:tcBorders>
              <w:top w:val="nil"/>
              <w:bottom w:val="nil"/>
            </w:tcBorders>
            <w:noWrap/>
            <w:vAlign w:val="center"/>
          </w:tcPr>
          <w:p w14:paraId="7F1071E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0.0%</w:t>
            </w:r>
          </w:p>
        </w:tc>
        <w:tc>
          <w:tcPr>
            <w:tcW w:w="676" w:type="dxa"/>
            <w:tcBorders>
              <w:top w:val="nil"/>
              <w:bottom w:val="nil"/>
            </w:tcBorders>
            <w:noWrap/>
            <w:vAlign w:val="center"/>
          </w:tcPr>
          <w:p w14:paraId="34EE05E8"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0.0%</w:t>
            </w:r>
          </w:p>
        </w:tc>
        <w:tc>
          <w:tcPr>
            <w:tcW w:w="675" w:type="dxa"/>
            <w:tcBorders>
              <w:top w:val="nil"/>
              <w:bottom w:val="nil"/>
            </w:tcBorders>
            <w:noWrap/>
            <w:vAlign w:val="center"/>
          </w:tcPr>
          <w:p w14:paraId="2A65534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1.3%</w:t>
            </w:r>
          </w:p>
        </w:tc>
        <w:tc>
          <w:tcPr>
            <w:tcW w:w="676" w:type="dxa"/>
            <w:tcBorders>
              <w:top w:val="nil"/>
              <w:bottom w:val="nil"/>
            </w:tcBorders>
            <w:noWrap/>
            <w:vAlign w:val="center"/>
          </w:tcPr>
          <w:p w14:paraId="0C377A0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5.6%</w:t>
            </w:r>
          </w:p>
        </w:tc>
        <w:tc>
          <w:tcPr>
            <w:tcW w:w="676" w:type="dxa"/>
            <w:tcBorders>
              <w:top w:val="nil"/>
              <w:bottom w:val="nil"/>
            </w:tcBorders>
            <w:noWrap/>
            <w:vAlign w:val="center"/>
          </w:tcPr>
          <w:p w14:paraId="4751CFE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2.9%</w:t>
            </w:r>
          </w:p>
        </w:tc>
      </w:tr>
      <w:tr w:rsidR="004E477F" w:rsidRPr="00855265" w14:paraId="56C4D8F7"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46808ABD"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t>Enrolled at Starting Institution</w:t>
            </w:r>
          </w:p>
        </w:tc>
        <w:tc>
          <w:tcPr>
            <w:tcW w:w="1080" w:type="dxa"/>
            <w:tcBorders>
              <w:top w:val="nil"/>
              <w:bottom w:val="single" w:sz="4" w:space="0" w:color="auto"/>
            </w:tcBorders>
            <w:noWrap/>
            <w:vAlign w:val="center"/>
          </w:tcPr>
          <w:p w14:paraId="4C575F82"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4EF7D8D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2.7%</w:t>
            </w:r>
          </w:p>
        </w:tc>
        <w:tc>
          <w:tcPr>
            <w:tcW w:w="676" w:type="dxa"/>
            <w:tcBorders>
              <w:top w:val="nil"/>
              <w:bottom w:val="single" w:sz="4" w:space="0" w:color="auto"/>
            </w:tcBorders>
            <w:noWrap/>
            <w:vAlign w:val="center"/>
          </w:tcPr>
          <w:p w14:paraId="1545948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8.6%</w:t>
            </w:r>
          </w:p>
        </w:tc>
        <w:tc>
          <w:tcPr>
            <w:tcW w:w="675" w:type="dxa"/>
            <w:tcBorders>
              <w:top w:val="nil"/>
              <w:bottom w:val="single" w:sz="4" w:space="0" w:color="auto"/>
            </w:tcBorders>
            <w:noWrap/>
            <w:vAlign w:val="center"/>
          </w:tcPr>
          <w:p w14:paraId="2960E22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1.3%</w:t>
            </w:r>
          </w:p>
        </w:tc>
        <w:tc>
          <w:tcPr>
            <w:tcW w:w="676" w:type="dxa"/>
            <w:tcBorders>
              <w:top w:val="nil"/>
              <w:bottom w:val="single" w:sz="4" w:space="0" w:color="auto"/>
            </w:tcBorders>
            <w:noWrap/>
            <w:vAlign w:val="center"/>
          </w:tcPr>
          <w:p w14:paraId="04CFDDF7"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2.1%</w:t>
            </w:r>
          </w:p>
        </w:tc>
        <w:tc>
          <w:tcPr>
            <w:tcW w:w="676" w:type="dxa"/>
            <w:tcBorders>
              <w:top w:val="nil"/>
              <w:bottom w:val="single" w:sz="4" w:space="0" w:color="auto"/>
            </w:tcBorders>
            <w:noWrap/>
            <w:vAlign w:val="center"/>
          </w:tcPr>
          <w:p w14:paraId="3582F545"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2.7%</w:t>
            </w:r>
          </w:p>
        </w:tc>
        <w:tc>
          <w:tcPr>
            <w:tcW w:w="675" w:type="dxa"/>
            <w:tcBorders>
              <w:top w:val="nil"/>
              <w:bottom w:val="single" w:sz="4" w:space="0" w:color="auto"/>
            </w:tcBorders>
            <w:noWrap/>
            <w:vAlign w:val="center"/>
          </w:tcPr>
          <w:p w14:paraId="7C0815CE"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2.4%</w:t>
            </w:r>
          </w:p>
        </w:tc>
        <w:tc>
          <w:tcPr>
            <w:tcW w:w="676" w:type="dxa"/>
            <w:tcBorders>
              <w:top w:val="nil"/>
              <w:bottom w:val="single" w:sz="4" w:space="0" w:color="auto"/>
            </w:tcBorders>
            <w:noWrap/>
            <w:vAlign w:val="center"/>
          </w:tcPr>
          <w:p w14:paraId="5D39737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5.5%</w:t>
            </w:r>
          </w:p>
        </w:tc>
        <w:tc>
          <w:tcPr>
            <w:tcW w:w="676" w:type="dxa"/>
            <w:tcBorders>
              <w:top w:val="nil"/>
              <w:bottom w:val="single" w:sz="4" w:space="0" w:color="auto"/>
            </w:tcBorders>
            <w:noWrap/>
            <w:vAlign w:val="center"/>
          </w:tcPr>
          <w:p w14:paraId="000EE71C"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3.3%</w:t>
            </w:r>
          </w:p>
        </w:tc>
      </w:tr>
      <w:tr w:rsidR="004E477F" w:rsidRPr="00855265" w14:paraId="1844BB2A"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58C4539F"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Other Institution</w:t>
            </w:r>
          </w:p>
        </w:tc>
        <w:tc>
          <w:tcPr>
            <w:tcW w:w="1080" w:type="dxa"/>
            <w:tcBorders>
              <w:top w:val="single" w:sz="4" w:space="0" w:color="auto"/>
              <w:bottom w:val="nil"/>
            </w:tcBorders>
            <w:noWrap/>
            <w:vAlign w:val="center"/>
          </w:tcPr>
          <w:p w14:paraId="7EC8E4B5"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7BFAEDC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5.8%</w:t>
            </w:r>
          </w:p>
        </w:tc>
        <w:tc>
          <w:tcPr>
            <w:tcW w:w="676" w:type="dxa"/>
            <w:tcBorders>
              <w:top w:val="single" w:sz="4" w:space="0" w:color="auto"/>
              <w:bottom w:val="nil"/>
            </w:tcBorders>
            <w:noWrap/>
            <w:vAlign w:val="center"/>
          </w:tcPr>
          <w:p w14:paraId="64821A5A"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8.0%</w:t>
            </w:r>
          </w:p>
        </w:tc>
        <w:tc>
          <w:tcPr>
            <w:tcW w:w="675" w:type="dxa"/>
            <w:tcBorders>
              <w:top w:val="single" w:sz="4" w:space="0" w:color="auto"/>
              <w:bottom w:val="nil"/>
            </w:tcBorders>
            <w:noWrap/>
            <w:vAlign w:val="center"/>
          </w:tcPr>
          <w:p w14:paraId="6E39EE25"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6.6%</w:t>
            </w:r>
          </w:p>
        </w:tc>
        <w:tc>
          <w:tcPr>
            <w:tcW w:w="676" w:type="dxa"/>
            <w:tcBorders>
              <w:top w:val="single" w:sz="4" w:space="0" w:color="auto"/>
              <w:bottom w:val="nil"/>
            </w:tcBorders>
            <w:noWrap/>
            <w:vAlign w:val="center"/>
          </w:tcPr>
          <w:p w14:paraId="3F720085"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7.5%</w:t>
            </w:r>
          </w:p>
        </w:tc>
        <w:tc>
          <w:tcPr>
            <w:tcW w:w="676" w:type="dxa"/>
            <w:tcBorders>
              <w:top w:val="single" w:sz="4" w:space="0" w:color="auto"/>
              <w:bottom w:val="nil"/>
            </w:tcBorders>
            <w:noWrap/>
            <w:vAlign w:val="center"/>
          </w:tcPr>
          <w:p w14:paraId="138ACA8E"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4.1%</w:t>
            </w:r>
          </w:p>
        </w:tc>
        <w:tc>
          <w:tcPr>
            <w:tcW w:w="675" w:type="dxa"/>
            <w:tcBorders>
              <w:top w:val="single" w:sz="4" w:space="0" w:color="auto"/>
              <w:bottom w:val="nil"/>
            </w:tcBorders>
            <w:noWrap/>
            <w:vAlign w:val="center"/>
          </w:tcPr>
          <w:p w14:paraId="4E89741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3.2%</w:t>
            </w:r>
          </w:p>
        </w:tc>
        <w:tc>
          <w:tcPr>
            <w:tcW w:w="676" w:type="dxa"/>
            <w:tcBorders>
              <w:top w:val="single" w:sz="4" w:space="0" w:color="auto"/>
              <w:bottom w:val="nil"/>
            </w:tcBorders>
            <w:noWrap/>
            <w:vAlign w:val="center"/>
          </w:tcPr>
          <w:p w14:paraId="0A3678C9"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5.4%</w:t>
            </w:r>
          </w:p>
        </w:tc>
        <w:tc>
          <w:tcPr>
            <w:tcW w:w="676" w:type="dxa"/>
            <w:tcBorders>
              <w:top w:val="single" w:sz="4" w:space="0" w:color="auto"/>
              <w:bottom w:val="nil"/>
            </w:tcBorders>
            <w:noWrap/>
            <w:vAlign w:val="center"/>
          </w:tcPr>
          <w:p w14:paraId="66C46ADE"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5.8%</w:t>
            </w:r>
          </w:p>
        </w:tc>
      </w:tr>
      <w:tr w:rsidR="004E477F" w:rsidRPr="00855265" w14:paraId="584F915D"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1FCCFF0B"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Other Institution</w:t>
            </w:r>
          </w:p>
        </w:tc>
        <w:tc>
          <w:tcPr>
            <w:tcW w:w="1080" w:type="dxa"/>
            <w:tcBorders>
              <w:top w:val="nil"/>
              <w:bottom w:val="nil"/>
            </w:tcBorders>
            <w:noWrap/>
            <w:vAlign w:val="center"/>
          </w:tcPr>
          <w:p w14:paraId="16611919"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260C8E3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4.2%</w:t>
            </w:r>
          </w:p>
        </w:tc>
        <w:tc>
          <w:tcPr>
            <w:tcW w:w="676" w:type="dxa"/>
            <w:tcBorders>
              <w:top w:val="nil"/>
              <w:bottom w:val="nil"/>
            </w:tcBorders>
            <w:noWrap/>
            <w:vAlign w:val="center"/>
          </w:tcPr>
          <w:p w14:paraId="4AB91F1C"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6.7%</w:t>
            </w:r>
          </w:p>
        </w:tc>
        <w:tc>
          <w:tcPr>
            <w:tcW w:w="675" w:type="dxa"/>
            <w:tcBorders>
              <w:top w:val="nil"/>
              <w:bottom w:val="nil"/>
            </w:tcBorders>
            <w:noWrap/>
            <w:vAlign w:val="center"/>
          </w:tcPr>
          <w:p w14:paraId="3AEB5F6C"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5.0%</w:t>
            </w:r>
          </w:p>
        </w:tc>
        <w:tc>
          <w:tcPr>
            <w:tcW w:w="676" w:type="dxa"/>
            <w:tcBorders>
              <w:top w:val="nil"/>
              <w:bottom w:val="nil"/>
            </w:tcBorders>
            <w:noWrap/>
            <w:vAlign w:val="center"/>
          </w:tcPr>
          <w:p w14:paraId="72B87B7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7.3%</w:t>
            </w:r>
          </w:p>
        </w:tc>
        <w:tc>
          <w:tcPr>
            <w:tcW w:w="676" w:type="dxa"/>
            <w:tcBorders>
              <w:top w:val="nil"/>
              <w:bottom w:val="nil"/>
            </w:tcBorders>
            <w:noWrap/>
            <w:vAlign w:val="center"/>
          </w:tcPr>
          <w:p w14:paraId="2A646349"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8.1%</w:t>
            </w:r>
          </w:p>
        </w:tc>
        <w:tc>
          <w:tcPr>
            <w:tcW w:w="675" w:type="dxa"/>
            <w:tcBorders>
              <w:top w:val="nil"/>
              <w:bottom w:val="nil"/>
            </w:tcBorders>
            <w:noWrap/>
            <w:vAlign w:val="center"/>
          </w:tcPr>
          <w:p w14:paraId="6841BB1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1.3%</w:t>
            </w:r>
          </w:p>
        </w:tc>
        <w:tc>
          <w:tcPr>
            <w:tcW w:w="676" w:type="dxa"/>
            <w:tcBorders>
              <w:top w:val="nil"/>
              <w:bottom w:val="nil"/>
            </w:tcBorders>
            <w:noWrap/>
            <w:vAlign w:val="center"/>
          </w:tcPr>
          <w:p w14:paraId="3CB242F5"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5.6%</w:t>
            </w:r>
          </w:p>
        </w:tc>
        <w:tc>
          <w:tcPr>
            <w:tcW w:w="676" w:type="dxa"/>
            <w:tcBorders>
              <w:top w:val="nil"/>
              <w:bottom w:val="nil"/>
            </w:tcBorders>
            <w:noWrap/>
            <w:vAlign w:val="center"/>
          </w:tcPr>
          <w:p w14:paraId="1DBF8B4B"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4.5%</w:t>
            </w:r>
          </w:p>
        </w:tc>
      </w:tr>
      <w:tr w:rsidR="004E477F" w:rsidRPr="00855265" w14:paraId="6FA8D1C9"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7F8883CF"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t>Enrolled at Other Institution</w:t>
            </w:r>
          </w:p>
        </w:tc>
        <w:tc>
          <w:tcPr>
            <w:tcW w:w="1080" w:type="dxa"/>
            <w:tcBorders>
              <w:top w:val="nil"/>
              <w:bottom w:val="single" w:sz="4" w:space="0" w:color="auto"/>
            </w:tcBorders>
            <w:noWrap/>
            <w:vAlign w:val="center"/>
          </w:tcPr>
          <w:p w14:paraId="33359309"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29569D68"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4.7%</w:t>
            </w:r>
          </w:p>
        </w:tc>
        <w:tc>
          <w:tcPr>
            <w:tcW w:w="676" w:type="dxa"/>
            <w:tcBorders>
              <w:top w:val="nil"/>
              <w:bottom w:val="single" w:sz="4" w:space="0" w:color="auto"/>
            </w:tcBorders>
            <w:noWrap/>
            <w:vAlign w:val="center"/>
          </w:tcPr>
          <w:p w14:paraId="7AE1702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7.4%</w:t>
            </w:r>
          </w:p>
        </w:tc>
        <w:tc>
          <w:tcPr>
            <w:tcW w:w="675" w:type="dxa"/>
            <w:tcBorders>
              <w:top w:val="nil"/>
              <w:bottom w:val="single" w:sz="4" w:space="0" w:color="auto"/>
            </w:tcBorders>
            <w:noWrap/>
            <w:vAlign w:val="center"/>
          </w:tcPr>
          <w:p w14:paraId="35986C0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5.8%</w:t>
            </w:r>
          </w:p>
        </w:tc>
        <w:tc>
          <w:tcPr>
            <w:tcW w:w="676" w:type="dxa"/>
            <w:tcBorders>
              <w:top w:val="nil"/>
              <w:bottom w:val="single" w:sz="4" w:space="0" w:color="auto"/>
            </w:tcBorders>
            <w:noWrap/>
            <w:vAlign w:val="center"/>
          </w:tcPr>
          <w:p w14:paraId="3375E725"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7.4%</w:t>
            </w:r>
          </w:p>
        </w:tc>
        <w:tc>
          <w:tcPr>
            <w:tcW w:w="676" w:type="dxa"/>
            <w:tcBorders>
              <w:top w:val="nil"/>
              <w:bottom w:val="single" w:sz="4" w:space="0" w:color="auto"/>
            </w:tcBorders>
            <w:noWrap/>
            <w:vAlign w:val="center"/>
          </w:tcPr>
          <w:p w14:paraId="4D3147AA"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5.4%</w:t>
            </w:r>
          </w:p>
        </w:tc>
        <w:tc>
          <w:tcPr>
            <w:tcW w:w="675" w:type="dxa"/>
            <w:tcBorders>
              <w:top w:val="nil"/>
              <w:bottom w:val="single" w:sz="4" w:space="0" w:color="auto"/>
            </w:tcBorders>
            <w:noWrap/>
            <w:vAlign w:val="center"/>
          </w:tcPr>
          <w:p w14:paraId="76971AB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2.4%</w:t>
            </w:r>
          </w:p>
        </w:tc>
        <w:tc>
          <w:tcPr>
            <w:tcW w:w="676" w:type="dxa"/>
            <w:tcBorders>
              <w:top w:val="nil"/>
              <w:bottom w:val="single" w:sz="4" w:space="0" w:color="auto"/>
            </w:tcBorders>
            <w:noWrap/>
            <w:vAlign w:val="center"/>
          </w:tcPr>
          <w:p w14:paraId="1DE82BF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5.5%</w:t>
            </w:r>
          </w:p>
        </w:tc>
        <w:tc>
          <w:tcPr>
            <w:tcW w:w="676" w:type="dxa"/>
            <w:tcBorders>
              <w:top w:val="nil"/>
              <w:bottom w:val="single" w:sz="4" w:space="0" w:color="auto"/>
            </w:tcBorders>
            <w:noWrap/>
            <w:vAlign w:val="center"/>
          </w:tcPr>
          <w:p w14:paraId="6EEC05D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5.1%</w:t>
            </w:r>
          </w:p>
        </w:tc>
      </w:tr>
      <w:tr w:rsidR="004E477F" w:rsidRPr="00855265" w14:paraId="2426610E"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3A84ED5A"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Not Enrolled; Did Not Complete</w:t>
            </w:r>
          </w:p>
        </w:tc>
        <w:tc>
          <w:tcPr>
            <w:tcW w:w="1080" w:type="dxa"/>
            <w:tcBorders>
              <w:top w:val="single" w:sz="4" w:space="0" w:color="auto"/>
              <w:bottom w:val="nil"/>
            </w:tcBorders>
            <w:noWrap/>
            <w:vAlign w:val="center"/>
          </w:tcPr>
          <w:p w14:paraId="18926DBD"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4488AF8C"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32.1%</w:t>
            </w:r>
          </w:p>
        </w:tc>
        <w:tc>
          <w:tcPr>
            <w:tcW w:w="676" w:type="dxa"/>
            <w:tcBorders>
              <w:top w:val="single" w:sz="4" w:space="0" w:color="auto"/>
              <w:bottom w:val="nil"/>
            </w:tcBorders>
            <w:noWrap/>
            <w:vAlign w:val="center"/>
          </w:tcPr>
          <w:p w14:paraId="4AC3571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61.0%</w:t>
            </w:r>
          </w:p>
        </w:tc>
        <w:tc>
          <w:tcPr>
            <w:tcW w:w="675" w:type="dxa"/>
            <w:tcBorders>
              <w:top w:val="single" w:sz="4" w:space="0" w:color="auto"/>
              <w:bottom w:val="nil"/>
            </w:tcBorders>
            <w:noWrap/>
            <w:vAlign w:val="center"/>
          </w:tcPr>
          <w:p w14:paraId="42EFEC69"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34.1%</w:t>
            </w:r>
          </w:p>
        </w:tc>
        <w:tc>
          <w:tcPr>
            <w:tcW w:w="676" w:type="dxa"/>
            <w:tcBorders>
              <w:top w:val="single" w:sz="4" w:space="0" w:color="auto"/>
              <w:bottom w:val="nil"/>
            </w:tcBorders>
            <w:noWrap/>
            <w:vAlign w:val="center"/>
          </w:tcPr>
          <w:p w14:paraId="094D4BB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37.7%</w:t>
            </w:r>
          </w:p>
        </w:tc>
        <w:tc>
          <w:tcPr>
            <w:tcW w:w="676" w:type="dxa"/>
            <w:tcBorders>
              <w:top w:val="single" w:sz="4" w:space="0" w:color="auto"/>
              <w:bottom w:val="nil"/>
            </w:tcBorders>
            <w:noWrap/>
            <w:vAlign w:val="center"/>
          </w:tcPr>
          <w:p w14:paraId="755D8D14"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59.5%</w:t>
            </w:r>
          </w:p>
        </w:tc>
        <w:tc>
          <w:tcPr>
            <w:tcW w:w="675" w:type="dxa"/>
            <w:tcBorders>
              <w:top w:val="single" w:sz="4" w:space="0" w:color="auto"/>
              <w:bottom w:val="nil"/>
            </w:tcBorders>
            <w:noWrap/>
            <w:vAlign w:val="center"/>
          </w:tcPr>
          <w:p w14:paraId="20FA38EB"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47.3%</w:t>
            </w:r>
          </w:p>
        </w:tc>
        <w:tc>
          <w:tcPr>
            <w:tcW w:w="676" w:type="dxa"/>
            <w:tcBorders>
              <w:top w:val="single" w:sz="4" w:space="0" w:color="auto"/>
              <w:bottom w:val="nil"/>
            </w:tcBorders>
            <w:noWrap/>
            <w:vAlign w:val="center"/>
          </w:tcPr>
          <w:p w14:paraId="3A66649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48.8%</w:t>
            </w:r>
          </w:p>
        </w:tc>
        <w:tc>
          <w:tcPr>
            <w:tcW w:w="676" w:type="dxa"/>
            <w:tcBorders>
              <w:top w:val="single" w:sz="4" w:space="0" w:color="auto"/>
              <w:bottom w:val="nil"/>
            </w:tcBorders>
            <w:noWrap/>
            <w:vAlign w:val="center"/>
          </w:tcPr>
          <w:p w14:paraId="052CD65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40.9%</w:t>
            </w:r>
          </w:p>
        </w:tc>
      </w:tr>
      <w:tr w:rsidR="004E477F" w:rsidRPr="00855265" w14:paraId="194166E5"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6F660D15"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Not Enrolled; Did Not Complete</w:t>
            </w:r>
          </w:p>
        </w:tc>
        <w:tc>
          <w:tcPr>
            <w:tcW w:w="1080" w:type="dxa"/>
            <w:tcBorders>
              <w:top w:val="nil"/>
              <w:bottom w:val="nil"/>
            </w:tcBorders>
            <w:noWrap/>
            <w:vAlign w:val="center"/>
          </w:tcPr>
          <w:p w14:paraId="3910C4E8"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535ECFD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17.5%</w:t>
            </w:r>
          </w:p>
        </w:tc>
        <w:tc>
          <w:tcPr>
            <w:tcW w:w="676" w:type="dxa"/>
            <w:tcBorders>
              <w:top w:val="nil"/>
              <w:bottom w:val="nil"/>
            </w:tcBorders>
            <w:noWrap/>
            <w:vAlign w:val="center"/>
          </w:tcPr>
          <w:p w14:paraId="775984C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41.3%</w:t>
            </w:r>
          </w:p>
        </w:tc>
        <w:tc>
          <w:tcPr>
            <w:tcW w:w="675" w:type="dxa"/>
            <w:tcBorders>
              <w:top w:val="nil"/>
              <w:bottom w:val="nil"/>
            </w:tcBorders>
            <w:noWrap/>
            <w:vAlign w:val="center"/>
          </w:tcPr>
          <w:p w14:paraId="4049017E"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20.2%</w:t>
            </w:r>
          </w:p>
        </w:tc>
        <w:tc>
          <w:tcPr>
            <w:tcW w:w="676" w:type="dxa"/>
            <w:tcBorders>
              <w:top w:val="nil"/>
              <w:bottom w:val="nil"/>
            </w:tcBorders>
            <w:noWrap/>
            <w:vAlign w:val="center"/>
          </w:tcPr>
          <w:p w14:paraId="4BCB2832"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39.0%</w:t>
            </w:r>
          </w:p>
        </w:tc>
        <w:tc>
          <w:tcPr>
            <w:tcW w:w="676" w:type="dxa"/>
            <w:tcBorders>
              <w:top w:val="nil"/>
              <w:bottom w:val="nil"/>
            </w:tcBorders>
            <w:noWrap/>
            <w:vAlign w:val="center"/>
          </w:tcPr>
          <w:p w14:paraId="4BD1F5C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70.3%</w:t>
            </w:r>
          </w:p>
        </w:tc>
        <w:tc>
          <w:tcPr>
            <w:tcW w:w="675" w:type="dxa"/>
            <w:tcBorders>
              <w:top w:val="nil"/>
              <w:bottom w:val="nil"/>
            </w:tcBorders>
            <w:noWrap/>
            <w:vAlign w:val="center"/>
          </w:tcPr>
          <w:p w14:paraId="50CFD26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35.5%</w:t>
            </w:r>
          </w:p>
        </w:tc>
        <w:tc>
          <w:tcPr>
            <w:tcW w:w="676" w:type="dxa"/>
            <w:tcBorders>
              <w:top w:val="nil"/>
              <w:bottom w:val="nil"/>
            </w:tcBorders>
            <w:noWrap/>
            <w:vAlign w:val="center"/>
          </w:tcPr>
          <w:p w14:paraId="4FC788D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33.7%</w:t>
            </w:r>
          </w:p>
        </w:tc>
        <w:tc>
          <w:tcPr>
            <w:tcW w:w="676" w:type="dxa"/>
            <w:tcBorders>
              <w:top w:val="nil"/>
              <w:bottom w:val="nil"/>
            </w:tcBorders>
            <w:noWrap/>
            <w:vAlign w:val="center"/>
          </w:tcPr>
          <w:p w14:paraId="34D98EA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22.7%</w:t>
            </w:r>
          </w:p>
        </w:tc>
      </w:tr>
      <w:tr w:rsidR="004E477F" w:rsidRPr="00855265" w14:paraId="25BB133F"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7D151FB4"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lastRenderedPageBreak/>
              <w:t>Not Enrolled; Did Not Complete</w:t>
            </w:r>
          </w:p>
        </w:tc>
        <w:tc>
          <w:tcPr>
            <w:tcW w:w="1080" w:type="dxa"/>
            <w:tcBorders>
              <w:top w:val="nil"/>
              <w:bottom w:val="single" w:sz="4" w:space="0" w:color="auto"/>
            </w:tcBorders>
            <w:noWrap/>
            <w:vAlign w:val="center"/>
          </w:tcPr>
          <w:p w14:paraId="2E6E254B"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52996D1C"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22.0%</w:t>
            </w:r>
          </w:p>
        </w:tc>
        <w:tc>
          <w:tcPr>
            <w:tcW w:w="676" w:type="dxa"/>
            <w:tcBorders>
              <w:top w:val="nil"/>
              <w:bottom w:val="single" w:sz="4" w:space="0" w:color="auto"/>
            </w:tcBorders>
            <w:noWrap/>
            <w:vAlign w:val="center"/>
          </w:tcPr>
          <w:p w14:paraId="62FBB43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52.6%</w:t>
            </w:r>
          </w:p>
        </w:tc>
        <w:tc>
          <w:tcPr>
            <w:tcW w:w="675" w:type="dxa"/>
            <w:tcBorders>
              <w:top w:val="nil"/>
              <w:bottom w:val="single" w:sz="4" w:space="0" w:color="auto"/>
            </w:tcBorders>
            <w:noWrap/>
            <w:vAlign w:val="center"/>
          </w:tcPr>
          <w:p w14:paraId="6D3DBB8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27.3%</w:t>
            </w:r>
          </w:p>
        </w:tc>
        <w:tc>
          <w:tcPr>
            <w:tcW w:w="676" w:type="dxa"/>
            <w:tcBorders>
              <w:top w:val="nil"/>
              <w:bottom w:val="single" w:sz="4" w:space="0" w:color="auto"/>
            </w:tcBorders>
            <w:noWrap/>
            <w:vAlign w:val="center"/>
          </w:tcPr>
          <w:p w14:paraId="744F4B0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38.3%</w:t>
            </w:r>
          </w:p>
        </w:tc>
        <w:tc>
          <w:tcPr>
            <w:tcW w:w="676" w:type="dxa"/>
            <w:tcBorders>
              <w:top w:val="nil"/>
              <w:bottom w:val="single" w:sz="4" w:space="0" w:color="auto"/>
            </w:tcBorders>
            <w:noWrap/>
            <w:vAlign w:val="center"/>
          </w:tcPr>
          <w:p w14:paraId="20FE65D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63.1%</w:t>
            </w:r>
          </w:p>
        </w:tc>
        <w:tc>
          <w:tcPr>
            <w:tcW w:w="675" w:type="dxa"/>
            <w:tcBorders>
              <w:top w:val="nil"/>
              <w:bottom w:val="single" w:sz="4" w:space="0" w:color="auto"/>
            </w:tcBorders>
            <w:noWrap/>
            <w:vAlign w:val="center"/>
          </w:tcPr>
          <w:p w14:paraId="5A95032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42.0%</w:t>
            </w:r>
          </w:p>
        </w:tc>
        <w:tc>
          <w:tcPr>
            <w:tcW w:w="676" w:type="dxa"/>
            <w:tcBorders>
              <w:top w:val="nil"/>
              <w:bottom w:val="single" w:sz="4" w:space="0" w:color="auto"/>
            </w:tcBorders>
            <w:noWrap/>
            <w:vAlign w:val="center"/>
          </w:tcPr>
          <w:p w14:paraId="21A5DAA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42.7%</w:t>
            </w:r>
          </w:p>
        </w:tc>
        <w:tc>
          <w:tcPr>
            <w:tcW w:w="676" w:type="dxa"/>
            <w:tcBorders>
              <w:top w:val="nil"/>
              <w:bottom w:val="single" w:sz="4" w:space="0" w:color="auto"/>
            </w:tcBorders>
            <w:noWrap/>
            <w:vAlign w:val="center"/>
          </w:tcPr>
          <w:p w14:paraId="72C25EC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30.4%</w:t>
            </w:r>
          </w:p>
        </w:tc>
      </w:tr>
      <w:tr w:rsidR="004E477F" w:rsidRPr="00855265" w14:paraId="489C8724"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14DE23A4" w14:textId="77777777" w:rsidR="004E477F" w:rsidRPr="001539FA" w:rsidRDefault="004E477F" w:rsidP="00D67A46">
            <w:pPr>
              <w:rPr>
                <w:rFonts w:ascii="Calibri" w:hAnsi="Calibri" w:cs="Calibri"/>
                <w:i/>
                <w:iCs/>
                <w:color w:val="000000"/>
                <w:sz w:val="18"/>
                <w:szCs w:val="18"/>
              </w:rPr>
            </w:pPr>
            <w:r w:rsidRPr="001539FA">
              <w:rPr>
                <w:rFonts w:ascii="Calibri" w:hAnsi="Calibri" w:cs="Calibri"/>
                <w:i/>
                <w:iCs/>
                <w:color w:val="000000"/>
                <w:sz w:val="18"/>
                <w:szCs w:val="18"/>
              </w:rPr>
              <w:t>Total</w:t>
            </w:r>
          </w:p>
        </w:tc>
        <w:tc>
          <w:tcPr>
            <w:tcW w:w="1080" w:type="dxa"/>
            <w:noWrap/>
            <w:vAlign w:val="center"/>
          </w:tcPr>
          <w:p w14:paraId="290A168F"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i/>
                <w:iCs/>
                <w:color w:val="000000"/>
                <w:sz w:val="18"/>
                <w:szCs w:val="18"/>
              </w:rPr>
              <w:t>Total</w:t>
            </w:r>
          </w:p>
        </w:tc>
        <w:tc>
          <w:tcPr>
            <w:tcW w:w="675" w:type="dxa"/>
            <w:noWrap/>
            <w:vAlign w:val="center"/>
          </w:tcPr>
          <w:p w14:paraId="03102679" w14:textId="77777777" w:rsidR="004E477F" w:rsidRPr="00AC7E5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sidRPr="00AC7E5A">
              <w:rPr>
                <w:rFonts w:ascii="Calibri" w:hAnsi="Calibri" w:cs="Calibri"/>
                <w:b/>
                <w:bCs/>
                <w:i/>
                <w:iCs/>
                <w:color w:val="000000"/>
                <w:sz w:val="18"/>
                <w:szCs w:val="18"/>
              </w:rPr>
              <w:t>100%</w:t>
            </w:r>
          </w:p>
        </w:tc>
        <w:tc>
          <w:tcPr>
            <w:tcW w:w="676" w:type="dxa"/>
            <w:noWrap/>
            <w:vAlign w:val="center"/>
          </w:tcPr>
          <w:p w14:paraId="1DA09E1E" w14:textId="77777777" w:rsidR="004E477F" w:rsidRPr="00AC7E5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sidRPr="00AC7E5A">
              <w:rPr>
                <w:rFonts w:ascii="Calibri" w:hAnsi="Calibri" w:cs="Calibri"/>
                <w:b/>
                <w:bCs/>
                <w:i/>
                <w:iCs/>
                <w:color w:val="000000"/>
                <w:sz w:val="18"/>
                <w:szCs w:val="18"/>
              </w:rPr>
              <w:t>100%</w:t>
            </w:r>
          </w:p>
        </w:tc>
        <w:tc>
          <w:tcPr>
            <w:tcW w:w="675" w:type="dxa"/>
            <w:noWrap/>
            <w:vAlign w:val="center"/>
          </w:tcPr>
          <w:p w14:paraId="35DE942E" w14:textId="77777777" w:rsidR="004E477F" w:rsidRPr="00AC7E5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sidRPr="00AC7E5A">
              <w:rPr>
                <w:rFonts w:ascii="Calibri" w:hAnsi="Calibri" w:cs="Calibri"/>
                <w:b/>
                <w:bCs/>
                <w:i/>
                <w:iCs/>
                <w:color w:val="000000"/>
                <w:sz w:val="18"/>
                <w:szCs w:val="18"/>
              </w:rPr>
              <w:t>100%</w:t>
            </w:r>
          </w:p>
        </w:tc>
        <w:tc>
          <w:tcPr>
            <w:tcW w:w="676" w:type="dxa"/>
            <w:noWrap/>
            <w:vAlign w:val="center"/>
          </w:tcPr>
          <w:p w14:paraId="36E78ACB" w14:textId="77777777" w:rsidR="004E477F" w:rsidRPr="00AC7E5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sidRPr="00AC7E5A">
              <w:rPr>
                <w:rFonts w:ascii="Calibri" w:hAnsi="Calibri" w:cs="Calibri"/>
                <w:b/>
                <w:bCs/>
                <w:i/>
                <w:iCs/>
                <w:color w:val="000000"/>
                <w:sz w:val="18"/>
                <w:szCs w:val="18"/>
              </w:rPr>
              <w:t>100%</w:t>
            </w:r>
          </w:p>
        </w:tc>
        <w:tc>
          <w:tcPr>
            <w:tcW w:w="676" w:type="dxa"/>
            <w:noWrap/>
            <w:vAlign w:val="center"/>
          </w:tcPr>
          <w:p w14:paraId="6BC45EAB" w14:textId="77777777" w:rsidR="004E477F" w:rsidRPr="00AC7E5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sidRPr="00AC7E5A">
              <w:rPr>
                <w:rFonts w:ascii="Calibri" w:hAnsi="Calibri" w:cs="Calibri"/>
                <w:b/>
                <w:bCs/>
                <w:i/>
                <w:iCs/>
                <w:color w:val="000000"/>
                <w:sz w:val="18"/>
                <w:szCs w:val="18"/>
              </w:rPr>
              <w:t>100%</w:t>
            </w:r>
          </w:p>
        </w:tc>
        <w:tc>
          <w:tcPr>
            <w:tcW w:w="675" w:type="dxa"/>
            <w:noWrap/>
            <w:vAlign w:val="center"/>
          </w:tcPr>
          <w:p w14:paraId="6770A68D" w14:textId="77777777" w:rsidR="004E477F" w:rsidRPr="00AC7E5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sidRPr="00AC7E5A">
              <w:rPr>
                <w:rFonts w:ascii="Calibri" w:hAnsi="Calibri" w:cs="Calibri"/>
                <w:b/>
                <w:bCs/>
                <w:i/>
                <w:iCs/>
                <w:color w:val="000000"/>
                <w:sz w:val="18"/>
                <w:szCs w:val="18"/>
              </w:rPr>
              <w:t>100%</w:t>
            </w:r>
          </w:p>
        </w:tc>
        <w:tc>
          <w:tcPr>
            <w:tcW w:w="676" w:type="dxa"/>
            <w:noWrap/>
            <w:vAlign w:val="center"/>
          </w:tcPr>
          <w:p w14:paraId="67B266BB" w14:textId="77777777" w:rsidR="004E477F" w:rsidRPr="00AC7E5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sidRPr="00AC7E5A">
              <w:rPr>
                <w:rFonts w:ascii="Calibri" w:hAnsi="Calibri" w:cs="Calibri"/>
                <w:b/>
                <w:bCs/>
                <w:i/>
                <w:iCs/>
                <w:color w:val="000000"/>
                <w:sz w:val="18"/>
                <w:szCs w:val="18"/>
              </w:rPr>
              <w:t>100%</w:t>
            </w:r>
          </w:p>
        </w:tc>
        <w:tc>
          <w:tcPr>
            <w:tcW w:w="676" w:type="dxa"/>
            <w:noWrap/>
            <w:vAlign w:val="center"/>
          </w:tcPr>
          <w:p w14:paraId="421C094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100%</w:t>
            </w:r>
          </w:p>
        </w:tc>
      </w:tr>
    </w:tbl>
    <w:p w14:paraId="33D4B514" w14:textId="2C509698" w:rsidR="004E477F" w:rsidRDefault="004E477F" w:rsidP="004E477F"/>
    <w:p w14:paraId="5A5C9036" w14:textId="1A1524FB" w:rsidR="00FF4CED" w:rsidRDefault="007D1F56" w:rsidP="00B772DF">
      <w:pPr>
        <w:pStyle w:val="Heading2"/>
        <w:jc w:val="center"/>
      </w:pPr>
      <w:r>
        <w:t>Y</w:t>
      </w:r>
      <w:r w:rsidR="00FF4CED">
        <w:t xml:space="preserve">ear 6 Outcomes for </w:t>
      </w:r>
      <w:r w:rsidR="00B772DF" w:rsidRPr="00B772DF">
        <w:t>A</w:t>
      </w:r>
      <w:r w:rsidR="00FF4CED" w:rsidRPr="00B772DF">
        <w:t>LL</w:t>
      </w:r>
      <w:r w:rsidR="00FF4CED">
        <w:t xml:space="preserve"> First-Time &amp; Transfer, Bac</w:t>
      </w:r>
      <w:r w:rsidR="004E477F">
        <w:t>helor’s Degree-Seeking Fall 2015</w:t>
      </w:r>
      <w:r w:rsidR="00FF4CED">
        <w:t xml:space="preserve"> Entering Cohort (Counts)</w:t>
      </w:r>
    </w:p>
    <w:tbl>
      <w:tblPr>
        <w:tblStyle w:val="GridTable4-Accent11"/>
        <w:tblW w:w="9360" w:type="dxa"/>
        <w:tblLayout w:type="fixed"/>
        <w:tblLook w:val="04A0" w:firstRow="1" w:lastRow="0" w:firstColumn="1" w:lastColumn="0" w:noHBand="0" w:noVBand="1"/>
      </w:tblPr>
      <w:tblGrid>
        <w:gridCol w:w="2875"/>
        <w:gridCol w:w="1080"/>
        <w:gridCol w:w="675"/>
        <w:gridCol w:w="676"/>
        <w:gridCol w:w="675"/>
        <w:gridCol w:w="676"/>
        <w:gridCol w:w="676"/>
        <w:gridCol w:w="675"/>
        <w:gridCol w:w="676"/>
        <w:gridCol w:w="676"/>
      </w:tblGrid>
      <w:tr w:rsidR="004E477F" w:rsidRPr="001539FA" w14:paraId="11FA319B" w14:textId="77777777" w:rsidTr="00D67A4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vAlign w:val="bottom"/>
          </w:tcPr>
          <w:p w14:paraId="3A2F6AAE" w14:textId="77777777" w:rsidR="004E477F" w:rsidRPr="001539FA" w:rsidRDefault="004E477F" w:rsidP="00D67A46">
            <w:pPr>
              <w:rPr>
                <w:rFonts w:ascii="Calibri" w:hAnsi="Calibri" w:cs="Calibri"/>
                <w:color w:val="FFFFFF" w:themeColor="background1"/>
                <w:sz w:val="18"/>
                <w:szCs w:val="18"/>
              </w:rPr>
            </w:pPr>
            <w:r w:rsidRPr="001539FA">
              <w:rPr>
                <w:rFonts w:ascii="Calibri" w:hAnsi="Calibri" w:cs="Calibri"/>
                <w:color w:val="FFFFFF" w:themeColor="background1"/>
                <w:sz w:val="18"/>
                <w:szCs w:val="18"/>
              </w:rPr>
              <w:t>Year 6 Outcome</w:t>
            </w:r>
          </w:p>
        </w:tc>
        <w:tc>
          <w:tcPr>
            <w:tcW w:w="1080" w:type="dxa"/>
            <w:noWrap/>
            <w:vAlign w:val="bottom"/>
            <w:hideMark/>
          </w:tcPr>
          <w:p w14:paraId="481C6828" w14:textId="77777777" w:rsidR="004E477F" w:rsidRPr="001539FA" w:rsidRDefault="004E477F" w:rsidP="00D67A4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 w:val="18"/>
                <w:szCs w:val="18"/>
              </w:rPr>
            </w:pPr>
            <w:r w:rsidRPr="001539FA">
              <w:rPr>
                <w:rFonts w:ascii="Calibri" w:hAnsi="Calibri" w:cs="Calibri"/>
                <w:color w:val="FFFFFF" w:themeColor="background1"/>
                <w:sz w:val="18"/>
                <w:szCs w:val="18"/>
              </w:rPr>
              <w:t>First</w:t>
            </w:r>
          </w:p>
          <w:p w14:paraId="04D4A34C" w14:textId="77777777" w:rsidR="004E477F" w:rsidRPr="001539FA" w:rsidRDefault="004E477F" w:rsidP="00D67A4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 w:val="18"/>
                <w:szCs w:val="18"/>
              </w:rPr>
            </w:pPr>
            <w:r w:rsidRPr="001539FA">
              <w:rPr>
                <w:rFonts w:ascii="Calibri" w:hAnsi="Calibri" w:cs="Calibri"/>
                <w:color w:val="FFFFFF" w:themeColor="background1"/>
                <w:sz w:val="18"/>
                <w:szCs w:val="18"/>
              </w:rPr>
              <w:t>Generation</w:t>
            </w:r>
          </w:p>
        </w:tc>
        <w:tc>
          <w:tcPr>
            <w:tcW w:w="675" w:type="dxa"/>
            <w:noWrap/>
            <w:vAlign w:val="bottom"/>
            <w:hideMark/>
          </w:tcPr>
          <w:p w14:paraId="6C894923"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w:t>
            </w:r>
          </w:p>
        </w:tc>
        <w:tc>
          <w:tcPr>
            <w:tcW w:w="676" w:type="dxa"/>
            <w:noWrap/>
            <w:vAlign w:val="bottom"/>
            <w:hideMark/>
          </w:tcPr>
          <w:p w14:paraId="69C7BC33"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UMA</w:t>
            </w:r>
          </w:p>
        </w:tc>
        <w:tc>
          <w:tcPr>
            <w:tcW w:w="675" w:type="dxa"/>
            <w:noWrap/>
            <w:vAlign w:val="bottom"/>
            <w:hideMark/>
          </w:tcPr>
          <w:p w14:paraId="2E8BCD5D"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UMF</w:t>
            </w:r>
          </w:p>
        </w:tc>
        <w:tc>
          <w:tcPr>
            <w:tcW w:w="676" w:type="dxa"/>
            <w:noWrap/>
            <w:vAlign w:val="bottom"/>
            <w:hideMark/>
          </w:tcPr>
          <w:p w14:paraId="445244A6"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UMFK</w:t>
            </w:r>
          </w:p>
        </w:tc>
        <w:tc>
          <w:tcPr>
            <w:tcW w:w="676" w:type="dxa"/>
            <w:noWrap/>
            <w:vAlign w:val="bottom"/>
            <w:hideMark/>
          </w:tcPr>
          <w:p w14:paraId="2320624F"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UMM</w:t>
            </w:r>
          </w:p>
        </w:tc>
        <w:tc>
          <w:tcPr>
            <w:tcW w:w="675" w:type="dxa"/>
            <w:noWrap/>
            <w:vAlign w:val="bottom"/>
            <w:hideMark/>
          </w:tcPr>
          <w:p w14:paraId="2C68278C"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UMPI</w:t>
            </w:r>
          </w:p>
        </w:tc>
        <w:tc>
          <w:tcPr>
            <w:tcW w:w="676" w:type="dxa"/>
            <w:noWrap/>
            <w:vAlign w:val="bottom"/>
            <w:hideMark/>
          </w:tcPr>
          <w:p w14:paraId="32C1FE33"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USM</w:t>
            </w:r>
          </w:p>
        </w:tc>
        <w:tc>
          <w:tcPr>
            <w:tcW w:w="676" w:type="dxa"/>
            <w:noWrap/>
            <w:vAlign w:val="bottom"/>
            <w:hideMark/>
          </w:tcPr>
          <w:p w14:paraId="5741CA49"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color w:val="FFFFFF" w:themeColor="background1"/>
                <w:sz w:val="18"/>
                <w:szCs w:val="18"/>
              </w:rPr>
            </w:pPr>
            <w:r w:rsidRPr="001539FA">
              <w:rPr>
                <w:rFonts w:ascii="Calibri" w:hAnsi="Calibri" w:cs="Calibri"/>
                <w:i/>
                <w:iCs/>
                <w:color w:val="FFFFFF" w:themeColor="background1"/>
                <w:sz w:val="18"/>
                <w:szCs w:val="18"/>
              </w:rPr>
              <w:t>Total</w:t>
            </w:r>
          </w:p>
        </w:tc>
      </w:tr>
      <w:tr w:rsidR="004E477F" w:rsidRPr="001539FA" w14:paraId="59FC76BF"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4472C4"/>
              <w:bottom w:val="nil"/>
            </w:tcBorders>
            <w:vAlign w:val="center"/>
          </w:tcPr>
          <w:p w14:paraId="464DCE0A"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Starting Institution</w:t>
            </w:r>
          </w:p>
        </w:tc>
        <w:tc>
          <w:tcPr>
            <w:tcW w:w="1080" w:type="dxa"/>
            <w:tcBorders>
              <w:top w:val="single" w:sz="4" w:space="0" w:color="4472C4"/>
              <w:bottom w:val="nil"/>
            </w:tcBorders>
            <w:noWrap/>
            <w:vAlign w:val="center"/>
            <w:hideMark/>
          </w:tcPr>
          <w:p w14:paraId="31E64175"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rPr>
            </w:pPr>
            <w:r w:rsidRPr="001539FA">
              <w:rPr>
                <w:rFonts w:ascii="Calibri" w:hAnsi="Calibri" w:cs="Calibri"/>
                <w:color w:val="000000"/>
                <w:sz w:val="18"/>
                <w:szCs w:val="18"/>
              </w:rPr>
              <w:t>Yes</w:t>
            </w:r>
          </w:p>
        </w:tc>
        <w:tc>
          <w:tcPr>
            <w:tcW w:w="675" w:type="dxa"/>
            <w:tcBorders>
              <w:top w:val="single" w:sz="4" w:space="0" w:color="4472C4"/>
              <w:bottom w:val="nil"/>
            </w:tcBorders>
            <w:noWrap/>
            <w:vAlign w:val="center"/>
          </w:tcPr>
          <w:p w14:paraId="6969E797"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361</w:t>
            </w:r>
          </w:p>
        </w:tc>
        <w:tc>
          <w:tcPr>
            <w:tcW w:w="676" w:type="dxa"/>
            <w:tcBorders>
              <w:top w:val="single" w:sz="4" w:space="0" w:color="4472C4"/>
              <w:bottom w:val="nil"/>
            </w:tcBorders>
            <w:noWrap/>
            <w:vAlign w:val="center"/>
          </w:tcPr>
          <w:p w14:paraId="1EE66DA4"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144</w:t>
            </w:r>
          </w:p>
        </w:tc>
        <w:tc>
          <w:tcPr>
            <w:tcW w:w="675" w:type="dxa"/>
            <w:tcBorders>
              <w:top w:val="single" w:sz="4" w:space="0" w:color="4472C4"/>
              <w:bottom w:val="nil"/>
            </w:tcBorders>
            <w:noWrap/>
            <w:vAlign w:val="center"/>
          </w:tcPr>
          <w:p w14:paraId="0908E1A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138</w:t>
            </w:r>
          </w:p>
        </w:tc>
        <w:tc>
          <w:tcPr>
            <w:tcW w:w="676" w:type="dxa"/>
            <w:tcBorders>
              <w:top w:val="single" w:sz="4" w:space="0" w:color="4472C4"/>
              <w:bottom w:val="nil"/>
            </w:tcBorders>
            <w:noWrap/>
            <w:vAlign w:val="center"/>
          </w:tcPr>
          <w:p w14:paraId="34C4A80B"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69</w:t>
            </w:r>
          </w:p>
        </w:tc>
        <w:tc>
          <w:tcPr>
            <w:tcW w:w="676" w:type="dxa"/>
            <w:tcBorders>
              <w:top w:val="single" w:sz="4" w:space="0" w:color="4472C4"/>
              <w:bottom w:val="nil"/>
            </w:tcBorders>
            <w:noWrap/>
            <w:vAlign w:val="center"/>
          </w:tcPr>
          <w:p w14:paraId="776F7D9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35</w:t>
            </w:r>
          </w:p>
        </w:tc>
        <w:tc>
          <w:tcPr>
            <w:tcW w:w="675" w:type="dxa"/>
            <w:tcBorders>
              <w:top w:val="single" w:sz="4" w:space="0" w:color="4472C4"/>
              <w:bottom w:val="nil"/>
            </w:tcBorders>
            <w:noWrap/>
            <w:vAlign w:val="center"/>
          </w:tcPr>
          <w:p w14:paraId="0B31202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55</w:t>
            </w:r>
          </w:p>
        </w:tc>
        <w:tc>
          <w:tcPr>
            <w:tcW w:w="676" w:type="dxa"/>
            <w:tcBorders>
              <w:top w:val="single" w:sz="4" w:space="0" w:color="4472C4"/>
              <w:bottom w:val="nil"/>
            </w:tcBorders>
            <w:noWrap/>
            <w:vAlign w:val="center"/>
          </w:tcPr>
          <w:p w14:paraId="76AA86F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334</w:t>
            </w:r>
          </w:p>
        </w:tc>
        <w:tc>
          <w:tcPr>
            <w:tcW w:w="676" w:type="dxa"/>
            <w:tcBorders>
              <w:top w:val="single" w:sz="4" w:space="0" w:color="4472C4"/>
              <w:bottom w:val="nil"/>
            </w:tcBorders>
            <w:noWrap/>
            <w:vAlign w:val="center"/>
          </w:tcPr>
          <w:p w14:paraId="070806E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i/>
                <w:iCs/>
                <w:color w:val="000000"/>
                <w:sz w:val="18"/>
                <w:szCs w:val="18"/>
              </w:rPr>
              <w:t>1,136</w:t>
            </w:r>
          </w:p>
        </w:tc>
      </w:tr>
      <w:tr w:rsidR="004E477F" w:rsidRPr="001539FA" w14:paraId="0AE57F5C"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45646024"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Starting Institution</w:t>
            </w:r>
          </w:p>
        </w:tc>
        <w:tc>
          <w:tcPr>
            <w:tcW w:w="1080" w:type="dxa"/>
            <w:tcBorders>
              <w:top w:val="nil"/>
              <w:bottom w:val="nil"/>
            </w:tcBorders>
            <w:noWrap/>
            <w:vAlign w:val="center"/>
            <w:hideMark/>
          </w:tcPr>
          <w:p w14:paraId="36C92E5A"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5F04146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1,059</w:t>
            </w:r>
          </w:p>
        </w:tc>
        <w:tc>
          <w:tcPr>
            <w:tcW w:w="676" w:type="dxa"/>
            <w:tcBorders>
              <w:top w:val="nil"/>
              <w:bottom w:val="nil"/>
            </w:tcBorders>
            <w:noWrap/>
            <w:vAlign w:val="center"/>
          </w:tcPr>
          <w:p w14:paraId="3A8F87DD"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125</w:t>
            </w:r>
          </w:p>
        </w:tc>
        <w:tc>
          <w:tcPr>
            <w:tcW w:w="675" w:type="dxa"/>
            <w:tcBorders>
              <w:top w:val="nil"/>
              <w:bottom w:val="nil"/>
            </w:tcBorders>
            <w:noWrap/>
            <w:vAlign w:val="center"/>
          </w:tcPr>
          <w:p w14:paraId="2F5BF7F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166</w:t>
            </w:r>
          </w:p>
        </w:tc>
        <w:tc>
          <w:tcPr>
            <w:tcW w:w="676" w:type="dxa"/>
            <w:tcBorders>
              <w:top w:val="nil"/>
              <w:bottom w:val="nil"/>
            </w:tcBorders>
            <w:noWrap/>
            <w:vAlign w:val="center"/>
          </w:tcPr>
          <w:p w14:paraId="7644679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77</w:t>
            </w:r>
          </w:p>
        </w:tc>
        <w:tc>
          <w:tcPr>
            <w:tcW w:w="676" w:type="dxa"/>
            <w:tcBorders>
              <w:top w:val="nil"/>
              <w:bottom w:val="nil"/>
            </w:tcBorders>
            <w:noWrap/>
            <w:vAlign w:val="center"/>
          </w:tcPr>
          <w:p w14:paraId="3945FF4A"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14</w:t>
            </w:r>
          </w:p>
        </w:tc>
        <w:tc>
          <w:tcPr>
            <w:tcW w:w="675" w:type="dxa"/>
            <w:tcBorders>
              <w:top w:val="nil"/>
              <w:bottom w:val="nil"/>
            </w:tcBorders>
            <w:noWrap/>
            <w:vAlign w:val="center"/>
          </w:tcPr>
          <w:p w14:paraId="4D5F9D0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69</w:t>
            </w:r>
          </w:p>
        </w:tc>
        <w:tc>
          <w:tcPr>
            <w:tcW w:w="676" w:type="dxa"/>
            <w:tcBorders>
              <w:top w:val="nil"/>
              <w:bottom w:val="nil"/>
            </w:tcBorders>
            <w:noWrap/>
            <w:vAlign w:val="center"/>
          </w:tcPr>
          <w:p w14:paraId="681761D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310</w:t>
            </w:r>
          </w:p>
        </w:tc>
        <w:tc>
          <w:tcPr>
            <w:tcW w:w="676" w:type="dxa"/>
            <w:tcBorders>
              <w:top w:val="nil"/>
              <w:bottom w:val="nil"/>
            </w:tcBorders>
            <w:noWrap/>
            <w:vAlign w:val="center"/>
          </w:tcPr>
          <w:p w14:paraId="6411689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i/>
                <w:iCs/>
                <w:color w:val="000000"/>
                <w:sz w:val="18"/>
                <w:szCs w:val="18"/>
              </w:rPr>
              <w:t>1,820</w:t>
            </w:r>
          </w:p>
        </w:tc>
      </w:tr>
      <w:tr w:rsidR="004E477F" w:rsidRPr="001539FA" w14:paraId="5CF3B2F5"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2153A97E" w14:textId="77777777" w:rsidR="004E477F" w:rsidRPr="001539FA" w:rsidRDefault="004E477F" w:rsidP="00D67A46">
            <w:pPr>
              <w:rPr>
                <w:rFonts w:ascii="Calibri" w:hAnsi="Calibri" w:cs="Calibri"/>
                <w:i/>
                <w:iCs/>
                <w:color w:val="000000"/>
                <w:sz w:val="18"/>
                <w:szCs w:val="18"/>
              </w:rPr>
            </w:pPr>
            <w:r w:rsidRPr="001539FA">
              <w:rPr>
                <w:rFonts w:ascii="Calibri" w:hAnsi="Calibri" w:cs="Calibri"/>
                <w:color w:val="000000"/>
                <w:sz w:val="18"/>
                <w:szCs w:val="18"/>
              </w:rPr>
              <w:t>Graduated from Starting Institution</w:t>
            </w:r>
          </w:p>
        </w:tc>
        <w:tc>
          <w:tcPr>
            <w:tcW w:w="1080" w:type="dxa"/>
            <w:tcBorders>
              <w:top w:val="nil"/>
              <w:bottom w:val="single" w:sz="4" w:space="0" w:color="auto"/>
            </w:tcBorders>
            <w:noWrap/>
            <w:vAlign w:val="center"/>
            <w:hideMark/>
          </w:tcPr>
          <w:p w14:paraId="2199FBAD"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2B58D877"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1,420</w:t>
            </w:r>
          </w:p>
        </w:tc>
        <w:tc>
          <w:tcPr>
            <w:tcW w:w="676" w:type="dxa"/>
            <w:tcBorders>
              <w:top w:val="nil"/>
              <w:bottom w:val="single" w:sz="4" w:space="0" w:color="auto"/>
            </w:tcBorders>
            <w:noWrap/>
            <w:vAlign w:val="center"/>
          </w:tcPr>
          <w:p w14:paraId="0A75250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269</w:t>
            </w:r>
          </w:p>
        </w:tc>
        <w:tc>
          <w:tcPr>
            <w:tcW w:w="675" w:type="dxa"/>
            <w:tcBorders>
              <w:top w:val="nil"/>
              <w:bottom w:val="single" w:sz="4" w:space="0" w:color="auto"/>
            </w:tcBorders>
            <w:noWrap/>
            <w:vAlign w:val="center"/>
          </w:tcPr>
          <w:p w14:paraId="4B1B12B4"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304</w:t>
            </w:r>
          </w:p>
        </w:tc>
        <w:tc>
          <w:tcPr>
            <w:tcW w:w="676" w:type="dxa"/>
            <w:tcBorders>
              <w:top w:val="nil"/>
              <w:bottom w:val="single" w:sz="4" w:space="0" w:color="auto"/>
            </w:tcBorders>
            <w:noWrap/>
            <w:vAlign w:val="center"/>
          </w:tcPr>
          <w:p w14:paraId="68A958F5"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146</w:t>
            </w:r>
          </w:p>
        </w:tc>
        <w:tc>
          <w:tcPr>
            <w:tcW w:w="676" w:type="dxa"/>
            <w:tcBorders>
              <w:top w:val="nil"/>
              <w:bottom w:val="single" w:sz="4" w:space="0" w:color="auto"/>
            </w:tcBorders>
            <w:noWrap/>
            <w:vAlign w:val="center"/>
          </w:tcPr>
          <w:p w14:paraId="43C6997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49</w:t>
            </w:r>
          </w:p>
        </w:tc>
        <w:tc>
          <w:tcPr>
            <w:tcW w:w="675" w:type="dxa"/>
            <w:tcBorders>
              <w:top w:val="nil"/>
              <w:bottom w:val="single" w:sz="4" w:space="0" w:color="auto"/>
            </w:tcBorders>
            <w:noWrap/>
            <w:vAlign w:val="center"/>
          </w:tcPr>
          <w:p w14:paraId="34FABB6E"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124</w:t>
            </w:r>
          </w:p>
        </w:tc>
        <w:tc>
          <w:tcPr>
            <w:tcW w:w="676" w:type="dxa"/>
            <w:tcBorders>
              <w:top w:val="nil"/>
              <w:bottom w:val="single" w:sz="4" w:space="0" w:color="auto"/>
            </w:tcBorders>
            <w:noWrap/>
            <w:vAlign w:val="center"/>
          </w:tcPr>
          <w:p w14:paraId="11F54A3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644</w:t>
            </w:r>
          </w:p>
        </w:tc>
        <w:tc>
          <w:tcPr>
            <w:tcW w:w="676" w:type="dxa"/>
            <w:tcBorders>
              <w:top w:val="nil"/>
              <w:bottom w:val="single" w:sz="4" w:space="0" w:color="auto"/>
            </w:tcBorders>
            <w:noWrap/>
            <w:vAlign w:val="center"/>
          </w:tcPr>
          <w:p w14:paraId="0A2C34D6"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i/>
                <w:iCs/>
                <w:color w:val="000000"/>
                <w:sz w:val="18"/>
                <w:szCs w:val="18"/>
              </w:rPr>
              <w:t>2,956</w:t>
            </w:r>
          </w:p>
        </w:tc>
      </w:tr>
      <w:tr w:rsidR="004E477F" w:rsidRPr="001539FA" w14:paraId="6B21BBB0"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0C254A35"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Other Institution</w:t>
            </w:r>
          </w:p>
        </w:tc>
        <w:tc>
          <w:tcPr>
            <w:tcW w:w="1080" w:type="dxa"/>
            <w:tcBorders>
              <w:top w:val="single" w:sz="4" w:space="0" w:color="auto"/>
              <w:bottom w:val="nil"/>
            </w:tcBorders>
            <w:noWrap/>
            <w:vAlign w:val="center"/>
          </w:tcPr>
          <w:p w14:paraId="0D9C87A2"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490C040E"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94</w:t>
            </w:r>
          </w:p>
        </w:tc>
        <w:tc>
          <w:tcPr>
            <w:tcW w:w="676" w:type="dxa"/>
            <w:tcBorders>
              <w:top w:val="single" w:sz="4" w:space="0" w:color="auto"/>
              <w:bottom w:val="nil"/>
            </w:tcBorders>
            <w:noWrap/>
            <w:vAlign w:val="center"/>
          </w:tcPr>
          <w:p w14:paraId="6D045B62"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50</w:t>
            </w:r>
          </w:p>
        </w:tc>
        <w:tc>
          <w:tcPr>
            <w:tcW w:w="675" w:type="dxa"/>
            <w:tcBorders>
              <w:top w:val="single" w:sz="4" w:space="0" w:color="auto"/>
              <w:bottom w:val="nil"/>
            </w:tcBorders>
            <w:noWrap/>
            <w:vAlign w:val="center"/>
          </w:tcPr>
          <w:p w14:paraId="5B32B7A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26</w:t>
            </w:r>
          </w:p>
        </w:tc>
        <w:tc>
          <w:tcPr>
            <w:tcW w:w="676" w:type="dxa"/>
            <w:tcBorders>
              <w:top w:val="single" w:sz="4" w:space="0" w:color="auto"/>
              <w:bottom w:val="nil"/>
            </w:tcBorders>
            <w:noWrap/>
            <w:vAlign w:val="center"/>
          </w:tcPr>
          <w:p w14:paraId="43BDA2C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13</w:t>
            </w:r>
          </w:p>
        </w:tc>
        <w:tc>
          <w:tcPr>
            <w:tcW w:w="676" w:type="dxa"/>
            <w:tcBorders>
              <w:top w:val="single" w:sz="4" w:space="0" w:color="auto"/>
              <w:bottom w:val="nil"/>
            </w:tcBorders>
            <w:noWrap/>
            <w:vAlign w:val="center"/>
          </w:tcPr>
          <w:p w14:paraId="5D1B270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w:t>
            </w:r>
          </w:p>
        </w:tc>
        <w:tc>
          <w:tcPr>
            <w:tcW w:w="675" w:type="dxa"/>
            <w:tcBorders>
              <w:top w:val="single" w:sz="4" w:space="0" w:color="auto"/>
              <w:bottom w:val="nil"/>
            </w:tcBorders>
            <w:noWrap/>
            <w:vAlign w:val="center"/>
          </w:tcPr>
          <w:p w14:paraId="75B4225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18</w:t>
            </w:r>
          </w:p>
        </w:tc>
        <w:tc>
          <w:tcPr>
            <w:tcW w:w="676" w:type="dxa"/>
            <w:tcBorders>
              <w:top w:val="single" w:sz="4" w:space="0" w:color="auto"/>
              <w:bottom w:val="nil"/>
            </w:tcBorders>
            <w:noWrap/>
            <w:vAlign w:val="center"/>
          </w:tcPr>
          <w:p w14:paraId="1A970AD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79</w:t>
            </w:r>
          </w:p>
        </w:tc>
        <w:tc>
          <w:tcPr>
            <w:tcW w:w="676" w:type="dxa"/>
            <w:tcBorders>
              <w:top w:val="single" w:sz="4" w:space="0" w:color="auto"/>
              <w:bottom w:val="nil"/>
            </w:tcBorders>
            <w:noWrap/>
            <w:vAlign w:val="center"/>
          </w:tcPr>
          <w:p w14:paraId="2F870D9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284</w:t>
            </w:r>
          </w:p>
        </w:tc>
      </w:tr>
      <w:tr w:rsidR="004E477F" w:rsidRPr="001539FA" w14:paraId="47637565"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082A3A9D"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Other Institution</w:t>
            </w:r>
          </w:p>
        </w:tc>
        <w:tc>
          <w:tcPr>
            <w:tcW w:w="1080" w:type="dxa"/>
            <w:tcBorders>
              <w:top w:val="nil"/>
              <w:bottom w:val="nil"/>
            </w:tcBorders>
            <w:noWrap/>
            <w:vAlign w:val="center"/>
          </w:tcPr>
          <w:p w14:paraId="57174D42"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33FBCDF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197</w:t>
            </w:r>
          </w:p>
        </w:tc>
        <w:tc>
          <w:tcPr>
            <w:tcW w:w="676" w:type="dxa"/>
            <w:tcBorders>
              <w:top w:val="nil"/>
              <w:bottom w:val="nil"/>
            </w:tcBorders>
            <w:noWrap/>
            <w:vAlign w:val="center"/>
          </w:tcPr>
          <w:p w14:paraId="5E1979A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47</w:t>
            </w:r>
          </w:p>
        </w:tc>
        <w:tc>
          <w:tcPr>
            <w:tcW w:w="675" w:type="dxa"/>
            <w:tcBorders>
              <w:top w:val="nil"/>
              <w:bottom w:val="nil"/>
            </w:tcBorders>
            <w:noWrap/>
            <w:vAlign w:val="center"/>
          </w:tcPr>
          <w:p w14:paraId="125C343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29</w:t>
            </w:r>
          </w:p>
        </w:tc>
        <w:tc>
          <w:tcPr>
            <w:tcW w:w="676" w:type="dxa"/>
            <w:tcBorders>
              <w:top w:val="nil"/>
              <w:bottom w:val="nil"/>
            </w:tcBorders>
            <w:noWrap/>
            <w:vAlign w:val="center"/>
          </w:tcPr>
          <w:p w14:paraId="764AE456"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10</w:t>
            </w:r>
          </w:p>
        </w:tc>
        <w:tc>
          <w:tcPr>
            <w:tcW w:w="676" w:type="dxa"/>
            <w:tcBorders>
              <w:top w:val="nil"/>
              <w:bottom w:val="nil"/>
            </w:tcBorders>
            <w:noWrap/>
            <w:vAlign w:val="center"/>
          </w:tcPr>
          <w:p w14:paraId="32269B59"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w:t>
            </w:r>
          </w:p>
        </w:tc>
        <w:tc>
          <w:tcPr>
            <w:tcW w:w="675" w:type="dxa"/>
            <w:tcBorders>
              <w:top w:val="nil"/>
              <w:bottom w:val="nil"/>
            </w:tcBorders>
            <w:noWrap/>
            <w:vAlign w:val="center"/>
          </w:tcPr>
          <w:p w14:paraId="0E227296"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17</w:t>
            </w:r>
          </w:p>
        </w:tc>
        <w:tc>
          <w:tcPr>
            <w:tcW w:w="676" w:type="dxa"/>
            <w:tcBorders>
              <w:top w:val="nil"/>
              <w:bottom w:val="nil"/>
            </w:tcBorders>
            <w:noWrap/>
            <w:vAlign w:val="center"/>
          </w:tcPr>
          <w:p w14:paraId="5A92A26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66</w:t>
            </w:r>
          </w:p>
        </w:tc>
        <w:tc>
          <w:tcPr>
            <w:tcW w:w="676" w:type="dxa"/>
            <w:tcBorders>
              <w:top w:val="nil"/>
              <w:bottom w:val="nil"/>
            </w:tcBorders>
            <w:noWrap/>
            <w:vAlign w:val="center"/>
          </w:tcPr>
          <w:p w14:paraId="466C64C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367</w:t>
            </w:r>
          </w:p>
        </w:tc>
      </w:tr>
      <w:tr w:rsidR="004E477F" w:rsidRPr="001539FA" w14:paraId="61342A66"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4D9B7FA1"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t>Graduated from Other Institution</w:t>
            </w:r>
          </w:p>
        </w:tc>
        <w:tc>
          <w:tcPr>
            <w:tcW w:w="1080" w:type="dxa"/>
            <w:tcBorders>
              <w:top w:val="nil"/>
              <w:bottom w:val="single" w:sz="4" w:space="0" w:color="auto"/>
            </w:tcBorders>
            <w:noWrap/>
            <w:vAlign w:val="center"/>
          </w:tcPr>
          <w:p w14:paraId="617C1875"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70C3199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291</w:t>
            </w:r>
          </w:p>
        </w:tc>
        <w:tc>
          <w:tcPr>
            <w:tcW w:w="676" w:type="dxa"/>
            <w:tcBorders>
              <w:top w:val="nil"/>
              <w:bottom w:val="single" w:sz="4" w:space="0" w:color="auto"/>
            </w:tcBorders>
            <w:noWrap/>
            <w:vAlign w:val="center"/>
          </w:tcPr>
          <w:p w14:paraId="07B9B4F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97</w:t>
            </w:r>
          </w:p>
        </w:tc>
        <w:tc>
          <w:tcPr>
            <w:tcW w:w="675" w:type="dxa"/>
            <w:tcBorders>
              <w:top w:val="nil"/>
              <w:bottom w:val="single" w:sz="4" w:space="0" w:color="auto"/>
            </w:tcBorders>
            <w:noWrap/>
            <w:vAlign w:val="center"/>
          </w:tcPr>
          <w:p w14:paraId="7A5F110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55</w:t>
            </w:r>
          </w:p>
        </w:tc>
        <w:tc>
          <w:tcPr>
            <w:tcW w:w="676" w:type="dxa"/>
            <w:tcBorders>
              <w:top w:val="nil"/>
              <w:bottom w:val="single" w:sz="4" w:space="0" w:color="auto"/>
            </w:tcBorders>
            <w:noWrap/>
            <w:vAlign w:val="center"/>
          </w:tcPr>
          <w:p w14:paraId="2C1E5D4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23</w:t>
            </w:r>
          </w:p>
        </w:tc>
        <w:tc>
          <w:tcPr>
            <w:tcW w:w="676" w:type="dxa"/>
            <w:tcBorders>
              <w:top w:val="nil"/>
              <w:bottom w:val="single" w:sz="4" w:space="0" w:color="auto"/>
            </w:tcBorders>
            <w:noWrap/>
            <w:vAlign w:val="center"/>
          </w:tcPr>
          <w:p w14:paraId="23EDCF0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w:t>
            </w:r>
          </w:p>
        </w:tc>
        <w:tc>
          <w:tcPr>
            <w:tcW w:w="675" w:type="dxa"/>
            <w:tcBorders>
              <w:top w:val="nil"/>
              <w:bottom w:val="single" w:sz="4" w:space="0" w:color="auto"/>
            </w:tcBorders>
            <w:noWrap/>
            <w:vAlign w:val="center"/>
          </w:tcPr>
          <w:p w14:paraId="752B1B2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35</w:t>
            </w:r>
          </w:p>
        </w:tc>
        <w:tc>
          <w:tcPr>
            <w:tcW w:w="676" w:type="dxa"/>
            <w:tcBorders>
              <w:top w:val="nil"/>
              <w:bottom w:val="single" w:sz="4" w:space="0" w:color="auto"/>
            </w:tcBorders>
            <w:noWrap/>
            <w:vAlign w:val="center"/>
          </w:tcPr>
          <w:p w14:paraId="11BD6D1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145</w:t>
            </w:r>
          </w:p>
        </w:tc>
        <w:tc>
          <w:tcPr>
            <w:tcW w:w="676" w:type="dxa"/>
            <w:tcBorders>
              <w:top w:val="nil"/>
              <w:bottom w:val="single" w:sz="4" w:space="0" w:color="auto"/>
            </w:tcBorders>
            <w:noWrap/>
            <w:vAlign w:val="center"/>
          </w:tcPr>
          <w:p w14:paraId="2B0E5DE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651</w:t>
            </w:r>
          </w:p>
        </w:tc>
      </w:tr>
      <w:tr w:rsidR="004E477F" w:rsidRPr="001539FA" w14:paraId="5B8287AF"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294B6499"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Starting Institution</w:t>
            </w:r>
          </w:p>
        </w:tc>
        <w:tc>
          <w:tcPr>
            <w:tcW w:w="1080" w:type="dxa"/>
            <w:tcBorders>
              <w:top w:val="single" w:sz="4" w:space="0" w:color="auto"/>
              <w:bottom w:val="nil"/>
            </w:tcBorders>
            <w:noWrap/>
            <w:vAlign w:val="center"/>
          </w:tcPr>
          <w:p w14:paraId="4C5EF761"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72452E1C"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22</w:t>
            </w:r>
          </w:p>
        </w:tc>
        <w:tc>
          <w:tcPr>
            <w:tcW w:w="676" w:type="dxa"/>
            <w:tcBorders>
              <w:top w:val="single" w:sz="4" w:space="0" w:color="auto"/>
              <w:bottom w:val="nil"/>
            </w:tcBorders>
            <w:noWrap/>
            <w:vAlign w:val="center"/>
          </w:tcPr>
          <w:p w14:paraId="6306DB4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30</w:t>
            </w:r>
          </w:p>
        </w:tc>
        <w:tc>
          <w:tcPr>
            <w:tcW w:w="675" w:type="dxa"/>
            <w:tcBorders>
              <w:top w:val="single" w:sz="4" w:space="0" w:color="auto"/>
              <w:bottom w:val="nil"/>
            </w:tcBorders>
            <w:noWrap/>
            <w:vAlign w:val="center"/>
          </w:tcPr>
          <w:p w14:paraId="1916732E"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w:t>
            </w:r>
          </w:p>
        </w:tc>
        <w:tc>
          <w:tcPr>
            <w:tcW w:w="676" w:type="dxa"/>
            <w:tcBorders>
              <w:top w:val="single" w:sz="4" w:space="0" w:color="auto"/>
              <w:bottom w:val="nil"/>
            </w:tcBorders>
            <w:noWrap/>
            <w:vAlign w:val="center"/>
          </w:tcPr>
          <w:p w14:paraId="0D4D7D6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w:t>
            </w:r>
          </w:p>
        </w:tc>
        <w:tc>
          <w:tcPr>
            <w:tcW w:w="676" w:type="dxa"/>
            <w:tcBorders>
              <w:top w:val="single" w:sz="4" w:space="0" w:color="auto"/>
              <w:bottom w:val="nil"/>
            </w:tcBorders>
            <w:noWrap/>
            <w:vAlign w:val="center"/>
          </w:tcPr>
          <w:p w14:paraId="70CFF1F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w:t>
            </w:r>
          </w:p>
        </w:tc>
        <w:tc>
          <w:tcPr>
            <w:tcW w:w="675" w:type="dxa"/>
            <w:tcBorders>
              <w:top w:val="single" w:sz="4" w:space="0" w:color="auto"/>
              <w:bottom w:val="nil"/>
            </w:tcBorders>
            <w:noWrap/>
            <w:vAlign w:val="center"/>
          </w:tcPr>
          <w:p w14:paraId="74836B7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w:t>
            </w:r>
          </w:p>
        </w:tc>
        <w:tc>
          <w:tcPr>
            <w:tcW w:w="676" w:type="dxa"/>
            <w:tcBorders>
              <w:top w:val="single" w:sz="4" w:space="0" w:color="auto"/>
              <w:bottom w:val="nil"/>
            </w:tcBorders>
            <w:noWrap/>
            <w:vAlign w:val="center"/>
          </w:tcPr>
          <w:p w14:paraId="70BFD94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37</w:t>
            </w:r>
          </w:p>
        </w:tc>
        <w:tc>
          <w:tcPr>
            <w:tcW w:w="676" w:type="dxa"/>
            <w:tcBorders>
              <w:top w:val="single" w:sz="4" w:space="0" w:color="auto"/>
              <w:bottom w:val="nil"/>
            </w:tcBorders>
            <w:noWrap/>
            <w:vAlign w:val="center"/>
          </w:tcPr>
          <w:p w14:paraId="0AFE5EAB"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108</w:t>
            </w:r>
          </w:p>
        </w:tc>
      </w:tr>
      <w:tr w:rsidR="004E477F" w:rsidRPr="001539FA" w14:paraId="75DBE91C"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399C1BF1"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Starting Institution</w:t>
            </w:r>
          </w:p>
        </w:tc>
        <w:tc>
          <w:tcPr>
            <w:tcW w:w="1080" w:type="dxa"/>
            <w:tcBorders>
              <w:top w:val="nil"/>
              <w:bottom w:val="nil"/>
            </w:tcBorders>
            <w:noWrap/>
            <w:vAlign w:val="center"/>
          </w:tcPr>
          <w:p w14:paraId="34E8BE73"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5FDF09B5"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41</w:t>
            </w:r>
          </w:p>
        </w:tc>
        <w:tc>
          <w:tcPr>
            <w:tcW w:w="676" w:type="dxa"/>
            <w:tcBorders>
              <w:top w:val="nil"/>
              <w:bottom w:val="nil"/>
            </w:tcBorders>
            <w:noWrap/>
            <w:vAlign w:val="center"/>
          </w:tcPr>
          <w:p w14:paraId="0A844CF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22</w:t>
            </w:r>
          </w:p>
        </w:tc>
        <w:tc>
          <w:tcPr>
            <w:tcW w:w="675" w:type="dxa"/>
            <w:tcBorders>
              <w:top w:val="nil"/>
              <w:bottom w:val="nil"/>
            </w:tcBorders>
            <w:noWrap/>
            <w:vAlign w:val="center"/>
          </w:tcPr>
          <w:p w14:paraId="108A061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w:t>
            </w:r>
          </w:p>
        </w:tc>
        <w:tc>
          <w:tcPr>
            <w:tcW w:w="676" w:type="dxa"/>
            <w:tcBorders>
              <w:top w:val="nil"/>
              <w:bottom w:val="nil"/>
            </w:tcBorders>
            <w:noWrap/>
            <w:vAlign w:val="center"/>
          </w:tcPr>
          <w:p w14:paraId="1A17553A"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w:t>
            </w:r>
          </w:p>
        </w:tc>
        <w:tc>
          <w:tcPr>
            <w:tcW w:w="676" w:type="dxa"/>
            <w:tcBorders>
              <w:top w:val="nil"/>
              <w:bottom w:val="nil"/>
            </w:tcBorders>
            <w:noWrap/>
            <w:vAlign w:val="center"/>
          </w:tcPr>
          <w:p w14:paraId="0C2D5B8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w:t>
            </w:r>
          </w:p>
        </w:tc>
        <w:tc>
          <w:tcPr>
            <w:tcW w:w="675" w:type="dxa"/>
            <w:tcBorders>
              <w:top w:val="nil"/>
              <w:bottom w:val="nil"/>
            </w:tcBorders>
            <w:noWrap/>
            <w:vAlign w:val="center"/>
          </w:tcPr>
          <w:p w14:paraId="431C17A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w:t>
            </w:r>
          </w:p>
        </w:tc>
        <w:tc>
          <w:tcPr>
            <w:tcW w:w="676" w:type="dxa"/>
            <w:tcBorders>
              <w:top w:val="nil"/>
              <w:bottom w:val="nil"/>
            </w:tcBorders>
            <w:noWrap/>
            <w:vAlign w:val="center"/>
          </w:tcPr>
          <w:p w14:paraId="27C3B5C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33</w:t>
            </w:r>
          </w:p>
        </w:tc>
        <w:tc>
          <w:tcPr>
            <w:tcW w:w="676" w:type="dxa"/>
            <w:tcBorders>
              <w:top w:val="nil"/>
              <w:bottom w:val="nil"/>
            </w:tcBorders>
            <w:noWrap/>
            <w:vAlign w:val="center"/>
          </w:tcPr>
          <w:p w14:paraId="1A20C2B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104</w:t>
            </w:r>
          </w:p>
        </w:tc>
      </w:tr>
      <w:tr w:rsidR="004E477F" w:rsidRPr="001539FA" w14:paraId="59186750"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108ABB34"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t>Enrolled at Starting Institution</w:t>
            </w:r>
          </w:p>
        </w:tc>
        <w:tc>
          <w:tcPr>
            <w:tcW w:w="1080" w:type="dxa"/>
            <w:tcBorders>
              <w:top w:val="nil"/>
              <w:bottom w:val="single" w:sz="4" w:space="0" w:color="auto"/>
            </w:tcBorders>
            <w:noWrap/>
            <w:vAlign w:val="center"/>
          </w:tcPr>
          <w:p w14:paraId="353C8040"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6D10E03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63</w:t>
            </w:r>
          </w:p>
        </w:tc>
        <w:tc>
          <w:tcPr>
            <w:tcW w:w="676" w:type="dxa"/>
            <w:tcBorders>
              <w:top w:val="nil"/>
              <w:bottom w:val="single" w:sz="4" w:space="0" w:color="auto"/>
            </w:tcBorders>
            <w:noWrap/>
            <w:vAlign w:val="center"/>
          </w:tcPr>
          <w:p w14:paraId="3B770E2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52</w:t>
            </w:r>
          </w:p>
        </w:tc>
        <w:tc>
          <w:tcPr>
            <w:tcW w:w="675" w:type="dxa"/>
            <w:tcBorders>
              <w:top w:val="nil"/>
              <w:bottom w:val="single" w:sz="4" w:space="0" w:color="auto"/>
            </w:tcBorders>
            <w:noWrap/>
            <w:vAlign w:val="center"/>
          </w:tcPr>
          <w:p w14:paraId="6165C19B"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7</w:t>
            </w:r>
          </w:p>
        </w:tc>
        <w:tc>
          <w:tcPr>
            <w:tcW w:w="676" w:type="dxa"/>
            <w:tcBorders>
              <w:top w:val="nil"/>
              <w:bottom w:val="single" w:sz="4" w:space="0" w:color="auto"/>
            </w:tcBorders>
            <w:noWrap/>
            <w:vAlign w:val="center"/>
          </w:tcPr>
          <w:p w14:paraId="17C14B4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7</w:t>
            </w:r>
          </w:p>
        </w:tc>
        <w:tc>
          <w:tcPr>
            <w:tcW w:w="676" w:type="dxa"/>
            <w:tcBorders>
              <w:top w:val="nil"/>
              <w:bottom w:val="single" w:sz="4" w:space="0" w:color="auto"/>
            </w:tcBorders>
            <w:noWrap/>
            <w:vAlign w:val="center"/>
          </w:tcPr>
          <w:p w14:paraId="6D728357"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6</w:t>
            </w:r>
          </w:p>
        </w:tc>
        <w:tc>
          <w:tcPr>
            <w:tcW w:w="675" w:type="dxa"/>
            <w:tcBorders>
              <w:top w:val="nil"/>
              <w:bottom w:val="single" w:sz="4" w:space="0" w:color="auto"/>
            </w:tcBorders>
            <w:noWrap/>
            <w:vAlign w:val="center"/>
          </w:tcPr>
          <w:p w14:paraId="5D258D8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7</w:t>
            </w:r>
          </w:p>
        </w:tc>
        <w:tc>
          <w:tcPr>
            <w:tcW w:w="676" w:type="dxa"/>
            <w:tcBorders>
              <w:top w:val="nil"/>
              <w:bottom w:val="single" w:sz="4" w:space="0" w:color="auto"/>
            </w:tcBorders>
            <w:noWrap/>
            <w:vAlign w:val="center"/>
          </w:tcPr>
          <w:p w14:paraId="04B4384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70</w:t>
            </w:r>
          </w:p>
        </w:tc>
        <w:tc>
          <w:tcPr>
            <w:tcW w:w="676" w:type="dxa"/>
            <w:tcBorders>
              <w:top w:val="nil"/>
              <w:bottom w:val="single" w:sz="4" w:space="0" w:color="auto"/>
            </w:tcBorders>
            <w:noWrap/>
            <w:vAlign w:val="center"/>
          </w:tcPr>
          <w:p w14:paraId="10DF143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212</w:t>
            </w:r>
          </w:p>
        </w:tc>
      </w:tr>
      <w:tr w:rsidR="004E477F" w:rsidRPr="001539FA" w14:paraId="49E66732"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18404B45"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Other Institution</w:t>
            </w:r>
          </w:p>
        </w:tc>
        <w:tc>
          <w:tcPr>
            <w:tcW w:w="1080" w:type="dxa"/>
            <w:tcBorders>
              <w:top w:val="single" w:sz="4" w:space="0" w:color="auto"/>
              <w:bottom w:val="nil"/>
            </w:tcBorders>
            <w:noWrap/>
            <w:vAlign w:val="center"/>
          </w:tcPr>
          <w:p w14:paraId="75945C6C"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57AA8A9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47</w:t>
            </w:r>
          </w:p>
        </w:tc>
        <w:tc>
          <w:tcPr>
            <w:tcW w:w="676" w:type="dxa"/>
            <w:tcBorders>
              <w:top w:val="single" w:sz="4" w:space="0" w:color="auto"/>
              <w:bottom w:val="nil"/>
            </w:tcBorders>
            <w:noWrap/>
            <w:vAlign w:val="center"/>
          </w:tcPr>
          <w:p w14:paraId="4493269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24</w:t>
            </w:r>
          </w:p>
        </w:tc>
        <w:tc>
          <w:tcPr>
            <w:tcW w:w="675" w:type="dxa"/>
            <w:tcBorders>
              <w:top w:val="single" w:sz="4" w:space="0" w:color="auto"/>
              <w:bottom w:val="nil"/>
            </w:tcBorders>
            <w:noWrap/>
            <w:vAlign w:val="center"/>
          </w:tcPr>
          <w:p w14:paraId="5C3CF62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16</w:t>
            </w:r>
          </w:p>
        </w:tc>
        <w:tc>
          <w:tcPr>
            <w:tcW w:w="676" w:type="dxa"/>
            <w:tcBorders>
              <w:top w:val="single" w:sz="4" w:space="0" w:color="auto"/>
              <w:bottom w:val="nil"/>
            </w:tcBorders>
            <w:noWrap/>
            <w:vAlign w:val="center"/>
          </w:tcPr>
          <w:p w14:paraId="29BC1AF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w:t>
            </w:r>
          </w:p>
        </w:tc>
        <w:tc>
          <w:tcPr>
            <w:tcW w:w="676" w:type="dxa"/>
            <w:tcBorders>
              <w:top w:val="single" w:sz="4" w:space="0" w:color="auto"/>
              <w:bottom w:val="nil"/>
            </w:tcBorders>
            <w:noWrap/>
            <w:vAlign w:val="center"/>
          </w:tcPr>
          <w:p w14:paraId="30629B85"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w:t>
            </w:r>
          </w:p>
        </w:tc>
        <w:tc>
          <w:tcPr>
            <w:tcW w:w="675" w:type="dxa"/>
            <w:tcBorders>
              <w:top w:val="single" w:sz="4" w:space="0" w:color="auto"/>
              <w:bottom w:val="nil"/>
            </w:tcBorders>
            <w:noWrap/>
            <w:vAlign w:val="center"/>
          </w:tcPr>
          <w:p w14:paraId="51F4FC7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7</w:t>
            </w:r>
          </w:p>
        </w:tc>
        <w:tc>
          <w:tcPr>
            <w:tcW w:w="676" w:type="dxa"/>
            <w:tcBorders>
              <w:top w:val="single" w:sz="4" w:space="0" w:color="auto"/>
              <w:bottom w:val="nil"/>
            </w:tcBorders>
            <w:noWrap/>
            <w:vAlign w:val="center"/>
          </w:tcPr>
          <w:p w14:paraId="3E86D93E"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38</w:t>
            </w:r>
          </w:p>
        </w:tc>
        <w:tc>
          <w:tcPr>
            <w:tcW w:w="676" w:type="dxa"/>
            <w:tcBorders>
              <w:top w:val="single" w:sz="4" w:space="0" w:color="auto"/>
              <w:bottom w:val="nil"/>
            </w:tcBorders>
            <w:noWrap/>
            <w:vAlign w:val="center"/>
          </w:tcPr>
          <w:p w14:paraId="5649023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140</w:t>
            </w:r>
          </w:p>
        </w:tc>
      </w:tr>
      <w:tr w:rsidR="004E477F" w:rsidRPr="001539FA" w14:paraId="780BF10A"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2711CEFE"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Other Institution</w:t>
            </w:r>
          </w:p>
        </w:tc>
        <w:tc>
          <w:tcPr>
            <w:tcW w:w="1080" w:type="dxa"/>
            <w:tcBorders>
              <w:top w:val="nil"/>
              <w:bottom w:val="nil"/>
            </w:tcBorders>
            <w:noWrap/>
            <w:vAlign w:val="center"/>
          </w:tcPr>
          <w:p w14:paraId="713EBA57"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0E7F942B"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69</w:t>
            </w:r>
          </w:p>
        </w:tc>
        <w:tc>
          <w:tcPr>
            <w:tcW w:w="676" w:type="dxa"/>
            <w:tcBorders>
              <w:top w:val="nil"/>
              <w:bottom w:val="nil"/>
            </w:tcBorders>
            <w:noWrap/>
            <w:vAlign w:val="center"/>
          </w:tcPr>
          <w:p w14:paraId="4F63F32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20</w:t>
            </w:r>
          </w:p>
        </w:tc>
        <w:tc>
          <w:tcPr>
            <w:tcW w:w="675" w:type="dxa"/>
            <w:tcBorders>
              <w:top w:val="nil"/>
              <w:bottom w:val="nil"/>
            </w:tcBorders>
            <w:noWrap/>
            <w:vAlign w:val="center"/>
          </w:tcPr>
          <w:p w14:paraId="4873646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15</w:t>
            </w:r>
          </w:p>
        </w:tc>
        <w:tc>
          <w:tcPr>
            <w:tcW w:w="676" w:type="dxa"/>
            <w:tcBorders>
              <w:top w:val="nil"/>
              <w:bottom w:val="nil"/>
            </w:tcBorders>
            <w:noWrap/>
            <w:vAlign w:val="center"/>
          </w:tcPr>
          <w:p w14:paraId="0DE073DB"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8</w:t>
            </w:r>
          </w:p>
        </w:tc>
        <w:tc>
          <w:tcPr>
            <w:tcW w:w="676" w:type="dxa"/>
            <w:tcBorders>
              <w:top w:val="nil"/>
              <w:bottom w:val="nil"/>
            </w:tcBorders>
            <w:noWrap/>
            <w:vAlign w:val="center"/>
          </w:tcPr>
          <w:p w14:paraId="76C94C4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w:t>
            </w:r>
          </w:p>
        </w:tc>
        <w:tc>
          <w:tcPr>
            <w:tcW w:w="675" w:type="dxa"/>
            <w:tcBorders>
              <w:top w:val="nil"/>
              <w:bottom w:val="nil"/>
            </w:tcBorders>
            <w:noWrap/>
            <w:vAlign w:val="center"/>
          </w:tcPr>
          <w:p w14:paraId="237F668E"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w:t>
            </w:r>
          </w:p>
        </w:tc>
        <w:tc>
          <w:tcPr>
            <w:tcW w:w="676" w:type="dxa"/>
            <w:tcBorders>
              <w:top w:val="nil"/>
              <w:bottom w:val="nil"/>
            </w:tcBorders>
            <w:noWrap/>
            <w:vAlign w:val="center"/>
          </w:tcPr>
          <w:p w14:paraId="698E22A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38</w:t>
            </w:r>
          </w:p>
        </w:tc>
        <w:tc>
          <w:tcPr>
            <w:tcW w:w="676" w:type="dxa"/>
            <w:tcBorders>
              <w:top w:val="nil"/>
              <w:bottom w:val="nil"/>
            </w:tcBorders>
            <w:noWrap/>
            <w:vAlign w:val="center"/>
          </w:tcPr>
          <w:p w14:paraId="0CD5904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158</w:t>
            </w:r>
          </w:p>
        </w:tc>
      </w:tr>
      <w:tr w:rsidR="004E477F" w:rsidRPr="001539FA" w14:paraId="3D843725"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7D2B0E41"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t>Enrolled at Other Institution</w:t>
            </w:r>
          </w:p>
        </w:tc>
        <w:tc>
          <w:tcPr>
            <w:tcW w:w="1080" w:type="dxa"/>
            <w:tcBorders>
              <w:top w:val="nil"/>
              <w:bottom w:val="single" w:sz="4" w:space="0" w:color="auto"/>
            </w:tcBorders>
            <w:noWrap/>
            <w:vAlign w:val="center"/>
          </w:tcPr>
          <w:p w14:paraId="77CEDD1B"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56053AA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116</w:t>
            </w:r>
          </w:p>
        </w:tc>
        <w:tc>
          <w:tcPr>
            <w:tcW w:w="676" w:type="dxa"/>
            <w:tcBorders>
              <w:top w:val="nil"/>
              <w:bottom w:val="single" w:sz="4" w:space="0" w:color="auto"/>
            </w:tcBorders>
            <w:noWrap/>
            <w:vAlign w:val="center"/>
          </w:tcPr>
          <w:p w14:paraId="21A7535D"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44</w:t>
            </w:r>
          </w:p>
        </w:tc>
        <w:tc>
          <w:tcPr>
            <w:tcW w:w="675" w:type="dxa"/>
            <w:tcBorders>
              <w:top w:val="nil"/>
              <w:bottom w:val="single" w:sz="4" w:space="0" w:color="auto"/>
            </w:tcBorders>
            <w:noWrap/>
            <w:vAlign w:val="center"/>
          </w:tcPr>
          <w:p w14:paraId="2B35C99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31</w:t>
            </w:r>
          </w:p>
        </w:tc>
        <w:tc>
          <w:tcPr>
            <w:tcW w:w="676" w:type="dxa"/>
            <w:tcBorders>
              <w:top w:val="nil"/>
              <w:bottom w:val="single" w:sz="4" w:space="0" w:color="auto"/>
            </w:tcBorders>
            <w:noWrap/>
            <w:vAlign w:val="center"/>
          </w:tcPr>
          <w:p w14:paraId="49835F2D"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12</w:t>
            </w:r>
          </w:p>
        </w:tc>
        <w:tc>
          <w:tcPr>
            <w:tcW w:w="676" w:type="dxa"/>
            <w:tcBorders>
              <w:top w:val="nil"/>
              <w:bottom w:val="single" w:sz="4" w:space="0" w:color="auto"/>
            </w:tcBorders>
            <w:noWrap/>
            <w:vAlign w:val="center"/>
          </w:tcPr>
          <w:p w14:paraId="4FE7197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8</w:t>
            </w:r>
          </w:p>
        </w:tc>
        <w:tc>
          <w:tcPr>
            <w:tcW w:w="675" w:type="dxa"/>
            <w:tcBorders>
              <w:top w:val="nil"/>
              <w:bottom w:val="single" w:sz="4" w:space="0" w:color="auto"/>
            </w:tcBorders>
            <w:noWrap/>
            <w:vAlign w:val="center"/>
          </w:tcPr>
          <w:p w14:paraId="6FC8B515"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11</w:t>
            </w:r>
          </w:p>
        </w:tc>
        <w:tc>
          <w:tcPr>
            <w:tcW w:w="676" w:type="dxa"/>
            <w:tcBorders>
              <w:top w:val="nil"/>
              <w:bottom w:val="single" w:sz="4" w:space="0" w:color="auto"/>
            </w:tcBorders>
            <w:noWrap/>
            <w:vAlign w:val="center"/>
          </w:tcPr>
          <w:p w14:paraId="01D7D215"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76</w:t>
            </w:r>
          </w:p>
        </w:tc>
        <w:tc>
          <w:tcPr>
            <w:tcW w:w="676" w:type="dxa"/>
            <w:tcBorders>
              <w:top w:val="nil"/>
              <w:bottom w:val="single" w:sz="4" w:space="0" w:color="auto"/>
            </w:tcBorders>
            <w:noWrap/>
            <w:vAlign w:val="center"/>
          </w:tcPr>
          <w:p w14:paraId="4FA30F0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298</w:t>
            </w:r>
          </w:p>
        </w:tc>
      </w:tr>
      <w:tr w:rsidR="004E477F" w:rsidRPr="001539FA" w14:paraId="5DD73768"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14444862"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Not Enrolled; Did Not Complete</w:t>
            </w:r>
          </w:p>
        </w:tc>
        <w:tc>
          <w:tcPr>
            <w:tcW w:w="1080" w:type="dxa"/>
            <w:tcBorders>
              <w:top w:val="single" w:sz="4" w:space="0" w:color="auto"/>
              <w:bottom w:val="nil"/>
            </w:tcBorders>
            <w:noWrap/>
            <w:vAlign w:val="center"/>
          </w:tcPr>
          <w:p w14:paraId="1A998516"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0E935A49"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246</w:t>
            </w:r>
          </w:p>
        </w:tc>
        <w:tc>
          <w:tcPr>
            <w:tcW w:w="676" w:type="dxa"/>
            <w:tcBorders>
              <w:top w:val="single" w:sz="4" w:space="0" w:color="auto"/>
              <w:bottom w:val="nil"/>
            </w:tcBorders>
            <w:noWrap/>
            <w:vAlign w:val="center"/>
          </w:tcPr>
          <w:p w14:paraId="45FB6C5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295</w:t>
            </w:r>
          </w:p>
        </w:tc>
        <w:tc>
          <w:tcPr>
            <w:tcW w:w="675" w:type="dxa"/>
            <w:tcBorders>
              <w:top w:val="single" w:sz="4" w:space="0" w:color="auto"/>
              <w:bottom w:val="nil"/>
            </w:tcBorders>
            <w:noWrap/>
            <w:vAlign w:val="center"/>
          </w:tcPr>
          <w:p w14:paraId="597782C5"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83</w:t>
            </w:r>
          </w:p>
        </w:tc>
        <w:tc>
          <w:tcPr>
            <w:tcW w:w="676" w:type="dxa"/>
            <w:tcBorders>
              <w:top w:val="single" w:sz="4" w:space="0" w:color="auto"/>
              <w:bottom w:val="nil"/>
            </w:tcBorders>
            <w:noWrap/>
            <w:vAlign w:val="center"/>
          </w:tcPr>
          <w:p w14:paraId="58E0988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47</w:t>
            </w:r>
          </w:p>
        </w:tc>
        <w:tc>
          <w:tcPr>
            <w:tcW w:w="676" w:type="dxa"/>
            <w:tcBorders>
              <w:top w:val="single" w:sz="4" w:space="0" w:color="auto"/>
              <w:bottom w:val="nil"/>
            </w:tcBorders>
            <w:noWrap/>
            <w:vAlign w:val="center"/>
          </w:tcPr>
          <w:p w14:paraId="3B477E0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68</w:t>
            </w:r>
          </w:p>
        </w:tc>
        <w:tc>
          <w:tcPr>
            <w:tcW w:w="675" w:type="dxa"/>
            <w:tcBorders>
              <w:top w:val="single" w:sz="4" w:space="0" w:color="auto"/>
              <w:bottom w:val="nil"/>
            </w:tcBorders>
            <w:noWrap/>
            <w:vAlign w:val="center"/>
          </w:tcPr>
          <w:p w14:paraId="40B9D0D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54</w:t>
            </w:r>
          </w:p>
        </w:tc>
        <w:tc>
          <w:tcPr>
            <w:tcW w:w="676" w:type="dxa"/>
            <w:tcBorders>
              <w:top w:val="single" w:sz="4" w:space="0" w:color="auto"/>
              <w:bottom w:val="nil"/>
            </w:tcBorders>
            <w:noWrap/>
            <w:vAlign w:val="center"/>
          </w:tcPr>
          <w:p w14:paraId="338DB83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319</w:t>
            </w:r>
          </w:p>
        </w:tc>
        <w:tc>
          <w:tcPr>
            <w:tcW w:w="676" w:type="dxa"/>
            <w:tcBorders>
              <w:top w:val="single" w:sz="4" w:space="0" w:color="auto"/>
              <w:bottom w:val="nil"/>
            </w:tcBorders>
            <w:noWrap/>
            <w:vAlign w:val="center"/>
          </w:tcPr>
          <w:p w14:paraId="5EE04C2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1,112</w:t>
            </w:r>
          </w:p>
        </w:tc>
      </w:tr>
      <w:tr w:rsidR="004E477F" w:rsidRPr="001539FA" w14:paraId="17C956EF"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2475818D"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Not Enrolled; Did Not Complete</w:t>
            </w:r>
          </w:p>
        </w:tc>
        <w:tc>
          <w:tcPr>
            <w:tcW w:w="1080" w:type="dxa"/>
            <w:tcBorders>
              <w:top w:val="nil"/>
              <w:bottom w:val="nil"/>
            </w:tcBorders>
            <w:noWrap/>
            <w:vAlign w:val="center"/>
          </w:tcPr>
          <w:p w14:paraId="4AF7BFDC"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1D883942"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307</w:t>
            </w:r>
          </w:p>
        </w:tc>
        <w:tc>
          <w:tcPr>
            <w:tcW w:w="676" w:type="dxa"/>
            <w:tcBorders>
              <w:top w:val="nil"/>
              <w:bottom w:val="nil"/>
            </w:tcBorders>
            <w:noWrap/>
            <w:vAlign w:val="center"/>
          </w:tcPr>
          <w:p w14:paraId="0E0966C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206</w:t>
            </w:r>
          </w:p>
        </w:tc>
        <w:tc>
          <w:tcPr>
            <w:tcW w:w="675" w:type="dxa"/>
            <w:tcBorders>
              <w:top w:val="nil"/>
              <w:bottom w:val="nil"/>
            </w:tcBorders>
            <w:noWrap/>
            <w:vAlign w:val="center"/>
          </w:tcPr>
          <w:p w14:paraId="19B7C26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56</w:t>
            </w:r>
          </w:p>
        </w:tc>
        <w:tc>
          <w:tcPr>
            <w:tcW w:w="676" w:type="dxa"/>
            <w:tcBorders>
              <w:top w:val="nil"/>
              <w:bottom w:val="nil"/>
            </w:tcBorders>
            <w:noWrap/>
            <w:vAlign w:val="center"/>
          </w:tcPr>
          <w:p w14:paraId="39AA679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54</w:t>
            </w:r>
          </w:p>
        </w:tc>
        <w:tc>
          <w:tcPr>
            <w:tcW w:w="676" w:type="dxa"/>
            <w:tcBorders>
              <w:top w:val="nil"/>
              <w:bottom w:val="nil"/>
            </w:tcBorders>
            <w:noWrap/>
            <w:vAlign w:val="center"/>
          </w:tcPr>
          <w:p w14:paraId="59545109"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38</w:t>
            </w:r>
          </w:p>
        </w:tc>
        <w:tc>
          <w:tcPr>
            <w:tcW w:w="675" w:type="dxa"/>
            <w:tcBorders>
              <w:top w:val="nil"/>
              <w:bottom w:val="nil"/>
            </w:tcBorders>
            <w:noWrap/>
            <w:vAlign w:val="center"/>
          </w:tcPr>
          <w:p w14:paraId="12B5AFE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46</w:t>
            </w:r>
          </w:p>
        </w:tc>
        <w:tc>
          <w:tcPr>
            <w:tcW w:w="676" w:type="dxa"/>
            <w:tcBorders>
              <w:top w:val="nil"/>
              <w:bottom w:val="nil"/>
            </w:tcBorders>
            <w:noWrap/>
            <w:vAlign w:val="center"/>
          </w:tcPr>
          <w:p w14:paraId="5F2AA88E"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204</w:t>
            </w:r>
          </w:p>
        </w:tc>
        <w:tc>
          <w:tcPr>
            <w:tcW w:w="676" w:type="dxa"/>
            <w:tcBorders>
              <w:top w:val="nil"/>
              <w:bottom w:val="nil"/>
            </w:tcBorders>
            <w:noWrap/>
            <w:vAlign w:val="center"/>
          </w:tcPr>
          <w:p w14:paraId="029135C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911</w:t>
            </w:r>
          </w:p>
        </w:tc>
      </w:tr>
      <w:tr w:rsidR="004E477F" w:rsidRPr="001539FA" w14:paraId="6E9F1911"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2218CC6B"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t>Not Enrolled; Did Not Complete</w:t>
            </w:r>
          </w:p>
        </w:tc>
        <w:tc>
          <w:tcPr>
            <w:tcW w:w="1080" w:type="dxa"/>
            <w:tcBorders>
              <w:top w:val="nil"/>
              <w:bottom w:val="single" w:sz="4" w:space="0" w:color="auto"/>
            </w:tcBorders>
            <w:noWrap/>
            <w:vAlign w:val="center"/>
          </w:tcPr>
          <w:p w14:paraId="2C66FB31"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05BF43D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553</w:t>
            </w:r>
          </w:p>
        </w:tc>
        <w:tc>
          <w:tcPr>
            <w:tcW w:w="676" w:type="dxa"/>
            <w:tcBorders>
              <w:top w:val="nil"/>
              <w:bottom w:val="single" w:sz="4" w:space="0" w:color="auto"/>
            </w:tcBorders>
            <w:noWrap/>
            <w:vAlign w:val="center"/>
          </w:tcPr>
          <w:p w14:paraId="159B76E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501</w:t>
            </w:r>
          </w:p>
        </w:tc>
        <w:tc>
          <w:tcPr>
            <w:tcW w:w="675" w:type="dxa"/>
            <w:tcBorders>
              <w:top w:val="nil"/>
              <w:bottom w:val="single" w:sz="4" w:space="0" w:color="auto"/>
            </w:tcBorders>
            <w:noWrap/>
            <w:vAlign w:val="center"/>
          </w:tcPr>
          <w:p w14:paraId="082DABA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139</w:t>
            </w:r>
          </w:p>
        </w:tc>
        <w:tc>
          <w:tcPr>
            <w:tcW w:w="676" w:type="dxa"/>
            <w:tcBorders>
              <w:top w:val="nil"/>
              <w:bottom w:val="single" w:sz="4" w:space="0" w:color="auto"/>
            </w:tcBorders>
            <w:noWrap/>
            <w:vAlign w:val="center"/>
          </w:tcPr>
          <w:p w14:paraId="5B1DF0F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101</w:t>
            </w:r>
          </w:p>
        </w:tc>
        <w:tc>
          <w:tcPr>
            <w:tcW w:w="676" w:type="dxa"/>
            <w:tcBorders>
              <w:top w:val="nil"/>
              <w:bottom w:val="single" w:sz="4" w:space="0" w:color="auto"/>
            </w:tcBorders>
            <w:noWrap/>
            <w:vAlign w:val="center"/>
          </w:tcPr>
          <w:p w14:paraId="26B122E5"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106</w:t>
            </w:r>
          </w:p>
        </w:tc>
        <w:tc>
          <w:tcPr>
            <w:tcW w:w="675" w:type="dxa"/>
            <w:tcBorders>
              <w:top w:val="nil"/>
              <w:bottom w:val="single" w:sz="4" w:space="0" w:color="auto"/>
            </w:tcBorders>
            <w:noWrap/>
            <w:vAlign w:val="center"/>
          </w:tcPr>
          <w:p w14:paraId="749480C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100</w:t>
            </w:r>
          </w:p>
        </w:tc>
        <w:tc>
          <w:tcPr>
            <w:tcW w:w="676" w:type="dxa"/>
            <w:tcBorders>
              <w:top w:val="nil"/>
              <w:bottom w:val="single" w:sz="4" w:space="0" w:color="auto"/>
            </w:tcBorders>
            <w:noWrap/>
            <w:vAlign w:val="center"/>
          </w:tcPr>
          <w:p w14:paraId="001C7CF4"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523</w:t>
            </w:r>
          </w:p>
        </w:tc>
        <w:tc>
          <w:tcPr>
            <w:tcW w:w="676" w:type="dxa"/>
            <w:tcBorders>
              <w:top w:val="nil"/>
              <w:bottom w:val="single" w:sz="4" w:space="0" w:color="auto"/>
            </w:tcBorders>
            <w:noWrap/>
            <w:vAlign w:val="center"/>
          </w:tcPr>
          <w:p w14:paraId="5FF25476"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2,023</w:t>
            </w:r>
          </w:p>
        </w:tc>
      </w:tr>
      <w:tr w:rsidR="004E477F" w:rsidRPr="001539FA" w14:paraId="32A4FF84"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tcBorders>
            <w:vAlign w:val="center"/>
          </w:tcPr>
          <w:p w14:paraId="6891A679"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Total</w:t>
            </w:r>
          </w:p>
        </w:tc>
        <w:tc>
          <w:tcPr>
            <w:tcW w:w="1080" w:type="dxa"/>
            <w:tcBorders>
              <w:top w:val="single" w:sz="4" w:space="0" w:color="auto"/>
            </w:tcBorders>
            <w:noWrap/>
            <w:vAlign w:val="center"/>
          </w:tcPr>
          <w:p w14:paraId="36AC4F31"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tcBorders>
            <w:noWrap/>
            <w:vAlign w:val="center"/>
          </w:tcPr>
          <w:p w14:paraId="0B66DF79"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770</w:t>
            </w:r>
          </w:p>
        </w:tc>
        <w:tc>
          <w:tcPr>
            <w:tcW w:w="676" w:type="dxa"/>
            <w:tcBorders>
              <w:top w:val="single" w:sz="4" w:space="0" w:color="auto"/>
            </w:tcBorders>
            <w:noWrap/>
            <w:vAlign w:val="center"/>
          </w:tcPr>
          <w:p w14:paraId="0497E22D"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543</w:t>
            </w:r>
          </w:p>
        </w:tc>
        <w:tc>
          <w:tcPr>
            <w:tcW w:w="675" w:type="dxa"/>
            <w:tcBorders>
              <w:top w:val="single" w:sz="4" w:space="0" w:color="auto"/>
            </w:tcBorders>
            <w:noWrap/>
            <w:vAlign w:val="center"/>
          </w:tcPr>
          <w:p w14:paraId="51CC9B2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267</w:t>
            </w:r>
          </w:p>
        </w:tc>
        <w:tc>
          <w:tcPr>
            <w:tcW w:w="676" w:type="dxa"/>
            <w:tcBorders>
              <w:top w:val="single" w:sz="4" w:space="0" w:color="auto"/>
            </w:tcBorders>
            <w:noWrap/>
            <w:vAlign w:val="center"/>
          </w:tcPr>
          <w:p w14:paraId="316A34D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138</w:t>
            </w:r>
          </w:p>
        </w:tc>
        <w:tc>
          <w:tcPr>
            <w:tcW w:w="676" w:type="dxa"/>
            <w:tcBorders>
              <w:top w:val="single" w:sz="4" w:space="0" w:color="auto"/>
            </w:tcBorders>
            <w:noWrap/>
            <w:vAlign w:val="center"/>
          </w:tcPr>
          <w:p w14:paraId="5278E82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115</w:t>
            </w:r>
          </w:p>
        </w:tc>
        <w:tc>
          <w:tcPr>
            <w:tcW w:w="675" w:type="dxa"/>
            <w:tcBorders>
              <w:top w:val="single" w:sz="4" w:space="0" w:color="auto"/>
            </w:tcBorders>
            <w:noWrap/>
            <w:vAlign w:val="center"/>
          </w:tcPr>
          <w:p w14:paraId="036E084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140</w:t>
            </w:r>
          </w:p>
        </w:tc>
        <w:tc>
          <w:tcPr>
            <w:tcW w:w="676" w:type="dxa"/>
            <w:tcBorders>
              <w:top w:val="single" w:sz="4" w:space="0" w:color="auto"/>
            </w:tcBorders>
            <w:noWrap/>
            <w:vAlign w:val="center"/>
          </w:tcPr>
          <w:p w14:paraId="2F40D19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807</w:t>
            </w:r>
          </w:p>
        </w:tc>
        <w:tc>
          <w:tcPr>
            <w:tcW w:w="676" w:type="dxa"/>
            <w:tcBorders>
              <w:top w:val="single" w:sz="4" w:space="0" w:color="auto"/>
            </w:tcBorders>
            <w:noWrap/>
            <w:vAlign w:val="center"/>
          </w:tcPr>
          <w:p w14:paraId="64B5EF2A"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2,780</w:t>
            </w:r>
          </w:p>
        </w:tc>
      </w:tr>
      <w:tr w:rsidR="004E477F" w:rsidRPr="001539FA" w14:paraId="7DD90027"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7EEB3BF2"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Total</w:t>
            </w:r>
          </w:p>
        </w:tc>
        <w:tc>
          <w:tcPr>
            <w:tcW w:w="1080" w:type="dxa"/>
            <w:noWrap/>
            <w:vAlign w:val="center"/>
          </w:tcPr>
          <w:p w14:paraId="2167C0AE"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noWrap/>
            <w:vAlign w:val="center"/>
          </w:tcPr>
          <w:p w14:paraId="2457A02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1,673</w:t>
            </w:r>
          </w:p>
        </w:tc>
        <w:tc>
          <w:tcPr>
            <w:tcW w:w="676" w:type="dxa"/>
            <w:noWrap/>
            <w:vAlign w:val="center"/>
          </w:tcPr>
          <w:p w14:paraId="50A833A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420</w:t>
            </w:r>
          </w:p>
        </w:tc>
        <w:tc>
          <w:tcPr>
            <w:tcW w:w="675" w:type="dxa"/>
            <w:noWrap/>
            <w:vAlign w:val="center"/>
          </w:tcPr>
          <w:p w14:paraId="5FD1DFE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269</w:t>
            </w:r>
          </w:p>
        </w:tc>
        <w:tc>
          <w:tcPr>
            <w:tcW w:w="676" w:type="dxa"/>
            <w:noWrap/>
            <w:vAlign w:val="center"/>
          </w:tcPr>
          <w:p w14:paraId="1186E1FB"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151</w:t>
            </w:r>
          </w:p>
        </w:tc>
        <w:tc>
          <w:tcPr>
            <w:tcW w:w="676" w:type="dxa"/>
            <w:noWrap/>
            <w:vAlign w:val="center"/>
          </w:tcPr>
          <w:p w14:paraId="7E981DD7"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59</w:t>
            </w:r>
          </w:p>
        </w:tc>
        <w:tc>
          <w:tcPr>
            <w:tcW w:w="675" w:type="dxa"/>
            <w:noWrap/>
            <w:vAlign w:val="center"/>
          </w:tcPr>
          <w:p w14:paraId="2CBDC22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137</w:t>
            </w:r>
          </w:p>
        </w:tc>
        <w:tc>
          <w:tcPr>
            <w:tcW w:w="676" w:type="dxa"/>
            <w:noWrap/>
            <w:vAlign w:val="center"/>
          </w:tcPr>
          <w:p w14:paraId="06CD641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651</w:t>
            </w:r>
          </w:p>
        </w:tc>
        <w:tc>
          <w:tcPr>
            <w:tcW w:w="676" w:type="dxa"/>
            <w:noWrap/>
            <w:vAlign w:val="center"/>
          </w:tcPr>
          <w:p w14:paraId="1085F37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3,360</w:t>
            </w:r>
          </w:p>
        </w:tc>
      </w:tr>
      <w:tr w:rsidR="004E477F" w:rsidRPr="001539FA" w14:paraId="49722AC3"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08E7CAA9" w14:textId="77777777" w:rsidR="004E477F" w:rsidRPr="001539FA" w:rsidRDefault="004E477F" w:rsidP="00D67A46">
            <w:pPr>
              <w:rPr>
                <w:rFonts w:ascii="Calibri" w:hAnsi="Calibri" w:cs="Calibri"/>
                <w:i/>
                <w:iCs/>
                <w:color w:val="000000"/>
                <w:sz w:val="18"/>
                <w:szCs w:val="18"/>
              </w:rPr>
            </w:pPr>
            <w:r w:rsidRPr="001539FA">
              <w:rPr>
                <w:rFonts w:ascii="Calibri" w:hAnsi="Calibri" w:cs="Calibri"/>
                <w:i/>
                <w:iCs/>
                <w:color w:val="000000"/>
                <w:sz w:val="18"/>
                <w:szCs w:val="18"/>
              </w:rPr>
              <w:t>Total</w:t>
            </w:r>
          </w:p>
        </w:tc>
        <w:tc>
          <w:tcPr>
            <w:tcW w:w="1080" w:type="dxa"/>
            <w:noWrap/>
            <w:vAlign w:val="center"/>
          </w:tcPr>
          <w:p w14:paraId="3F567DDA"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i/>
                <w:iCs/>
                <w:color w:val="000000"/>
                <w:sz w:val="18"/>
                <w:szCs w:val="18"/>
              </w:rPr>
              <w:t>Total</w:t>
            </w:r>
          </w:p>
        </w:tc>
        <w:tc>
          <w:tcPr>
            <w:tcW w:w="675" w:type="dxa"/>
            <w:noWrap/>
            <w:vAlign w:val="center"/>
          </w:tcPr>
          <w:p w14:paraId="7426E078" w14:textId="77777777" w:rsidR="004E477F" w:rsidRPr="0029182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2,443</w:t>
            </w:r>
          </w:p>
        </w:tc>
        <w:tc>
          <w:tcPr>
            <w:tcW w:w="676" w:type="dxa"/>
            <w:noWrap/>
            <w:vAlign w:val="center"/>
          </w:tcPr>
          <w:p w14:paraId="127E585A" w14:textId="77777777" w:rsidR="004E477F" w:rsidRPr="0029182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963</w:t>
            </w:r>
          </w:p>
        </w:tc>
        <w:tc>
          <w:tcPr>
            <w:tcW w:w="675" w:type="dxa"/>
            <w:noWrap/>
            <w:vAlign w:val="center"/>
          </w:tcPr>
          <w:p w14:paraId="141038CF" w14:textId="77777777" w:rsidR="004E477F" w:rsidRPr="0029182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536</w:t>
            </w:r>
          </w:p>
        </w:tc>
        <w:tc>
          <w:tcPr>
            <w:tcW w:w="676" w:type="dxa"/>
            <w:noWrap/>
            <w:vAlign w:val="center"/>
          </w:tcPr>
          <w:p w14:paraId="4D6014F2" w14:textId="77777777" w:rsidR="004E477F" w:rsidRPr="0029182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289</w:t>
            </w:r>
          </w:p>
        </w:tc>
        <w:tc>
          <w:tcPr>
            <w:tcW w:w="676" w:type="dxa"/>
            <w:noWrap/>
            <w:vAlign w:val="center"/>
          </w:tcPr>
          <w:p w14:paraId="7A106725" w14:textId="77777777" w:rsidR="004E477F" w:rsidRPr="0029182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174</w:t>
            </w:r>
          </w:p>
        </w:tc>
        <w:tc>
          <w:tcPr>
            <w:tcW w:w="675" w:type="dxa"/>
            <w:noWrap/>
            <w:vAlign w:val="center"/>
          </w:tcPr>
          <w:p w14:paraId="6251F179" w14:textId="77777777" w:rsidR="004E477F" w:rsidRPr="0029182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277</w:t>
            </w:r>
          </w:p>
        </w:tc>
        <w:tc>
          <w:tcPr>
            <w:tcW w:w="676" w:type="dxa"/>
            <w:noWrap/>
            <w:vAlign w:val="center"/>
          </w:tcPr>
          <w:p w14:paraId="7CA992AF" w14:textId="77777777" w:rsidR="004E477F" w:rsidRPr="0029182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1,458</w:t>
            </w:r>
          </w:p>
        </w:tc>
        <w:tc>
          <w:tcPr>
            <w:tcW w:w="676" w:type="dxa"/>
            <w:noWrap/>
            <w:vAlign w:val="center"/>
          </w:tcPr>
          <w:p w14:paraId="106D3AB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6,140</w:t>
            </w:r>
          </w:p>
        </w:tc>
      </w:tr>
    </w:tbl>
    <w:p w14:paraId="6BEC63B5" w14:textId="3D285FF2" w:rsidR="00FF4CED" w:rsidRDefault="00FF4CED" w:rsidP="00FF4CED">
      <w:pPr>
        <w:spacing w:after="0" w:line="240" w:lineRule="auto"/>
        <w:rPr>
          <w:sz w:val="20"/>
          <w:szCs w:val="20"/>
        </w:rPr>
      </w:pPr>
    </w:p>
    <w:p w14:paraId="50F59F2E" w14:textId="61564C43" w:rsidR="007D1F56" w:rsidRDefault="007D1F56" w:rsidP="00FF4CED">
      <w:pPr>
        <w:spacing w:after="0" w:line="240" w:lineRule="auto"/>
        <w:rPr>
          <w:sz w:val="20"/>
          <w:szCs w:val="20"/>
        </w:rPr>
      </w:pPr>
    </w:p>
    <w:p w14:paraId="6A31EE42" w14:textId="77777777" w:rsidR="00B772DF" w:rsidRDefault="00B772DF">
      <w:pPr>
        <w:rPr>
          <w:b/>
          <w:sz w:val="24"/>
          <w:szCs w:val="24"/>
        </w:rPr>
      </w:pPr>
      <w:r>
        <w:br w:type="page"/>
      </w:r>
    </w:p>
    <w:p w14:paraId="66BA0D70" w14:textId="24E1EE05" w:rsidR="00FF4CED" w:rsidRDefault="00FF4CED" w:rsidP="00B772DF">
      <w:pPr>
        <w:pStyle w:val="Heading2"/>
        <w:jc w:val="center"/>
      </w:pPr>
      <w:r>
        <w:lastRenderedPageBreak/>
        <w:t xml:space="preserve">Year 6 Outcomes for </w:t>
      </w:r>
      <w:r w:rsidR="00B772DF">
        <w:t>A</w:t>
      </w:r>
      <w:r>
        <w:t>LL First-Time &amp; Transfer, Bachelor’s Degree-Seeking Fall 2014 Entering Cohort (Percentages)</w:t>
      </w:r>
    </w:p>
    <w:p w14:paraId="16306246" w14:textId="77777777" w:rsidR="00683AC9" w:rsidRDefault="00683AC9" w:rsidP="0061483E">
      <w:pPr>
        <w:spacing w:after="0"/>
        <w:rPr>
          <w:sz w:val="24"/>
          <w:szCs w:val="24"/>
        </w:rPr>
      </w:pPr>
    </w:p>
    <w:tbl>
      <w:tblPr>
        <w:tblStyle w:val="GridTable4-Accent11"/>
        <w:tblW w:w="9360" w:type="dxa"/>
        <w:tblLayout w:type="fixed"/>
        <w:tblLook w:val="04A0" w:firstRow="1" w:lastRow="0" w:firstColumn="1" w:lastColumn="0" w:noHBand="0" w:noVBand="1"/>
      </w:tblPr>
      <w:tblGrid>
        <w:gridCol w:w="2875"/>
        <w:gridCol w:w="1080"/>
        <w:gridCol w:w="675"/>
        <w:gridCol w:w="676"/>
        <w:gridCol w:w="675"/>
        <w:gridCol w:w="676"/>
        <w:gridCol w:w="676"/>
        <w:gridCol w:w="675"/>
        <w:gridCol w:w="676"/>
        <w:gridCol w:w="676"/>
      </w:tblGrid>
      <w:tr w:rsidR="004E477F" w:rsidRPr="001539FA" w14:paraId="4C6EE651" w14:textId="77777777" w:rsidTr="00D67A4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vAlign w:val="bottom"/>
          </w:tcPr>
          <w:p w14:paraId="4AED8F3C" w14:textId="77777777" w:rsidR="004E477F" w:rsidRPr="001539FA" w:rsidRDefault="004E477F" w:rsidP="00D67A46">
            <w:pPr>
              <w:rPr>
                <w:rFonts w:ascii="Calibri" w:hAnsi="Calibri" w:cs="Calibri"/>
                <w:color w:val="FFFFFF" w:themeColor="background1"/>
                <w:sz w:val="18"/>
                <w:szCs w:val="18"/>
              </w:rPr>
            </w:pPr>
            <w:r w:rsidRPr="001539FA">
              <w:rPr>
                <w:rFonts w:ascii="Calibri" w:hAnsi="Calibri" w:cs="Calibri"/>
                <w:color w:val="FFFFFF" w:themeColor="background1"/>
                <w:sz w:val="18"/>
                <w:szCs w:val="18"/>
              </w:rPr>
              <w:t>Year 6 Outcome</w:t>
            </w:r>
          </w:p>
        </w:tc>
        <w:tc>
          <w:tcPr>
            <w:tcW w:w="1080" w:type="dxa"/>
            <w:noWrap/>
            <w:vAlign w:val="bottom"/>
            <w:hideMark/>
          </w:tcPr>
          <w:p w14:paraId="169CC193" w14:textId="77777777" w:rsidR="004E477F" w:rsidRPr="001539FA" w:rsidRDefault="004E477F" w:rsidP="00D67A4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 w:val="18"/>
                <w:szCs w:val="18"/>
              </w:rPr>
            </w:pPr>
            <w:r w:rsidRPr="001539FA">
              <w:rPr>
                <w:rFonts w:ascii="Calibri" w:hAnsi="Calibri" w:cs="Calibri"/>
                <w:color w:val="FFFFFF" w:themeColor="background1"/>
                <w:sz w:val="18"/>
                <w:szCs w:val="18"/>
              </w:rPr>
              <w:t>First</w:t>
            </w:r>
          </w:p>
          <w:p w14:paraId="16BAD08A" w14:textId="77777777" w:rsidR="004E477F" w:rsidRPr="001539FA" w:rsidRDefault="004E477F" w:rsidP="00D67A4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sz w:val="18"/>
                <w:szCs w:val="18"/>
              </w:rPr>
            </w:pPr>
            <w:r w:rsidRPr="001539FA">
              <w:rPr>
                <w:rFonts w:ascii="Calibri" w:hAnsi="Calibri" w:cs="Calibri"/>
                <w:color w:val="FFFFFF" w:themeColor="background1"/>
                <w:sz w:val="18"/>
                <w:szCs w:val="18"/>
              </w:rPr>
              <w:t>Generation</w:t>
            </w:r>
          </w:p>
        </w:tc>
        <w:tc>
          <w:tcPr>
            <w:tcW w:w="675" w:type="dxa"/>
            <w:noWrap/>
            <w:vAlign w:val="bottom"/>
            <w:hideMark/>
          </w:tcPr>
          <w:p w14:paraId="17DEF116"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w:t>
            </w:r>
          </w:p>
        </w:tc>
        <w:tc>
          <w:tcPr>
            <w:tcW w:w="676" w:type="dxa"/>
            <w:noWrap/>
            <w:vAlign w:val="bottom"/>
            <w:hideMark/>
          </w:tcPr>
          <w:p w14:paraId="5ED3A03F"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UMA</w:t>
            </w:r>
          </w:p>
        </w:tc>
        <w:tc>
          <w:tcPr>
            <w:tcW w:w="675" w:type="dxa"/>
            <w:noWrap/>
            <w:vAlign w:val="bottom"/>
            <w:hideMark/>
          </w:tcPr>
          <w:p w14:paraId="77B7871F"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UMF</w:t>
            </w:r>
          </w:p>
        </w:tc>
        <w:tc>
          <w:tcPr>
            <w:tcW w:w="676" w:type="dxa"/>
            <w:noWrap/>
            <w:vAlign w:val="bottom"/>
            <w:hideMark/>
          </w:tcPr>
          <w:p w14:paraId="56C7A23A"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UMFK</w:t>
            </w:r>
          </w:p>
        </w:tc>
        <w:tc>
          <w:tcPr>
            <w:tcW w:w="676" w:type="dxa"/>
            <w:noWrap/>
            <w:vAlign w:val="bottom"/>
            <w:hideMark/>
          </w:tcPr>
          <w:p w14:paraId="43A76F8D"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UMM</w:t>
            </w:r>
          </w:p>
        </w:tc>
        <w:tc>
          <w:tcPr>
            <w:tcW w:w="675" w:type="dxa"/>
            <w:noWrap/>
            <w:vAlign w:val="bottom"/>
            <w:hideMark/>
          </w:tcPr>
          <w:p w14:paraId="096F3DF5"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UMPI</w:t>
            </w:r>
          </w:p>
        </w:tc>
        <w:tc>
          <w:tcPr>
            <w:tcW w:w="676" w:type="dxa"/>
            <w:noWrap/>
            <w:vAlign w:val="bottom"/>
            <w:hideMark/>
          </w:tcPr>
          <w:p w14:paraId="0BA8894B"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18"/>
                <w:szCs w:val="18"/>
              </w:rPr>
            </w:pPr>
            <w:r w:rsidRPr="001539FA">
              <w:rPr>
                <w:rFonts w:ascii="Calibri" w:hAnsi="Calibri" w:cs="Calibri"/>
                <w:color w:val="FFFFFF" w:themeColor="background1"/>
                <w:sz w:val="18"/>
                <w:szCs w:val="18"/>
              </w:rPr>
              <w:t>USM</w:t>
            </w:r>
          </w:p>
        </w:tc>
        <w:tc>
          <w:tcPr>
            <w:tcW w:w="676" w:type="dxa"/>
            <w:noWrap/>
            <w:vAlign w:val="bottom"/>
            <w:hideMark/>
          </w:tcPr>
          <w:p w14:paraId="5BA7B8F1" w14:textId="77777777" w:rsidR="004E477F" w:rsidRPr="001539FA" w:rsidRDefault="004E477F" w:rsidP="00D67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color w:val="FFFFFF" w:themeColor="background1"/>
                <w:sz w:val="18"/>
                <w:szCs w:val="18"/>
              </w:rPr>
            </w:pPr>
            <w:r w:rsidRPr="001539FA">
              <w:rPr>
                <w:rFonts w:ascii="Calibri" w:hAnsi="Calibri" w:cs="Calibri"/>
                <w:i/>
                <w:iCs/>
                <w:color w:val="FFFFFF" w:themeColor="background1"/>
                <w:sz w:val="18"/>
                <w:szCs w:val="18"/>
              </w:rPr>
              <w:t>Total</w:t>
            </w:r>
          </w:p>
        </w:tc>
      </w:tr>
      <w:tr w:rsidR="004E477F" w:rsidRPr="001539FA" w14:paraId="5F616C0A"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4472C4"/>
              <w:bottom w:val="nil"/>
            </w:tcBorders>
            <w:vAlign w:val="center"/>
          </w:tcPr>
          <w:p w14:paraId="5586996D"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Starting Institution</w:t>
            </w:r>
          </w:p>
        </w:tc>
        <w:tc>
          <w:tcPr>
            <w:tcW w:w="1080" w:type="dxa"/>
            <w:tcBorders>
              <w:top w:val="single" w:sz="4" w:space="0" w:color="4472C4"/>
              <w:bottom w:val="nil"/>
            </w:tcBorders>
            <w:noWrap/>
            <w:vAlign w:val="center"/>
            <w:hideMark/>
          </w:tcPr>
          <w:p w14:paraId="27B8C8EF"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rPr>
            </w:pPr>
            <w:r w:rsidRPr="001539FA">
              <w:rPr>
                <w:rFonts w:ascii="Calibri" w:hAnsi="Calibri" w:cs="Calibri"/>
                <w:color w:val="000000"/>
                <w:sz w:val="18"/>
                <w:szCs w:val="18"/>
              </w:rPr>
              <w:t>Yes</w:t>
            </w:r>
          </w:p>
        </w:tc>
        <w:tc>
          <w:tcPr>
            <w:tcW w:w="675" w:type="dxa"/>
            <w:tcBorders>
              <w:top w:val="single" w:sz="4" w:space="0" w:color="4472C4"/>
              <w:bottom w:val="nil"/>
            </w:tcBorders>
            <w:noWrap/>
            <w:vAlign w:val="center"/>
          </w:tcPr>
          <w:p w14:paraId="77014699"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46.9%</w:t>
            </w:r>
          </w:p>
        </w:tc>
        <w:tc>
          <w:tcPr>
            <w:tcW w:w="676" w:type="dxa"/>
            <w:tcBorders>
              <w:top w:val="single" w:sz="4" w:space="0" w:color="4472C4"/>
              <w:bottom w:val="nil"/>
            </w:tcBorders>
            <w:noWrap/>
            <w:vAlign w:val="center"/>
          </w:tcPr>
          <w:p w14:paraId="06FE4A4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26.5%</w:t>
            </w:r>
          </w:p>
        </w:tc>
        <w:tc>
          <w:tcPr>
            <w:tcW w:w="675" w:type="dxa"/>
            <w:tcBorders>
              <w:top w:val="single" w:sz="4" w:space="0" w:color="4472C4"/>
              <w:bottom w:val="nil"/>
            </w:tcBorders>
            <w:noWrap/>
            <w:vAlign w:val="center"/>
          </w:tcPr>
          <w:p w14:paraId="64735E07"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51.7%</w:t>
            </w:r>
          </w:p>
        </w:tc>
        <w:tc>
          <w:tcPr>
            <w:tcW w:w="676" w:type="dxa"/>
            <w:tcBorders>
              <w:top w:val="single" w:sz="4" w:space="0" w:color="4472C4"/>
              <w:bottom w:val="nil"/>
            </w:tcBorders>
            <w:noWrap/>
            <w:vAlign w:val="center"/>
          </w:tcPr>
          <w:p w14:paraId="38EB1826"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50.0%</w:t>
            </w:r>
          </w:p>
        </w:tc>
        <w:tc>
          <w:tcPr>
            <w:tcW w:w="676" w:type="dxa"/>
            <w:tcBorders>
              <w:top w:val="single" w:sz="4" w:space="0" w:color="4472C4"/>
              <w:bottom w:val="nil"/>
            </w:tcBorders>
            <w:noWrap/>
            <w:vAlign w:val="center"/>
          </w:tcPr>
          <w:p w14:paraId="2E0A28F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30.4%</w:t>
            </w:r>
          </w:p>
        </w:tc>
        <w:tc>
          <w:tcPr>
            <w:tcW w:w="675" w:type="dxa"/>
            <w:tcBorders>
              <w:top w:val="single" w:sz="4" w:space="0" w:color="4472C4"/>
              <w:bottom w:val="nil"/>
            </w:tcBorders>
            <w:noWrap/>
            <w:vAlign w:val="center"/>
          </w:tcPr>
          <w:p w14:paraId="56D290A7"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39.3%</w:t>
            </w:r>
          </w:p>
        </w:tc>
        <w:tc>
          <w:tcPr>
            <w:tcW w:w="676" w:type="dxa"/>
            <w:tcBorders>
              <w:top w:val="single" w:sz="4" w:space="0" w:color="4472C4"/>
              <w:bottom w:val="nil"/>
            </w:tcBorders>
            <w:noWrap/>
            <w:vAlign w:val="center"/>
          </w:tcPr>
          <w:p w14:paraId="67043959"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41.4%</w:t>
            </w:r>
          </w:p>
        </w:tc>
        <w:tc>
          <w:tcPr>
            <w:tcW w:w="676" w:type="dxa"/>
            <w:tcBorders>
              <w:top w:val="single" w:sz="4" w:space="0" w:color="4472C4"/>
              <w:bottom w:val="nil"/>
            </w:tcBorders>
            <w:noWrap/>
            <w:vAlign w:val="center"/>
          </w:tcPr>
          <w:p w14:paraId="2818EDA4"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i/>
                <w:iCs/>
                <w:color w:val="000000"/>
                <w:sz w:val="18"/>
                <w:szCs w:val="18"/>
              </w:rPr>
              <w:t>40.9%</w:t>
            </w:r>
          </w:p>
        </w:tc>
      </w:tr>
      <w:tr w:rsidR="004E477F" w:rsidRPr="001539FA" w14:paraId="54E4B223"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377AB611"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Starting Institution</w:t>
            </w:r>
          </w:p>
        </w:tc>
        <w:tc>
          <w:tcPr>
            <w:tcW w:w="1080" w:type="dxa"/>
            <w:tcBorders>
              <w:top w:val="nil"/>
              <w:bottom w:val="nil"/>
            </w:tcBorders>
            <w:noWrap/>
            <w:vAlign w:val="center"/>
            <w:hideMark/>
          </w:tcPr>
          <w:p w14:paraId="79A77C5E"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295B2C5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63.3%</w:t>
            </w:r>
          </w:p>
        </w:tc>
        <w:tc>
          <w:tcPr>
            <w:tcW w:w="676" w:type="dxa"/>
            <w:tcBorders>
              <w:top w:val="nil"/>
              <w:bottom w:val="nil"/>
            </w:tcBorders>
            <w:noWrap/>
            <w:vAlign w:val="center"/>
          </w:tcPr>
          <w:p w14:paraId="29BFF72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29.8%</w:t>
            </w:r>
          </w:p>
        </w:tc>
        <w:tc>
          <w:tcPr>
            <w:tcW w:w="675" w:type="dxa"/>
            <w:tcBorders>
              <w:top w:val="nil"/>
              <w:bottom w:val="nil"/>
            </w:tcBorders>
            <w:noWrap/>
            <w:vAlign w:val="center"/>
          </w:tcPr>
          <w:p w14:paraId="4479FAF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61.7%</w:t>
            </w:r>
          </w:p>
        </w:tc>
        <w:tc>
          <w:tcPr>
            <w:tcW w:w="676" w:type="dxa"/>
            <w:tcBorders>
              <w:top w:val="nil"/>
              <w:bottom w:val="nil"/>
            </w:tcBorders>
            <w:noWrap/>
            <w:vAlign w:val="center"/>
          </w:tcPr>
          <w:p w14:paraId="169EE25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51.0%</w:t>
            </w:r>
          </w:p>
        </w:tc>
        <w:tc>
          <w:tcPr>
            <w:tcW w:w="676" w:type="dxa"/>
            <w:tcBorders>
              <w:top w:val="nil"/>
              <w:bottom w:val="nil"/>
            </w:tcBorders>
            <w:noWrap/>
            <w:vAlign w:val="center"/>
          </w:tcPr>
          <w:p w14:paraId="685D744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23.7%</w:t>
            </w:r>
          </w:p>
        </w:tc>
        <w:tc>
          <w:tcPr>
            <w:tcW w:w="675" w:type="dxa"/>
            <w:tcBorders>
              <w:top w:val="nil"/>
              <w:bottom w:val="nil"/>
            </w:tcBorders>
            <w:noWrap/>
            <w:vAlign w:val="center"/>
          </w:tcPr>
          <w:p w14:paraId="64419CE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50.4%</w:t>
            </w:r>
          </w:p>
        </w:tc>
        <w:tc>
          <w:tcPr>
            <w:tcW w:w="676" w:type="dxa"/>
            <w:tcBorders>
              <w:top w:val="nil"/>
              <w:bottom w:val="nil"/>
            </w:tcBorders>
            <w:noWrap/>
            <w:vAlign w:val="center"/>
          </w:tcPr>
          <w:p w14:paraId="442C579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47.6%</w:t>
            </w:r>
          </w:p>
        </w:tc>
        <w:tc>
          <w:tcPr>
            <w:tcW w:w="676" w:type="dxa"/>
            <w:tcBorders>
              <w:top w:val="nil"/>
              <w:bottom w:val="nil"/>
            </w:tcBorders>
            <w:noWrap/>
            <w:vAlign w:val="center"/>
          </w:tcPr>
          <w:p w14:paraId="74289B8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i/>
                <w:iCs/>
                <w:color w:val="000000"/>
                <w:sz w:val="18"/>
                <w:szCs w:val="18"/>
              </w:rPr>
              <w:t>54.2%</w:t>
            </w:r>
          </w:p>
        </w:tc>
      </w:tr>
      <w:tr w:rsidR="004E477F" w:rsidRPr="001539FA" w14:paraId="79B4DA45"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6492C5D9" w14:textId="77777777" w:rsidR="004E477F" w:rsidRPr="001539FA" w:rsidRDefault="004E477F" w:rsidP="00D67A46">
            <w:pPr>
              <w:rPr>
                <w:rFonts w:ascii="Calibri" w:hAnsi="Calibri" w:cs="Calibri"/>
                <w:i/>
                <w:iCs/>
                <w:color w:val="000000"/>
                <w:sz w:val="18"/>
                <w:szCs w:val="18"/>
              </w:rPr>
            </w:pPr>
            <w:r w:rsidRPr="001539FA">
              <w:rPr>
                <w:rFonts w:ascii="Calibri" w:hAnsi="Calibri" w:cs="Calibri"/>
                <w:color w:val="000000"/>
                <w:sz w:val="18"/>
                <w:szCs w:val="18"/>
              </w:rPr>
              <w:t>Graduated from Starting Institution</w:t>
            </w:r>
          </w:p>
        </w:tc>
        <w:tc>
          <w:tcPr>
            <w:tcW w:w="1080" w:type="dxa"/>
            <w:tcBorders>
              <w:top w:val="nil"/>
              <w:bottom w:val="single" w:sz="4" w:space="0" w:color="auto"/>
            </w:tcBorders>
            <w:noWrap/>
            <w:vAlign w:val="center"/>
            <w:hideMark/>
          </w:tcPr>
          <w:p w14:paraId="6DBD0D91"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08BE578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58.1%</w:t>
            </w:r>
          </w:p>
        </w:tc>
        <w:tc>
          <w:tcPr>
            <w:tcW w:w="676" w:type="dxa"/>
            <w:tcBorders>
              <w:top w:val="nil"/>
              <w:bottom w:val="single" w:sz="4" w:space="0" w:color="auto"/>
            </w:tcBorders>
            <w:noWrap/>
            <w:vAlign w:val="center"/>
          </w:tcPr>
          <w:p w14:paraId="0931C16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27.9%</w:t>
            </w:r>
          </w:p>
        </w:tc>
        <w:tc>
          <w:tcPr>
            <w:tcW w:w="675" w:type="dxa"/>
            <w:tcBorders>
              <w:top w:val="nil"/>
              <w:bottom w:val="single" w:sz="4" w:space="0" w:color="auto"/>
            </w:tcBorders>
            <w:noWrap/>
            <w:vAlign w:val="center"/>
          </w:tcPr>
          <w:p w14:paraId="54D42ABC"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56.7%</w:t>
            </w:r>
          </w:p>
        </w:tc>
        <w:tc>
          <w:tcPr>
            <w:tcW w:w="676" w:type="dxa"/>
            <w:tcBorders>
              <w:top w:val="nil"/>
              <w:bottom w:val="single" w:sz="4" w:space="0" w:color="auto"/>
            </w:tcBorders>
            <w:noWrap/>
            <w:vAlign w:val="center"/>
          </w:tcPr>
          <w:p w14:paraId="6A78443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50.5%</w:t>
            </w:r>
          </w:p>
        </w:tc>
        <w:tc>
          <w:tcPr>
            <w:tcW w:w="676" w:type="dxa"/>
            <w:tcBorders>
              <w:top w:val="nil"/>
              <w:bottom w:val="single" w:sz="4" w:space="0" w:color="auto"/>
            </w:tcBorders>
            <w:noWrap/>
            <w:vAlign w:val="center"/>
          </w:tcPr>
          <w:p w14:paraId="22DEBF1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28.2%</w:t>
            </w:r>
          </w:p>
        </w:tc>
        <w:tc>
          <w:tcPr>
            <w:tcW w:w="675" w:type="dxa"/>
            <w:tcBorders>
              <w:top w:val="nil"/>
              <w:bottom w:val="single" w:sz="4" w:space="0" w:color="auto"/>
            </w:tcBorders>
            <w:noWrap/>
            <w:vAlign w:val="center"/>
          </w:tcPr>
          <w:p w14:paraId="5656850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44.8%</w:t>
            </w:r>
          </w:p>
        </w:tc>
        <w:tc>
          <w:tcPr>
            <w:tcW w:w="676" w:type="dxa"/>
            <w:tcBorders>
              <w:top w:val="nil"/>
              <w:bottom w:val="single" w:sz="4" w:space="0" w:color="auto"/>
            </w:tcBorders>
            <w:noWrap/>
            <w:vAlign w:val="center"/>
          </w:tcPr>
          <w:p w14:paraId="503AB1B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color w:val="000000"/>
                <w:sz w:val="18"/>
                <w:szCs w:val="18"/>
              </w:rPr>
              <w:t>44.2%</w:t>
            </w:r>
          </w:p>
        </w:tc>
        <w:tc>
          <w:tcPr>
            <w:tcW w:w="676" w:type="dxa"/>
            <w:tcBorders>
              <w:top w:val="nil"/>
              <w:bottom w:val="single" w:sz="4" w:space="0" w:color="auto"/>
            </w:tcBorders>
            <w:noWrap/>
            <w:vAlign w:val="center"/>
          </w:tcPr>
          <w:p w14:paraId="76C18915"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18"/>
                <w:szCs w:val="18"/>
              </w:rPr>
            </w:pPr>
            <w:r>
              <w:rPr>
                <w:rFonts w:ascii="Calibri" w:hAnsi="Calibri" w:cs="Calibri"/>
                <w:b/>
                <w:bCs/>
                <w:i/>
                <w:iCs/>
                <w:color w:val="000000"/>
                <w:sz w:val="18"/>
                <w:szCs w:val="18"/>
              </w:rPr>
              <w:t>48.1%</w:t>
            </w:r>
          </w:p>
        </w:tc>
      </w:tr>
      <w:tr w:rsidR="004E477F" w:rsidRPr="001539FA" w14:paraId="22774E82"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2A267BC9"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Other Institution</w:t>
            </w:r>
          </w:p>
        </w:tc>
        <w:tc>
          <w:tcPr>
            <w:tcW w:w="1080" w:type="dxa"/>
            <w:tcBorders>
              <w:top w:val="single" w:sz="4" w:space="0" w:color="auto"/>
              <w:bottom w:val="nil"/>
            </w:tcBorders>
            <w:noWrap/>
            <w:vAlign w:val="center"/>
          </w:tcPr>
          <w:p w14:paraId="21678518"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1B69B09A"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12.2%</w:t>
            </w:r>
          </w:p>
        </w:tc>
        <w:tc>
          <w:tcPr>
            <w:tcW w:w="676" w:type="dxa"/>
            <w:tcBorders>
              <w:top w:val="single" w:sz="4" w:space="0" w:color="auto"/>
              <w:bottom w:val="nil"/>
            </w:tcBorders>
            <w:noWrap/>
            <w:vAlign w:val="center"/>
          </w:tcPr>
          <w:p w14:paraId="40A8D75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9.2%</w:t>
            </w:r>
          </w:p>
        </w:tc>
        <w:tc>
          <w:tcPr>
            <w:tcW w:w="675" w:type="dxa"/>
            <w:tcBorders>
              <w:top w:val="single" w:sz="4" w:space="0" w:color="auto"/>
              <w:bottom w:val="nil"/>
            </w:tcBorders>
            <w:noWrap/>
            <w:vAlign w:val="center"/>
          </w:tcPr>
          <w:p w14:paraId="285A04D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9.7%</w:t>
            </w:r>
          </w:p>
        </w:tc>
        <w:tc>
          <w:tcPr>
            <w:tcW w:w="676" w:type="dxa"/>
            <w:tcBorders>
              <w:top w:val="single" w:sz="4" w:space="0" w:color="auto"/>
              <w:bottom w:val="nil"/>
            </w:tcBorders>
            <w:noWrap/>
            <w:vAlign w:val="center"/>
          </w:tcPr>
          <w:p w14:paraId="20778218"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9.4%</w:t>
            </w:r>
          </w:p>
        </w:tc>
        <w:tc>
          <w:tcPr>
            <w:tcW w:w="676" w:type="dxa"/>
            <w:tcBorders>
              <w:top w:val="single" w:sz="4" w:space="0" w:color="auto"/>
              <w:bottom w:val="nil"/>
            </w:tcBorders>
            <w:noWrap/>
            <w:vAlign w:val="center"/>
          </w:tcPr>
          <w:p w14:paraId="23C6A71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3.5%</w:t>
            </w:r>
          </w:p>
        </w:tc>
        <w:tc>
          <w:tcPr>
            <w:tcW w:w="675" w:type="dxa"/>
            <w:tcBorders>
              <w:top w:val="single" w:sz="4" w:space="0" w:color="auto"/>
              <w:bottom w:val="nil"/>
            </w:tcBorders>
            <w:noWrap/>
            <w:vAlign w:val="center"/>
          </w:tcPr>
          <w:p w14:paraId="1704E51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12.9%</w:t>
            </w:r>
          </w:p>
        </w:tc>
        <w:tc>
          <w:tcPr>
            <w:tcW w:w="676" w:type="dxa"/>
            <w:tcBorders>
              <w:top w:val="single" w:sz="4" w:space="0" w:color="auto"/>
              <w:bottom w:val="nil"/>
            </w:tcBorders>
            <w:noWrap/>
            <w:vAlign w:val="center"/>
          </w:tcPr>
          <w:p w14:paraId="31D46A22"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9.8%</w:t>
            </w:r>
          </w:p>
        </w:tc>
        <w:tc>
          <w:tcPr>
            <w:tcW w:w="676" w:type="dxa"/>
            <w:tcBorders>
              <w:top w:val="single" w:sz="4" w:space="0" w:color="auto"/>
              <w:bottom w:val="nil"/>
            </w:tcBorders>
            <w:noWrap/>
            <w:vAlign w:val="center"/>
          </w:tcPr>
          <w:p w14:paraId="3CF8739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10.2%</w:t>
            </w:r>
          </w:p>
        </w:tc>
      </w:tr>
      <w:tr w:rsidR="004E477F" w:rsidRPr="001539FA" w14:paraId="38ED2621"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560BA538"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Graduated from Other Institution</w:t>
            </w:r>
          </w:p>
        </w:tc>
        <w:tc>
          <w:tcPr>
            <w:tcW w:w="1080" w:type="dxa"/>
            <w:tcBorders>
              <w:top w:val="nil"/>
              <w:bottom w:val="nil"/>
            </w:tcBorders>
            <w:noWrap/>
            <w:vAlign w:val="center"/>
          </w:tcPr>
          <w:p w14:paraId="17CE46F0"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5F8426C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11.8%</w:t>
            </w:r>
          </w:p>
        </w:tc>
        <w:tc>
          <w:tcPr>
            <w:tcW w:w="676" w:type="dxa"/>
            <w:tcBorders>
              <w:top w:val="nil"/>
              <w:bottom w:val="nil"/>
            </w:tcBorders>
            <w:noWrap/>
            <w:vAlign w:val="center"/>
          </w:tcPr>
          <w:p w14:paraId="6BCF6B1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11.2%</w:t>
            </w:r>
          </w:p>
        </w:tc>
        <w:tc>
          <w:tcPr>
            <w:tcW w:w="675" w:type="dxa"/>
            <w:tcBorders>
              <w:top w:val="nil"/>
              <w:bottom w:val="nil"/>
            </w:tcBorders>
            <w:noWrap/>
            <w:vAlign w:val="center"/>
          </w:tcPr>
          <w:p w14:paraId="0F4D2FCC"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10.8%</w:t>
            </w:r>
          </w:p>
        </w:tc>
        <w:tc>
          <w:tcPr>
            <w:tcW w:w="676" w:type="dxa"/>
            <w:tcBorders>
              <w:top w:val="nil"/>
              <w:bottom w:val="nil"/>
            </w:tcBorders>
            <w:noWrap/>
            <w:vAlign w:val="center"/>
          </w:tcPr>
          <w:p w14:paraId="1F2F6D1E"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6.6%</w:t>
            </w:r>
          </w:p>
        </w:tc>
        <w:tc>
          <w:tcPr>
            <w:tcW w:w="676" w:type="dxa"/>
            <w:tcBorders>
              <w:top w:val="nil"/>
              <w:bottom w:val="nil"/>
            </w:tcBorders>
            <w:noWrap/>
            <w:vAlign w:val="center"/>
          </w:tcPr>
          <w:p w14:paraId="7979E0BA"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1.7%</w:t>
            </w:r>
          </w:p>
        </w:tc>
        <w:tc>
          <w:tcPr>
            <w:tcW w:w="675" w:type="dxa"/>
            <w:tcBorders>
              <w:top w:val="nil"/>
              <w:bottom w:val="nil"/>
            </w:tcBorders>
            <w:noWrap/>
            <w:vAlign w:val="center"/>
          </w:tcPr>
          <w:p w14:paraId="53AF2EB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12.4%</w:t>
            </w:r>
          </w:p>
        </w:tc>
        <w:tc>
          <w:tcPr>
            <w:tcW w:w="676" w:type="dxa"/>
            <w:tcBorders>
              <w:top w:val="nil"/>
              <w:bottom w:val="nil"/>
            </w:tcBorders>
            <w:noWrap/>
            <w:vAlign w:val="center"/>
          </w:tcPr>
          <w:p w14:paraId="029EFE2B"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10.1%</w:t>
            </w:r>
          </w:p>
        </w:tc>
        <w:tc>
          <w:tcPr>
            <w:tcW w:w="676" w:type="dxa"/>
            <w:tcBorders>
              <w:top w:val="nil"/>
              <w:bottom w:val="nil"/>
            </w:tcBorders>
            <w:noWrap/>
            <w:vAlign w:val="center"/>
          </w:tcPr>
          <w:p w14:paraId="28895E2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10.9%</w:t>
            </w:r>
          </w:p>
        </w:tc>
      </w:tr>
      <w:tr w:rsidR="004E477F" w:rsidRPr="001539FA" w14:paraId="546A1D33"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7CDCA06B"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t>Graduated from Other Institution</w:t>
            </w:r>
          </w:p>
        </w:tc>
        <w:tc>
          <w:tcPr>
            <w:tcW w:w="1080" w:type="dxa"/>
            <w:tcBorders>
              <w:top w:val="nil"/>
              <w:bottom w:val="single" w:sz="4" w:space="0" w:color="auto"/>
            </w:tcBorders>
            <w:noWrap/>
            <w:vAlign w:val="center"/>
          </w:tcPr>
          <w:p w14:paraId="3703204F"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0DFB3ED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11.9%</w:t>
            </w:r>
          </w:p>
        </w:tc>
        <w:tc>
          <w:tcPr>
            <w:tcW w:w="676" w:type="dxa"/>
            <w:tcBorders>
              <w:top w:val="nil"/>
              <w:bottom w:val="single" w:sz="4" w:space="0" w:color="auto"/>
            </w:tcBorders>
            <w:noWrap/>
            <w:vAlign w:val="center"/>
          </w:tcPr>
          <w:p w14:paraId="7AA72E5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10.1%</w:t>
            </w:r>
          </w:p>
        </w:tc>
        <w:tc>
          <w:tcPr>
            <w:tcW w:w="675" w:type="dxa"/>
            <w:tcBorders>
              <w:top w:val="nil"/>
              <w:bottom w:val="single" w:sz="4" w:space="0" w:color="auto"/>
            </w:tcBorders>
            <w:noWrap/>
            <w:vAlign w:val="center"/>
          </w:tcPr>
          <w:p w14:paraId="7AA90D0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10.3%</w:t>
            </w:r>
          </w:p>
        </w:tc>
        <w:tc>
          <w:tcPr>
            <w:tcW w:w="676" w:type="dxa"/>
            <w:tcBorders>
              <w:top w:val="nil"/>
              <w:bottom w:val="single" w:sz="4" w:space="0" w:color="auto"/>
            </w:tcBorders>
            <w:noWrap/>
            <w:vAlign w:val="center"/>
          </w:tcPr>
          <w:p w14:paraId="4265AE85"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8.0%</w:t>
            </w:r>
          </w:p>
        </w:tc>
        <w:tc>
          <w:tcPr>
            <w:tcW w:w="676" w:type="dxa"/>
            <w:tcBorders>
              <w:top w:val="nil"/>
              <w:bottom w:val="single" w:sz="4" w:space="0" w:color="auto"/>
            </w:tcBorders>
            <w:noWrap/>
            <w:vAlign w:val="center"/>
          </w:tcPr>
          <w:p w14:paraId="51E4EA39"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2.9%</w:t>
            </w:r>
          </w:p>
        </w:tc>
        <w:tc>
          <w:tcPr>
            <w:tcW w:w="675" w:type="dxa"/>
            <w:tcBorders>
              <w:top w:val="nil"/>
              <w:bottom w:val="single" w:sz="4" w:space="0" w:color="auto"/>
            </w:tcBorders>
            <w:noWrap/>
            <w:vAlign w:val="center"/>
          </w:tcPr>
          <w:p w14:paraId="55FA789A"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12.6%</w:t>
            </w:r>
          </w:p>
        </w:tc>
        <w:tc>
          <w:tcPr>
            <w:tcW w:w="676" w:type="dxa"/>
            <w:tcBorders>
              <w:top w:val="nil"/>
              <w:bottom w:val="single" w:sz="4" w:space="0" w:color="auto"/>
            </w:tcBorders>
            <w:noWrap/>
            <w:vAlign w:val="center"/>
          </w:tcPr>
          <w:p w14:paraId="04F19B5E"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9.9%</w:t>
            </w:r>
          </w:p>
        </w:tc>
        <w:tc>
          <w:tcPr>
            <w:tcW w:w="676" w:type="dxa"/>
            <w:tcBorders>
              <w:top w:val="nil"/>
              <w:bottom w:val="single" w:sz="4" w:space="0" w:color="auto"/>
            </w:tcBorders>
            <w:noWrap/>
            <w:vAlign w:val="center"/>
          </w:tcPr>
          <w:p w14:paraId="43E21C72"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10.6%</w:t>
            </w:r>
          </w:p>
        </w:tc>
      </w:tr>
      <w:tr w:rsidR="004E477F" w:rsidRPr="001539FA" w14:paraId="38D548FF"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05EF1AED"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Starting Institution</w:t>
            </w:r>
          </w:p>
        </w:tc>
        <w:tc>
          <w:tcPr>
            <w:tcW w:w="1080" w:type="dxa"/>
            <w:tcBorders>
              <w:top w:val="single" w:sz="4" w:space="0" w:color="auto"/>
              <w:bottom w:val="nil"/>
            </w:tcBorders>
            <w:noWrap/>
            <w:vAlign w:val="center"/>
          </w:tcPr>
          <w:p w14:paraId="40E8B111"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39DDB124"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2.9%</w:t>
            </w:r>
          </w:p>
        </w:tc>
        <w:tc>
          <w:tcPr>
            <w:tcW w:w="676" w:type="dxa"/>
            <w:tcBorders>
              <w:top w:val="single" w:sz="4" w:space="0" w:color="auto"/>
              <w:bottom w:val="nil"/>
            </w:tcBorders>
            <w:noWrap/>
            <w:vAlign w:val="center"/>
          </w:tcPr>
          <w:p w14:paraId="08E1955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5.5%</w:t>
            </w:r>
          </w:p>
        </w:tc>
        <w:tc>
          <w:tcPr>
            <w:tcW w:w="675" w:type="dxa"/>
            <w:tcBorders>
              <w:top w:val="single" w:sz="4" w:space="0" w:color="auto"/>
              <w:bottom w:val="nil"/>
            </w:tcBorders>
            <w:noWrap/>
            <w:vAlign w:val="center"/>
          </w:tcPr>
          <w:p w14:paraId="512BB7B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1.5%</w:t>
            </w:r>
          </w:p>
        </w:tc>
        <w:tc>
          <w:tcPr>
            <w:tcW w:w="676" w:type="dxa"/>
            <w:tcBorders>
              <w:top w:val="single" w:sz="4" w:space="0" w:color="auto"/>
              <w:bottom w:val="nil"/>
            </w:tcBorders>
            <w:noWrap/>
            <w:vAlign w:val="center"/>
          </w:tcPr>
          <w:p w14:paraId="1535059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3.6%</w:t>
            </w:r>
          </w:p>
        </w:tc>
        <w:tc>
          <w:tcPr>
            <w:tcW w:w="676" w:type="dxa"/>
            <w:tcBorders>
              <w:top w:val="single" w:sz="4" w:space="0" w:color="auto"/>
              <w:bottom w:val="nil"/>
            </w:tcBorders>
            <w:noWrap/>
            <w:vAlign w:val="center"/>
          </w:tcPr>
          <w:p w14:paraId="2E2508B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3.5%</w:t>
            </w:r>
          </w:p>
        </w:tc>
        <w:tc>
          <w:tcPr>
            <w:tcW w:w="675" w:type="dxa"/>
            <w:tcBorders>
              <w:top w:val="single" w:sz="4" w:space="0" w:color="auto"/>
              <w:bottom w:val="nil"/>
            </w:tcBorders>
            <w:noWrap/>
            <w:vAlign w:val="center"/>
          </w:tcPr>
          <w:p w14:paraId="5DCD170C"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4.3%</w:t>
            </w:r>
          </w:p>
        </w:tc>
        <w:tc>
          <w:tcPr>
            <w:tcW w:w="676" w:type="dxa"/>
            <w:tcBorders>
              <w:top w:val="single" w:sz="4" w:space="0" w:color="auto"/>
              <w:bottom w:val="nil"/>
            </w:tcBorders>
            <w:noWrap/>
            <w:vAlign w:val="center"/>
          </w:tcPr>
          <w:p w14:paraId="1FF9FFC7"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4.6%</w:t>
            </w:r>
          </w:p>
        </w:tc>
        <w:tc>
          <w:tcPr>
            <w:tcW w:w="676" w:type="dxa"/>
            <w:tcBorders>
              <w:top w:val="single" w:sz="4" w:space="0" w:color="auto"/>
              <w:bottom w:val="nil"/>
            </w:tcBorders>
            <w:noWrap/>
            <w:vAlign w:val="center"/>
          </w:tcPr>
          <w:p w14:paraId="54D635A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3.9%</w:t>
            </w:r>
          </w:p>
        </w:tc>
      </w:tr>
      <w:tr w:rsidR="004E477F" w:rsidRPr="001539FA" w14:paraId="7058D7A5"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695E25BE"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Starting Institution</w:t>
            </w:r>
          </w:p>
        </w:tc>
        <w:tc>
          <w:tcPr>
            <w:tcW w:w="1080" w:type="dxa"/>
            <w:tcBorders>
              <w:top w:val="nil"/>
              <w:bottom w:val="nil"/>
            </w:tcBorders>
            <w:noWrap/>
            <w:vAlign w:val="center"/>
          </w:tcPr>
          <w:p w14:paraId="5BDAD252"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74C38DF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2.5%</w:t>
            </w:r>
          </w:p>
        </w:tc>
        <w:tc>
          <w:tcPr>
            <w:tcW w:w="676" w:type="dxa"/>
            <w:tcBorders>
              <w:top w:val="nil"/>
              <w:bottom w:val="nil"/>
            </w:tcBorders>
            <w:noWrap/>
            <w:vAlign w:val="center"/>
          </w:tcPr>
          <w:p w14:paraId="0D2B534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5.2%</w:t>
            </w:r>
          </w:p>
        </w:tc>
        <w:tc>
          <w:tcPr>
            <w:tcW w:w="675" w:type="dxa"/>
            <w:tcBorders>
              <w:top w:val="nil"/>
              <w:bottom w:val="nil"/>
            </w:tcBorders>
            <w:noWrap/>
            <w:vAlign w:val="center"/>
          </w:tcPr>
          <w:p w14:paraId="52272E33"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1.1%</w:t>
            </w:r>
          </w:p>
        </w:tc>
        <w:tc>
          <w:tcPr>
            <w:tcW w:w="676" w:type="dxa"/>
            <w:tcBorders>
              <w:top w:val="nil"/>
              <w:bottom w:val="nil"/>
            </w:tcBorders>
            <w:noWrap/>
            <w:vAlign w:val="center"/>
          </w:tcPr>
          <w:p w14:paraId="44243F15"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1.3%</w:t>
            </w:r>
          </w:p>
        </w:tc>
        <w:tc>
          <w:tcPr>
            <w:tcW w:w="676" w:type="dxa"/>
            <w:tcBorders>
              <w:top w:val="nil"/>
              <w:bottom w:val="nil"/>
            </w:tcBorders>
            <w:noWrap/>
            <w:vAlign w:val="center"/>
          </w:tcPr>
          <w:p w14:paraId="3D94D95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3.4%</w:t>
            </w:r>
          </w:p>
        </w:tc>
        <w:tc>
          <w:tcPr>
            <w:tcW w:w="675" w:type="dxa"/>
            <w:tcBorders>
              <w:top w:val="nil"/>
              <w:bottom w:val="nil"/>
            </w:tcBorders>
            <w:noWrap/>
            <w:vAlign w:val="center"/>
          </w:tcPr>
          <w:p w14:paraId="1262370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0.7%</w:t>
            </w:r>
          </w:p>
        </w:tc>
        <w:tc>
          <w:tcPr>
            <w:tcW w:w="676" w:type="dxa"/>
            <w:tcBorders>
              <w:top w:val="nil"/>
              <w:bottom w:val="nil"/>
            </w:tcBorders>
            <w:noWrap/>
            <w:vAlign w:val="center"/>
          </w:tcPr>
          <w:p w14:paraId="5CE67E6E"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5.1%</w:t>
            </w:r>
          </w:p>
        </w:tc>
        <w:tc>
          <w:tcPr>
            <w:tcW w:w="676" w:type="dxa"/>
            <w:tcBorders>
              <w:top w:val="nil"/>
              <w:bottom w:val="nil"/>
            </w:tcBorders>
            <w:noWrap/>
            <w:vAlign w:val="center"/>
          </w:tcPr>
          <w:p w14:paraId="118D2F3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3.1%</w:t>
            </w:r>
          </w:p>
        </w:tc>
      </w:tr>
      <w:tr w:rsidR="004E477F" w:rsidRPr="001539FA" w14:paraId="4F9F6B6E"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1B55DB84"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t>Enrolled at Starting Institution</w:t>
            </w:r>
          </w:p>
        </w:tc>
        <w:tc>
          <w:tcPr>
            <w:tcW w:w="1080" w:type="dxa"/>
            <w:tcBorders>
              <w:top w:val="nil"/>
              <w:bottom w:val="single" w:sz="4" w:space="0" w:color="auto"/>
            </w:tcBorders>
            <w:noWrap/>
            <w:vAlign w:val="center"/>
          </w:tcPr>
          <w:p w14:paraId="47D3131F"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079160A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2.6%</w:t>
            </w:r>
          </w:p>
        </w:tc>
        <w:tc>
          <w:tcPr>
            <w:tcW w:w="676" w:type="dxa"/>
            <w:tcBorders>
              <w:top w:val="nil"/>
              <w:bottom w:val="single" w:sz="4" w:space="0" w:color="auto"/>
            </w:tcBorders>
            <w:noWrap/>
            <w:vAlign w:val="center"/>
          </w:tcPr>
          <w:p w14:paraId="6F34EE8E"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5.4%</w:t>
            </w:r>
          </w:p>
        </w:tc>
        <w:tc>
          <w:tcPr>
            <w:tcW w:w="675" w:type="dxa"/>
            <w:tcBorders>
              <w:top w:val="nil"/>
              <w:bottom w:val="single" w:sz="4" w:space="0" w:color="auto"/>
            </w:tcBorders>
            <w:noWrap/>
            <w:vAlign w:val="center"/>
          </w:tcPr>
          <w:p w14:paraId="5CB0B745"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1.3%</w:t>
            </w:r>
          </w:p>
        </w:tc>
        <w:tc>
          <w:tcPr>
            <w:tcW w:w="676" w:type="dxa"/>
            <w:tcBorders>
              <w:top w:val="nil"/>
              <w:bottom w:val="single" w:sz="4" w:space="0" w:color="auto"/>
            </w:tcBorders>
            <w:noWrap/>
            <w:vAlign w:val="center"/>
          </w:tcPr>
          <w:p w14:paraId="0273AB4F"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2.4%</w:t>
            </w:r>
          </w:p>
        </w:tc>
        <w:tc>
          <w:tcPr>
            <w:tcW w:w="676" w:type="dxa"/>
            <w:tcBorders>
              <w:top w:val="nil"/>
              <w:bottom w:val="single" w:sz="4" w:space="0" w:color="auto"/>
            </w:tcBorders>
            <w:noWrap/>
            <w:vAlign w:val="center"/>
          </w:tcPr>
          <w:p w14:paraId="2A7FB5FD"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3.4%</w:t>
            </w:r>
          </w:p>
        </w:tc>
        <w:tc>
          <w:tcPr>
            <w:tcW w:w="675" w:type="dxa"/>
            <w:tcBorders>
              <w:top w:val="nil"/>
              <w:bottom w:val="single" w:sz="4" w:space="0" w:color="auto"/>
            </w:tcBorders>
            <w:noWrap/>
            <w:vAlign w:val="center"/>
          </w:tcPr>
          <w:p w14:paraId="00757EE9"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2.5%</w:t>
            </w:r>
          </w:p>
        </w:tc>
        <w:tc>
          <w:tcPr>
            <w:tcW w:w="676" w:type="dxa"/>
            <w:tcBorders>
              <w:top w:val="nil"/>
              <w:bottom w:val="single" w:sz="4" w:space="0" w:color="auto"/>
            </w:tcBorders>
            <w:noWrap/>
            <w:vAlign w:val="center"/>
          </w:tcPr>
          <w:p w14:paraId="36926C8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4.8%</w:t>
            </w:r>
          </w:p>
        </w:tc>
        <w:tc>
          <w:tcPr>
            <w:tcW w:w="676" w:type="dxa"/>
            <w:tcBorders>
              <w:top w:val="nil"/>
              <w:bottom w:val="single" w:sz="4" w:space="0" w:color="auto"/>
            </w:tcBorders>
            <w:noWrap/>
            <w:vAlign w:val="center"/>
          </w:tcPr>
          <w:p w14:paraId="2A59BC74"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3.5%</w:t>
            </w:r>
          </w:p>
        </w:tc>
      </w:tr>
      <w:tr w:rsidR="004E477F" w:rsidRPr="001539FA" w14:paraId="65BF32B9"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31E94B21"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Other Institution</w:t>
            </w:r>
          </w:p>
        </w:tc>
        <w:tc>
          <w:tcPr>
            <w:tcW w:w="1080" w:type="dxa"/>
            <w:tcBorders>
              <w:top w:val="single" w:sz="4" w:space="0" w:color="auto"/>
              <w:bottom w:val="nil"/>
            </w:tcBorders>
            <w:noWrap/>
            <w:vAlign w:val="center"/>
          </w:tcPr>
          <w:p w14:paraId="5DF4079B"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75D49E3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6.1%</w:t>
            </w:r>
          </w:p>
        </w:tc>
        <w:tc>
          <w:tcPr>
            <w:tcW w:w="676" w:type="dxa"/>
            <w:tcBorders>
              <w:top w:val="single" w:sz="4" w:space="0" w:color="auto"/>
              <w:bottom w:val="nil"/>
            </w:tcBorders>
            <w:noWrap/>
            <w:vAlign w:val="center"/>
          </w:tcPr>
          <w:p w14:paraId="78C7C80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4.4%</w:t>
            </w:r>
          </w:p>
        </w:tc>
        <w:tc>
          <w:tcPr>
            <w:tcW w:w="675" w:type="dxa"/>
            <w:tcBorders>
              <w:top w:val="single" w:sz="4" w:space="0" w:color="auto"/>
              <w:bottom w:val="nil"/>
            </w:tcBorders>
            <w:noWrap/>
            <w:vAlign w:val="center"/>
          </w:tcPr>
          <w:p w14:paraId="2351992C"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6.0%</w:t>
            </w:r>
          </w:p>
        </w:tc>
        <w:tc>
          <w:tcPr>
            <w:tcW w:w="676" w:type="dxa"/>
            <w:tcBorders>
              <w:top w:val="single" w:sz="4" w:space="0" w:color="auto"/>
              <w:bottom w:val="nil"/>
            </w:tcBorders>
            <w:noWrap/>
            <w:vAlign w:val="center"/>
          </w:tcPr>
          <w:p w14:paraId="0C6E04B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2.9%</w:t>
            </w:r>
          </w:p>
        </w:tc>
        <w:tc>
          <w:tcPr>
            <w:tcW w:w="676" w:type="dxa"/>
            <w:tcBorders>
              <w:top w:val="single" w:sz="4" w:space="0" w:color="auto"/>
              <w:bottom w:val="nil"/>
            </w:tcBorders>
            <w:noWrap/>
            <w:vAlign w:val="center"/>
          </w:tcPr>
          <w:p w14:paraId="73B821F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3.5%</w:t>
            </w:r>
          </w:p>
        </w:tc>
        <w:tc>
          <w:tcPr>
            <w:tcW w:w="675" w:type="dxa"/>
            <w:tcBorders>
              <w:top w:val="single" w:sz="4" w:space="0" w:color="auto"/>
              <w:bottom w:val="nil"/>
            </w:tcBorders>
            <w:noWrap/>
            <w:vAlign w:val="center"/>
          </w:tcPr>
          <w:p w14:paraId="79FB1A9A"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5.0%</w:t>
            </w:r>
          </w:p>
        </w:tc>
        <w:tc>
          <w:tcPr>
            <w:tcW w:w="676" w:type="dxa"/>
            <w:tcBorders>
              <w:top w:val="single" w:sz="4" w:space="0" w:color="auto"/>
              <w:bottom w:val="nil"/>
            </w:tcBorders>
            <w:noWrap/>
            <w:vAlign w:val="center"/>
          </w:tcPr>
          <w:p w14:paraId="3138701F"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4.7%</w:t>
            </w:r>
          </w:p>
        </w:tc>
        <w:tc>
          <w:tcPr>
            <w:tcW w:w="676" w:type="dxa"/>
            <w:tcBorders>
              <w:top w:val="single" w:sz="4" w:space="0" w:color="auto"/>
              <w:bottom w:val="nil"/>
            </w:tcBorders>
            <w:noWrap/>
            <w:vAlign w:val="center"/>
          </w:tcPr>
          <w:p w14:paraId="5D321792"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5.0%</w:t>
            </w:r>
          </w:p>
        </w:tc>
      </w:tr>
      <w:tr w:rsidR="004E477F" w:rsidRPr="001539FA" w14:paraId="27BDF69E"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7309D89E"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Enrolled at Other Institution</w:t>
            </w:r>
          </w:p>
        </w:tc>
        <w:tc>
          <w:tcPr>
            <w:tcW w:w="1080" w:type="dxa"/>
            <w:tcBorders>
              <w:top w:val="nil"/>
              <w:bottom w:val="nil"/>
            </w:tcBorders>
            <w:noWrap/>
            <w:vAlign w:val="center"/>
          </w:tcPr>
          <w:p w14:paraId="5BC81770"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26380F36"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4.1%</w:t>
            </w:r>
          </w:p>
        </w:tc>
        <w:tc>
          <w:tcPr>
            <w:tcW w:w="676" w:type="dxa"/>
            <w:tcBorders>
              <w:top w:val="nil"/>
              <w:bottom w:val="nil"/>
            </w:tcBorders>
            <w:noWrap/>
            <w:vAlign w:val="center"/>
          </w:tcPr>
          <w:p w14:paraId="4FAC5731"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4.8%</w:t>
            </w:r>
          </w:p>
        </w:tc>
        <w:tc>
          <w:tcPr>
            <w:tcW w:w="675" w:type="dxa"/>
            <w:tcBorders>
              <w:top w:val="nil"/>
              <w:bottom w:val="nil"/>
            </w:tcBorders>
            <w:noWrap/>
            <w:vAlign w:val="center"/>
          </w:tcPr>
          <w:p w14:paraId="2199E51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5.6%</w:t>
            </w:r>
          </w:p>
        </w:tc>
        <w:tc>
          <w:tcPr>
            <w:tcW w:w="676" w:type="dxa"/>
            <w:tcBorders>
              <w:top w:val="nil"/>
              <w:bottom w:val="nil"/>
            </w:tcBorders>
            <w:noWrap/>
            <w:vAlign w:val="center"/>
          </w:tcPr>
          <w:p w14:paraId="27F59717"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5.3%</w:t>
            </w:r>
          </w:p>
        </w:tc>
        <w:tc>
          <w:tcPr>
            <w:tcW w:w="676" w:type="dxa"/>
            <w:tcBorders>
              <w:top w:val="nil"/>
              <w:bottom w:val="nil"/>
            </w:tcBorders>
            <w:noWrap/>
            <w:vAlign w:val="center"/>
          </w:tcPr>
          <w:p w14:paraId="13B2260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6.8%</w:t>
            </w:r>
          </w:p>
        </w:tc>
        <w:tc>
          <w:tcPr>
            <w:tcW w:w="675" w:type="dxa"/>
            <w:tcBorders>
              <w:top w:val="nil"/>
              <w:bottom w:val="nil"/>
            </w:tcBorders>
            <w:noWrap/>
            <w:vAlign w:val="center"/>
          </w:tcPr>
          <w:p w14:paraId="34687CE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2.9%</w:t>
            </w:r>
          </w:p>
        </w:tc>
        <w:tc>
          <w:tcPr>
            <w:tcW w:w="676" w:type="dxa"/>
            <w:tcBorders>
              <w:top w:val="nil"/>
              <w:bottom w:val="nil"/>
            </w:tcBorders>
            <w:noWrap/>
            <w:vAlign w:val="center"/>
          </w:tcPr>
          <w:p w14:paraId="278C9EE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5.8%</w:t>
            </w:r>
          </w:p>
        </w:tc>
        <w:tc>
          <w:tcPr>
            <w:tcW w:w="676" w:type="dxa"/>
            <w:tcBorders>
              <w:top w:val="nil"/>
              <w:bottom w:val="nil"/>
            </w:tcBorders>
            <w:noWrap/>
            <w:vAlign w:val="center"/>
          </w:tcPr>
          <w:p w14:paraId="58B80C55"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4.7%</w:t>
            </w:r>
          </w:p>
        </w:tc>
      </w:tr>
      <w:tr w:rsidR="004E477F" w:rsidRPr="001539FA" w14:paraId="68B89471"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3DAAC7CB"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t>Enrolled at Other Institution</w:t>
            </w:r>
          </w:p>
        </w:tc>
        <w:tc>
          <w:tcPr>
            <w:tcW w:w="1080" w:type="dxa"/>
            <w:tcBorders>
              <w:top w:val="nil"/>
              <w:bottom w:val="single" w:sz="4" w:space="0" w:color="auto"/>
            </w:tcBorders>
            <w:noWrap/>
            <w:vAlign w:val="center"/>
          </w:tcPr>
          <w:p w14:paraId="5BBF79A8"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5BAB03BD"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4.7%</w:t>
            </w:r>
          </w:p>
        </w:tc>
        <w:tc>
          <w:tcPr>
            <w:tcW w:w="676" w:type="dxa"/>
            <w:tcBorders>
              <w:top w:val="nil"/>
              <w:bottom w:val="single" w:sz="4" w:space="0" w:color="auto"/>
            </w:tcBorders>
            <w:noWrap/>
            <w:vAlign w:val="center"/>
          </w:tcPr>
          <w:p w14:paraId="4ABB3E1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4.6%</w:t>
            </w:r>
          </w:p>
        </w:tc>
        <w:tc>
          <w:tcPr>
            <w:tcW w:w="675" w:type="dxa"/>
            <w:tcBorders>
              <w:top w:val="nil"/>
              <w:bottom w:val="single" w:sz="4" w:space="0" w:color="auto"/>
            </w:tcBorders>
            <w:noWrap/>
            <w:vAlign w:val="center"/>
          </w:tcPr>
          <w:p w14:paraId="0C4A607D"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5.8%</w:t>
            </w:r>
          </w:p>
        </w:tc>
        <w:tc>
          <w:tcPr>
            <w:tcW w:w="676" w:type="dxa"/>
            <w:tcBorders>
              <w:top w:val="nil"/>
              <w:bottom w:val="single" w:sz="4" w:space="0" w:color="auto"/>
            </w:tcBorders>
            <w:noWrap/>
            <w:vAlign w:val="center"/>
          </w:tcPr>
          <w:p w14:paraId="1C64444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4.2%</w:t>
            </w:r>
          </w:p>
        </w:tc>
        <w:tc>
          <w:tcPr>
            <w:tcW w:w="676" w:type="dxa"/>
            <w:tcBorders>
              <w:top w:val="nil"/>
              <w:bottom w:val="single" w:sz="4" w:space="0" w:color="auto"/>
            </w:tcBorders>
            <w:noWrap/>
            <w:vAlign w:val="center"/>
          </w:tcPr>
          <w:p w14:paraId="4D9AFE80"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4.6%</w:t>
            </w:r>
          </w:p>
        </w:tc>
        <w:tc>
          <w:tcPr>
            <w:tcW w:w="675" w:type="dxa"/>
            <w:tcBorders>
              <w:top w:val="nil"/>
              <w:bottom w:val="single" w:sz="4" w:space="0" w:color="auto"/>
            </w:tcBorders>
            <w:noWrap/>
            <w:vAlign w:val="center"/>
          </w:tcPr>
          <w:p w14:paraId="4E2257A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4.0%</w:t>
            </w:r>
          </w:p>
        </w:tc>
        <w:tc>
          <w:tcPr>
            <w:tcW w:w="676" w:type="dxa"/>
            <w:tcBorders>
              <w:top w:val="nil"/>
              <w:bottom w:val="single" w:sz="4" w:space="0" w:color="auto"/>
            </w:tcBorders>
            <w:noWrap/>
            <w:vAlign w:val="center"/>
          </w:tcPr>
          <w:p w14:paraId="1688A13E"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5.2%</w:t>
            </w:r>
          </w:p>
        </w:tc>
        <w:tc>
          <w:tcPr>
            <w:tcW w:w="676" w:type="dxa"/>
            <w:tcBorders>
              <w:top w:val="nil"/>
              <w:bottom w:val="single" w:sz="4" w:space="0" w:color="auto"/>
            </w:tcBorders>
            <w:noWrap/>
            <w:vAlign w:val="center"/>
          </w:tcPr>
          <w:p w14:paraId="129E94A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4.9%</w:t>
            </w:r>
          </w:p>
        </w:tc>
      </w:tr>
      <w:tr w:rsidR="004E477F" w:rsidRPr="001539FA" w14:paraId="53010123"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bottom w:val="nil"/>
            </w:tcBorders>
            <w:vAlign w:val="center"/>
          </w:tcPr>
          <w:p w14:paraId="0C23967C"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Not Enrolled; Did Not Complete</w:t>
            </w:r>
          </w:p>
        </w:tc>
        <w:tc>
          <w:tcPr>
            <w:tcW w:w="1080" w:type="dxa"/>
            <w:tcBorders>
              <w:top w:val="single" w:sz="4" w:space="0" w:color="auto"/>
              <w:bottom w:val="nil"/>
            </w:tcBorders>
            <w:noWrap/>
            <w:vAlign w:val="center"/>
          </w:tcPr>
          <w:p w14:paraId="4C50C7F2"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Yes</w:t>
            </w:r>
          </w:p>
        </w:tc>
        <w:tc>
          <w:tcPr>
            <w:tcW w:w="675" w:type="dxa"/>
            <w:tcBorders>
              <w:top w:val="single" w:sz="4" w:space="0" w:color="auto"/>
              <w:bottom w:val="nil"/>
            </w:tcBorders>
            <w:noWrap/>
            <w:vAlign w:val="center"/>
          </w:tcPr>
          <w:p w14:paraId="521371E5"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31.9%</w:t>
            </w:r>
          </w:p>
        </w:tc>
        <w:tc>
          <w:tcPr>
            <w:tcW w:w="676" w:type="dxa"/>
            <w:tcBorders>
              <w:top w:val="single" w:sz="4" w:space="0" w:color="auto"/>
              <w:bottom w:val="nil"/>
            </w:tcBorders>
            <w:noWrap/>
            <w:vAlign w:val="center"/>
          </w:tcPr>
          <w:p w14:paraId="4F053602"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54.3%</w:t>
            </w:r>
          </w:p>
        </w:tc>
        <w:tc>
          <w:tcPr>
            <w:tcW w:w="675" w:type="dxa"/>
            <w:tcBorders>
              <w:top w:val="single" w:sz="4" w:space="0" w:color="auto"/>
              <w:bottom w:val="nil"/>
            </w:tcBorders>
            <w:noWrap/>
            <w:vAlign w:val="center"/>
          </w:tcPr>
          <w:p w14:paraId="15F5C01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31.1%</w:t>
            </w:r>
          </w:p>
        </w:tc>
        <w:tc>
          <w:tcPr>
            <w:tcW w:w="676" w:type="dxa"/>
            <w:tcBorders>
              <w:top w:val="single" w:sz="4" w:space="0" w:color="auto"/>
              <w:bottom w:val="nil"/>
            </w:tcBorders>
            <w:noWrap/>
            <w:vAlign w:val="center"/>
          </w:tcPr>
          <w:p w14:paraId="0FD6481C"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34.1%</w:t>
            </w:r>
          </w:p>
        </w:tc>
        <w:tc>
          <w:tcPr>
            <w:tcW w:w="676" w:type="dxa"/>
            <w:tcBorders>
              <w:top w:val="single" w:sz="4" w:space="0" w:color="auto"/>
              <w:bottom w:val="nil"/>
            </w:tcBorders>
            <w:noWrap/>
            <w:vAlign w:val="center"/>
          </w:tcPr>
          <w:p w14:paraId="2A991E49"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59.1%</w:t>
            </w:r>
          </w:p>
        </w:tc>
        <w:tc>
          <w:tcPr>
            <w:tcW w:w="675" w:type="dxa"/>
            <w:tcBorders>
              <w:top w:val="single" w:sz="4" w:space="0" w:color="auto"/>
              <w:bottom w:val="nil"/>
            </w:tcBorders>
            <w:noWrap/>
            <w:vAlign w:val="center"/>
          </w:tcPr>
          <w:p w14:paraId="4F2B8E44"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38.6%</w:t>
            </w:r>
          </w:p>
        </w:tc>
        <w:tc>
          <w:tcPr>
            <w:tcW w:w="676" w:type="dxa"/>
            <w:tcBorders>
              <w:top w:val="single" w:sz="4" w:space="0" w:color="auto"/>
              <w:bottom w:val="nil"/>
            </w:tcBorders>
            <w:noWrap/>
            <w:vAlign w:val="center"/>
          </w:tcPr>
          <w:p w14:paraId="54FDA5F0"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39.5%</w:t>
            </w:r>
          </w:p>
        </w:tc>
        <w:tc>
          <w:tcPr>
            <w:tcW w:w="676" w:type="dxa"/>
            <w:tcBorders>
              <w:top w:val="single" w:sz="4" w:space="0" w:color="auto"/>
              <w:bottom w:val="nil"/>
            </w:tcBorders>
            <w:noWrap/>
            <w:vAlign w:val="center"/>
          </w:tcPr>
          <w:p w14:paraId="21D3BCDC"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40.0%</w:t>
            </w:r>
          </w:p>
        </w:tc>
      </w:tr>
      <w:tr w:rsidR="004E477F" w:rsidRPr="001539FA" w14:paraId="52F49256"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nil"/>
            </w:tcBorders>
            <w:vAlign w:val="center"/>
          </w:tcPr>
          <w:p w14:paraId="689584E9" w14:textId="77777777" w:rsidR="004E477F" w:rsidRPr="001539FA" w:rsidRDefault="004E477F" w:rsidP="00D67A46">
            <w:pPr>
              <w:rPr>
                <w:rFonts w:ascii="Calibri" w:hAnsi="Calibri" w:cs="Calibri"/>
                <w:b w:val="0"/>
                <w:bCs w:val="0"/>
                <w:color w:val="000000"/>
                <w:sz w:val="18"/>
                <w:szCs w:val="18"/>
              </w:rPr>
            </w:pPr>
            <w:r w:rsidRPr="001539FA">
              <w:rPr>
                <w:rFonts w:ascii="Calibri" w:hAnsi="Calibri" w:cs="Calibri"/>
                <w:b w:val="0"/>
                <w:bCs w:val="0"/>
                <w:color w:val="000000"/>
                <w:sz w:val="18"/>
                <w:szCs w:val="18"/>
              </w:rPr>
              <w:t>Not Enrolled; Did Not Complete</w:t>
            </w:r>
          </w:p>
        </w:tc>
        <w:tc>
          <w:tcPr>
            <w:tcW w:w="1080" w:type="dxa"/>
            <w:tcBorders>
              <w:top w:val="nil"/>
              <w:bottom w:val="nil"/>
            </w:tcBorders>
            <w:noWrap/>
            <w:vAlign w:val="center"/>
          </w:tcPr>
          <w:p w14:paraId="4B18DFBF"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color w:val="000000"/>
                <w:sz w:val="18"/>
                <w:szCs w:val="18"/>
              </w:rPr>
              <w:t>No</w:t>
            </w:r>
          </w:p>
        </w:tc>
        <w:tc>
          <w:tcPr>
            <w:tcW w:w="675" w:type="dxa"/>
            <w:tcBorders>
              <w:top w:val="nil"/>
              <w:bottom w:val="nil"/>
            </w:tcBorders>
            <w:noWrap/>
            <w:vAlign w:val="center"/>
          </w:tcPr>
          <w:p w14:paraId="144C7AF4"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18.4%</w:t>
            </w:r>
          </w:p>
        </w:tc>
        <w:tc>
          <w:tcPr>
            <w:tcW w:w="676" w:type="dxa"/>
            <w:tcBorders>
              <w:top w:val="nil"/>
              <w:bottom w:val="nil"/>
            </w:tcBorders>
            <w:noWrap/>
            <w:vAlign w:val="center"/>
          </w:tcPr>
          <w:p w14:paraId="5515B0F1"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49.0%</w:t>
            </w:r>
          </w:p>
        </w:tc>
        <w:tc>
          <w:tcPr>
            <w:tcW w:w="675" w:type="dxa"/>
            <w:tcBorders>
              <w:top w:val="nil"/>
              <w:bottom w:val="nil"/>
            </w:tcBorders>
            <w:noWrap/>
            <w:vAlign w:val="center"/>
          </w:tcPr>
          <w:p w14:paraId="3C31E046"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20.8%</w:t>
            </w:r>
          </w:p>
        </w:tc>
        <w:tc>
          <w:tcPr>
            <w:tcW w:w="676" w:type="dxa"/>
            <w:tcBorders>
              <w:top w:val="nil"/>
              <w:bottom w:val="nil"/>
            </w:tcBorders>
            <w:noWrap/>
            <w:vAlign w:val="center"/>
          </w:tcPr>
          <w:p w14:paraId="6075A549"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35.8%</w:t>
            </w:r>
          </w:p>
        </w:tc>
        <w:tc>
          <w:tcPr>
            <w:tcW w:w="676" w:type="dxa"/>
            <w:tcBorders>
              <w:top w:val="nil"/>
              <w:bottom w:val="nil"/>
            </w:tcBorders>
            <w:noWrap/>
            <w:vAlign w:val="center"/>
          </w:tcPr>
          <w:p w14:paraId="1C52C2C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64.4%</w:t>
            </w:r>
          </w:p>
        </w:tc>
        <w:tc>
          <w:tcPr>
            <w:tcW w:w="675" w:type="dxa"/>
            <w:tcBorders>
              <w:top w:val="nil"/>
              <w:bottom w:val="nil"/>
            </w:tcBorders>
            <w:noWrap/>
            <w:vAlign w:val="center"/>
          </w:tcPr>
          <w:p w14:paraId="2E071D4B"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33.6%</w:t>
            </w:r>
          </w:p>
        </w:tc>
        <w:tc>
          <w:tcPr>
            <w:tcW w:w="676" w:type="dxa"/>
            <w:tcBorders>
              <w:top w:val="nil"/>
              <w:bottom w:val="nil"/>
            </w:tcBorders>
            <w:noWrap/>
            <w:vAlign w:val="center"/>
          </w:tcPr>
          <w:p w14:paraId="61FB8748"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color w:val="000000"/>
                <w:sz w:val="18"/>
                <w:szCs w:val="18"/>
              </w:rPr>
              <w:t>31.3%</w:t>
            </w:r>
          </w:p>
        </w:tc>
        <w:tc>
          <w:tcPr>
            <w:tcW w:w="676" w:type="dxa"/>
            <w:tcBorders>
              <w:top w:val="nil"/>
              <w:bottom w:val="nil"/>
            </w:tcBorders>
            <w:noWrap/>
            <w:vAlign w:val="center"/>
          </w:tcPr>
          <w:p w14:paraId="0981C879"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27.1%</w:t>
            </w:r>
          </w:p>
        </w:tc>
      </w:tr>
      <w:tr w:rsidR="004E477F" w:rsidRPr="001539FA" w14:paraId="00F380C9" w14:textId="77777777" w:rsidTr="00D67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tcBorders>
              <w:top w:val="nil"/>
              <w:bottom w:val="single" w:sz="4" w:space="0" w:color="auto"/>
            </w:tcBorders>
            <w:vAlign w:val="center"/>
          </w:tcPr>
          <w:p w14:paraId="0B9ED8EB" w14:textId="77777777" w:rsidR="004E477F" w:rsidRPr="001539FA" w:rsidRDefault="004E477F" w:rsidP="00D67A46">
            <w:pPr>
              <w:rPr>
                <w:rFonts w:ascii="Calibri" w:hAnsi="Calibri" w:cs="Calibri"/>
                <w:color w:val="000000"/>
                <w:sz w:val="18"/>
                <w:szCs w:val="18"/>
              </w:rPr>
            </w:pPr>
            <w:r w:rsidRPr="001539FA">
              <w:rPr>
                <w:rFonts w:ascii="Calibri" w:hAnsi="Calibri" w:cs="Calibri"/>
                <w:color w:val="000000"/>
                <w:sz w:val="18"/>
                <w:szCs w:val="18"/>
              </w:rPr>
              <w:t>Not Enrolled; Did Not Complete</w:t>
            </w:r>
          </w:p>
        </w:tc>
        <w:tc>
          <w:tcPr>
            <w:tcW w:w="1080" w:type="dxa"/>
            <w:tcBorders>
              <w:top w:val="nil"/>
              <w:bottom w:val="single" w:sz="4" w:space="0" w:color="auto"/>
            </w:tcBorders>
            <w:noWrap/>
            <w:vAlign w:val="center"/>
          </w:tcPr>
          <w:p w14:paraId="67F46385" w14:textId="77777777" w:rsidR="004E477F" w:rsidRPr="001539FA" w:rsidRDefault="004E477F" w:rsidP="00D67A46">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color w:val="000000"/>
                <w:sz w:val="18"/>
                <w:szCs w:val="18"/>
              </w:rPr>
              <w:t>Subtotal</w:t>
            </w:r>
          </w:p>
        </w:tc>
        <w:tc>
          <w:tcPr>
            <w:tcW w:w="675" w:type="dxa"/>
            <w:tcBorders>
              <w:top w:val="nil"/>
              <w:bottom w:val="single" w:sz="4" w:space="0" w:color="auto"/>
            </w:tcBorders>
            <w:noWrap/>
            <w:vAlign w:val="center"/>
          </w:tcPr>
          <w:p w14:paraId="259ACF5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22.6%</w:t>
            </w:r>
          </w:p>
        </w:tc>
        <w:tc>
          <w:tcPr>
            <w:tcW w:w="676" w:type="dxa"/>
            <w:tcBorders>
              <w:top w:val="nil"/>
              <w:bottom w:val="single" w:sz="4" w:space="0" w:color="auto"/>
            </w:tcBorders>
            <w:noWrap/>
            <w:vAlign w:val="center"/>
          </w:tcPr>
          <w:p w14:paraId="3F111745"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52.0%</w:t>
            </w:r>
          </w:p>
        </w:tc>
        <w:tc>
          <w:tcPr>
            <w:tcW w:w="675" w:type="dxa"/>
            <w:tcBorders>
              <w:top w:val="nil"/>
              <w:bottom w:val="single" w:sz="4" w:space="0" w:color="auto"/>
            </w:tcBorders>
            <w:noWrap/>
            <w:vAlign w:val="center"/>
          </w:tcPr>
          <w:p w14:paraId="0DB683AB"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25.9%</w:t>
            </w:r>
          </w:p>
        </w:tc>
        <w:tc>
          <w:tcPr>
            <w:tcW w:w="676" w:type="dxa"/>
            <w:tcBorders>
              <w:top w:val="nil"/>
              <w:bottom w:val="single" w:sz="4" w:space="0" w:color="auto"/>
            </w:tcBorders>
            <w:noWrap/>
            <w:vAlign w:val="center"/>
          </w:tcPr>
          <w:p w14:paraId="2DE5E32E"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34.9%</w:t>
            </w:r>
          </w:p>
        </w:tc>
        <w:tc>
          <w:tcPr>
            <w:tcW w:w="676" w:type="dxa"/>
            <w:tcBorders>
              <w:top w:val="nil"/>
              <w:bottom w:val="single" w:sz="4" w:space="0" w:color="auto"/>
            </w:tcBorders>
            <w:noWrap/>
            <w:vAlign w:val="center"/>
          </w:tcPr>
          <w:p w14:paraId="67492E0E"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60.9%</w:t>
            </w:r>
          </w:p>
        </w:tc>
        <w:tc>
          <w:tcPr>
            <w:tcW w:w="675" w:type="dxa"/>
            <w:tcBorders>
              <w:top w:val="nil"/>
              <w:bottom w:val="single" w:sz="4" w:space="0" w:color="auto"/>
            </w:tcBorders>
            <w:noWrap/>
            <w:vAlign w:val="center"/>
          </w:tcPr>
          <w:p w14:paraId="7D78C0D3"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36.1%</w:t>
            </w:r>
          </w:p>
        </w:tc>
        <w:tc>
          <w:tcPr>
            <w:tcW w:w="676" w:type="dxa"/>
            <w:tcBorders>
              <w:top w:val="nil"/>
              <w:bottom w:val="single" w:sz="4" w:space="0" w:color="auto"/>
            </w:tcBorders>
            <w:noWrap/>
            <w:vAlign w:val="center"/>
          </w:tcPr>
          <w:p w14:paraId="1C8A5484"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color w:val="000000"/>
                <w:sz w:val="18"/>
                <w:szCs w:val="18"/>
              </w:rPr>
              <w:t>35.9%</w:t>
            </w:r>
          </w:p>
        </w:tc>
        <w:tc>
          <w:tcPr>
            <w:tcW w:w="676" w:type="dxa"/>
            <w:tcBorders>
              <w:top w:val="nil"/>
              <w:bottom w:val="single" w:sz="4" w:space="0" w:color="auto"/>
            </w:tcBorders>
            <w:noWrap/>
            <w:vAlign w:val="center"/>
          </w:tcPr>
          <w:p w14:paraId="01D91B28" w14:textId="77777777" w:rsidR="004E477F" w:rsidRPr="001539FA" w:rsidRDefault="004E477F" w:rsidP="00D67A4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18"/>
                <w:szCs w:val="18"/>
              </w:rPr>
            </w:pPr>
            <w:r>
              <w:rPr>
                <w:rFonts w:ascii="Calibri" w:hAnsi="Calibri" w:cs="Calibri"/>
                <w:b/>
                <w:bCs/>
                <w:i/>
                <w:iCs/>
                <w:color w:val="000000"/>
                <w:sz w:val="18"/>
                <w:szCs w:val="18"/>
              </w:rPr>
              <w:t>32.9%</w:t>
            </w:r>
          </w:p>
        </w:tc>
      </w:tr>
      <w:tr w:rsidR="004E477F" w:rsidRPr="001539FA" w14:paraId="1000D384" w14:textId="77777777" w:rsidTr="00D67A46">
        <w:trPr>
          <w:trHeight w:val="288"/>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18A05BCB" w14:textId="77777777" w:rsidR="004E477F" w:rsidRPr="001539FA" w:rsidRDefault="004E477F" w:rsidP="00D67A46">
            <w:pPr>
              <w:rPr>
                <w:rFonts w:ascii="Calibri" w:hAnsi="Calibri" w:cs="Calibri"/>
                <w:i/>
                <w:iCs/>
                <w:color w:val="000000"/>
                <w:sz w:val="18"/>
                <w:szCs w:val="18"/>
              </w:rPr>
            </w:pPr>
            <w:r>
              <w:rPr>
                <w:rFonts w:ascii="Calibri" w:hAnsi="Calibri" w:cs="Calibri"/>
                <w:i/>
                <w:iCs/>
                <w:color w:val="000000"/>
                <w:sz w:val="18"/>
                <w:szCs w:val="18"/>
              </w:rPr>
              <w:t>T</w:t>
            </w:r>
            <w:r w:rsidRPr="001539FA">
              <w:rPr>
                <w:rFonts w:ascii="Calibri" w:hAnsi="Calibri" w:cs="Calibri"/>
                <w:i/>
                <w:iCs/>
                <w:color w:val="000000"/>
                <w:sz w:val="18"/>
                <w:szCs w:val="18"/>
              </w:rPr>
              <w:t>otal</w:t>
            </w:r>
          </w:p>
        </w:tc>
        <w:tc>
          <w:tcPr>
            <w:tcW w:w="1080" w:type="dxa"/>
            <w:noWrap/>
            <w:vAlign w:val="center"/>
          </w:tcPr>
          <w:p w14:paraId="5AEE2AC5" w14:textId="77777777" w:rsidR="004E477F" w:rsidRPr="001539FA" w:rsidRDefault="004E477F" w:rsidP="00D67A46">
            <w:pP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sz w:val="18"/>
                <w:szCs w:val="18"/>
              </w:rPr>
            </w:pPr>
            <w:r w:rsidRPr="001539FA">
              <w:rPr>
                <w:rFonts w:ascii="Calibri" w:hAnsi="Calibri" w:cs="Calibri"/>
                <w:b/>
                <w:bCs/>
                <w:i/>
                <w:iCs/>
                <w:color w:val="000000"/>
                <w:sz w:val="18"/>
                <w:szCs w:val="18"/>
              </w:rPr>
              <w:t>Total</w:t>
            </w:r>
          </w:p>
        </w:tc>
        <w:tc>
          <w:tcPr>
            <w:tcW w:w="675" w:type="dxa"/>
            <w:noWrap/>
            <w:vAlign w:val="center"/>
          </w:tcPr>
          <w:p w14:paraId="7DEB9ED6" w14:textId="77777777" w:rsidR="004E477F" w:rsidRPr="00AC7E5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sidRPr="00AC7E5A">
              <w:rPr>
                <w:rFonts w:ascii="Calibri" w:hAnsi="Calibri" w:cs="Calibri"/>
                <w:b/>
                <w:bCs/>
                <w:i/>
                <w:iCs/>
                <w:color w:val="000000"/>
                <w:sz w:val="18"/>
                <w:szCs w:val="18"/>
              </w:rPr>
              <w:t>100%</w:t>
            </w:r>
          </w:p>
        </w:tc>
        <w:tc>
          <w:tcPr>
            <w:tcW w:w="676" w:type="dxa"/>
            <w:noWrap/>
            <w:vAlign w:val="center"/>
          </w:tcPr>
          <w:p w14:paraId="533970E7" w14:textId="77777777" w:rsidR="004E477F" w:rsidRPr="00AC7E5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sidRPr="00AC7E5A">
              <w:rPr>
                <w:rFonts w:ascii="Calibri" w:hAnsi="Calibri" w:cs="Calibri"/>
                <w:b/>
                <w:bCs/>
                <w:i/>
                <w:iCs/>
                <w:color w:val="000000"/>
                <w:sz w:val="18"/>
                <w:szCs w:val="18"/>
              </w:rPr>
              <w:t>100%</w:t>
            </w:r>
          </w:p>
        </w:tc>
        <w:tc>
          <w:tcPr>
            <w:tcW w:w="675" w:type="dxa"/>
            <w:noWrap/>
            <w:vAlign w:val="center"/>
          </w:tcPr>
          <w:p w14:paraId="5DAD1CD1" w14:textId="77777777" w:rsidR="004E477F" w:rsidRPr="00AC7E5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sidRPr="00AC7E5A">
              <w:rPr>
                <w:rFonts w:ascii="Calibri" w:hAnsi="Calibri" w:cs="Calibri"/>
                <w:b/>
                <w:bCs/>
                <w:i/>
                <w:iCs/>
                <w:color w:val="000000"/>
                <w:sz w:val="18"/>
                <w:szCs w:val="18"/>
              </w:rPr>
              <w:t>100%</w:t>
            </w:r>
          </w:p>
        </w:tc>
        <w:tc>
          <w:tcPr>
            <w:tcW w:w="676" w:type="dxa"/>
            <w:noWrap/>
            <w:vAlign w:val="center"/>
          </w:tcPr>
          <w:p w14:paraId="55376207" w14:textId="77777777" w:rsidR="004E477F" w:rsidRPr="00AC7E5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sidRPr="00AC7E5A">
              <w:rPr>
                <w:rFonts w:ascii="Calibri" w:hAnsi="Calibri" w:cs="Calibri"/>
                <w:b/>
                <w:bCs/>
                <w:i/>
                <w:iCs/>
                <w:color w:val="000000"/>
                <w:sz w:val="18"/>
                <w:szCs w:val="18"/>
              </w:rPr>
              <w:t>100%</w:t>
            </w:r>
          </w:p>
        </w:tc>
        <w:tc>
          <w:tcPr>
            <w:tcW w:w="676" w:type="dxa"/>
            <w:noWrap/>
            <w:vAlign w:val="center"/>
          </w:tcPr>
          <w:p w14:paraId="48B89A28" w14:textId="77777777" w:rsidR="004E477F" w:rsidRPr="00AC7E5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sidRPr="00AC7E5A">
              <w:rPr>
                <w:rFonts w:ascii="Calibri" w:hAnsi="Calibri" w:cs="Calibri"/>
                <w:b/>
                <w:bCs/>
                <w:i/>
                <w:iCs/>
                <w:color w:val="000000"/>
                <w:sz w:val="18"/>
                <w:szCs w:val="18"/>
              </w:rPr>
              <w:t>100%</w:t>
            </w:r>
          </w:p>
        </w:tc>
        <w:tc>
          <w:tcPr>
            <w:tcW w:w="675" w:type="dxa"/>
            <w:noWrap/>
            <w:vAlign w:val="center"/>
          </w:tcPr>
          <w:p w14:paraId="6CFED4C8" w14:textId="77777777" w:rsidR="004E477F" w:rsidRPr="00AC7E5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sidRPr="00AC7E5A">
              <w:rPr>
                <w:rFonts w:ascii="Calibri" w:hAnsi="Calibri" w:cs="Calibri"/>
                <w:b/>
                <w:bCs/>
                <w:i/>
                <w:iCs/>
                <w:color w:val="000000"/>
                <w:sz w:val="18"/>
                <w:szCs w:val="18"/>
              </w:rPr>
              <w:t>100%</w:t>
            </w:r>
          </w:p>
        </w:tc>
        <w:tc>
          <w:tcPr>
            <w:tcW w:w="676" w:type="dxa"/>
            <w:noWrap/>
            <w:vAlign w:val="center"/>
          </w:tcPr>
          <w:p w14:paraId="0735FE36" w14:textId="5E83B7E6" w:rsidR="004E477F" w:rsidRPr="00AC7E5A" w:rsidRDefault="004E477F" w:rsidP="004E47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sidRPr="00AC7E5A">
              <w:rPr>
                <w:rFonts w:ascii="Calibri" w:hAnsi="Calibri" w:cs="Calibri"/>
                <w:b/>
                <w:bCs/>
                <w:i/>
                <w:iCs/>
                <w:color w:val="000000"/>
                <w:sz w:val="18"/>
                <w:szCs w:val="18"/>
              </w:rPr>
              <w:t>1</w:t>
            </w:r>
            <w:r>
              <w:rPr>
                <w:rFonts w:ascii="Calibri" w:hAnsi="Calibri" w:cs="Calibri"/>
                <w:b/>
                <w:bCs/>
                <w:i/>
                <w:iCs/>
                <w:color w:val="000000"/>
                <w:sz w:val="18"/>
                <w:szCs w:val="18"/>
              </w:rPr>
              <w:t>00</w:t>
            </w:r>
            <w:r w:rsidRPr="00AC7E5A">
              <w:rPr>
                <w:rFonts w:ascii="Calibri" w:hAnsi="Calibri" w:cs="Calibri"/>
                <w:b/>
                <w:bCs/>
                <w:i/>
                <w:iCs/>
                <w:color w:val="000000"/>
                <w:sz w:val="18"/>
                <w:szCs w:val="18"/>
              </w:rPr>
              <w:t>%</w:t>
            </w:r>
          </w:p>
        </w:tc>
        <w:tc>
          <w:tcPr>
            <w:tcW w:w="676" w:type="dxa"/>
            <w:noWrap/>
            <w:vAlign w:val="center"/>
          </w:tcPr>
          <w:p w14:paraId="3D661357" w14:textId="77777777" w:rsidR="004E477F" w:rsidRPr="001539FA" w:rsidRDefault="004E477F" w:rsidP="00D67A4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18"/>
                <w:szCs w:val="18"/>
              </w:rPr>
            </w:pPr>
            <w:r w:rsidRPr="001539FA">
              <w:rPr>
                <w:rFonts w:ascii="Calibri" w:hAnsi="Calibri" w:cs="Calibri"/>
                <w:b/>
                <w:bCs/>
                <w:i/>
                <w:iCs/>
                <w:color w:val="000000"/>
                <w:sz w:val="18"/>
                <w:szCs w:val="18"/>
              </w:rPr>
              <w:t>100%</w:t>
            </w:r>
          </w:p>
        </w:tc>
      </w:tr>
    </w:tbl>
    <w:p w14:paraId="69226F35" w14:textId="1C95BB1A" w:rsidR="00F03284" w:rsidRDefault="00F03284" w:rsidP="00473B44">
      <w:pPr>
        <w:spacing w:after="0"/>
      </w:pPr>
    </w:p>
    <w:sectPr w:rsidR="00F03284" w:rsidSect="000959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C24A" w14:textId="77777777" w:rsidR="003F7201" w:rsidRDefault="003F7201" w:rsidP="00117D4D">
      <w:pPr>
        <w:spacing w:after="0" w:line="240" w:lineRule="auto"/>
      </w:pPr>
      <w:r>
        <w:separator/>
      </w:r>
    </w:p>
  </w:endnote>
  <w:endnote w:type="continuationSeparator" w:id="0">
    <w:p w14:paraId="68C599CF" w14:textId="77777777" w:rsidR="003F7201" w:rsidRDefault="003F7201" w:rsidP="0011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606790"/>
      <w:docPartObj>
        <w:docPartGallery w:val="Page Numbers (Bottom of Page)"/>
        <w:docPartUnique/>
      </w:docPartObj>
    </w:sdtPr>
    <w:sdtEndPr>
      <w:rPr>
        <w:noProof/>
      </w:rPr>
    </w:sdtEndPr>
    <w:sdtContent>
      <w:p w14:paraId="7281074C" w14:textId="055889D6" w:rsidR="001034C3" w:rsidRDefault="001034C3">
        <w:pPr>
          <w:pStyle w:val="Footer"/>
          <w:jc w:val="right"/>
        </w:pPr>
        <w:r>
          <w:fldChar w:fldCharType="begin"/>
        </w:r>
        <w:r>
          <w:instrText xml:space="preserve"> PAGE   \* MERGEFORMAT </w:instrText>
        </w:r>
        <w:r>
          <w:fldChar w:fldCharType="separate"/>
        </w:r>
        <w:r w:rsidR="00C66A17">
          <w:rPr>
            <w:noProof/>
          </w:rPr>
          <w:t>2</w:t>
        </w:r>
        <w:r>
          <w:rPr>
            <w:noProof/>
          </w:rPr>
          <w:fldChar w:fldCharType="end"/>
        </w:r>
      </w:p>
    </w:sdtContent>
  </w:sdt>
  <w:p w14:paraId="5B01EFB6" w14:textId="77777777" w:rsidR="001034C3" w:rsidRDefault="00103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F3E1" w14:textId="77777777" w:rsidR="003F7201" w:rsidRDefault="003F7201" w:rsidP="00117D4D">
      <w:pPr>
        <w:spacing w:after="0" w:line="240" w:lineRule="auto"/>
      </w:pPr>
      <w:r>
        <w:separator/>
      </w:r>
    </w:p>
  </w:footnote>
  <w:footnote w:type="continuationSeparator" w:id="0">
    <w:p w14:paraId="20625B81" w14:textId="77777777" w:rsidR="003F7201" w:rsidRPr="0061483E" w:rsidRDefault="003F7201" w:rsidP="0061483E">
      <w:pPr>
        <w:pStyle w:val="Footer"/>
      </w:pPr>
    </w:p>
  </w:footnote>
  <w:footnote w:id="1">
    <w:p w14:paraId="4B139223" w14:textId="77777777" w:rsidR="001034C3" w:rsidRDefault="001034C3">
      <w:pPr>
        <w:pStyle w:val="FootnoteText"/>
      </w:pPr>
      <w:r>
        <w:rPr>
          <w:rStyle w:val="FootnoteReference"/>
        </w:rPr>
        <w:footnoteRef/>
      </w:r>
      <w:r>
        <w:t xml:space="preserve"> Numerous national studies have examined this issue and have come to the same conclusion (STRADA, NACE, NASPA, College Board, Common Application, etc.)</w:t>
      </w:r>
    </w:p>
  </w:footnote>
  <w:footnote w:id="2">
    <w:p w14:paraId="48DA1EE2" w14:textId="77777777" w:rsidR="001034C3" w:rsidRDefault="001034C3" w:rsidP="00032C30">
      <w:pPr>
        <w:pStyle w:val="FootnoteText"/>
      </w:pPr>
      <w:r>
        <w:rPr>
          <w:rStyle w:val="FootnoteReference"/>
        </w:rPr>
        <w:footnoteRef/>
      </w:r>
      <w:r>
        <w:t xml:space="preserve"> </w:t>
      </w:r>
      <w:hyperlink r:id="rId1" w:history="1">
        <w:r w:rsidRPr="00980087">
          <w:rPr>
            <w:rStyle w:val="Hyperlink"/>
          </w:rPr>
          <w:t>http://www.nacada.ksu.edu/portals/0/Clearinghouse/AdvisingIssues/documents/first-gen.pdf</w:t>
        </w:r>
      </w:hyperlink>
    </w:p>
    <w:p w14:paraId="72DF9998" w14:textId="77777777" w:rsidR="001034C3" w:rsidRDefault="001034C3">
      <w:pPr>
        <w:pStyle w:val="FootnoteText"/>
      </w:pPr>
    </w:p>
    <w:p w14:paraId="07143FBA" w14:textId="77777777" w:rsidR="001034C3" w:rsidRDefault="001034C3">
      <w:pPr>
        <w:pStyle w:val="FootnoteText"/>
      </w:pPr>
    </w:p>
  </w:footnote>
  <w:footnote w:id="3">
    <w:p w14:paraId="65D8023E" w14:textId="72F8AE12" w:rsidR="001034C3" w:rsidRDefault="001034C3">
      <w:pPr>
        <w:pStyle w:val="FootnoteText"/>
      </w:pPr>
      <w:r>
        <w:rPr>
          <w:rStyle w:val="FootnoteReference"/>
        </w:rPr>
        <w:footnoteRef/>
      </w:r>
      <w:r>
        <w:t xml:space="preserve"> UMS Flash Survey, December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3530"/>
    <w:multiLevelType w:val="hybridMultilevel"/>
    <w:tmpl w:val="71FA0B3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868A7"/>
    <w:multiLevelType w:val="hybridMultilevel"/>
    <w:tmpl w:val="FD8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65669"/>
    <w:multiLevelType w:val="hybridMultilevel"/>
    <w:tmpl w:val="73C01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9B2D5B"/>
    <w:multiLevelType w:val="multilevel"/>
    <w:tmpl w:val="838E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E08AC"/>
    <w:multiLevelType w:val="hybridMultilevel"/>
    <w:tmpl w:val="AF0A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D396C"/>
    <w:multiLevelType w:val="multilevel"/>
    <w:tmpl w:val="2ADE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C13839"/>
    <w:multiLevelType w:val="multilevel"/>
    <w:tmpl w:val="26E2F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F61902"/>
    <w:multiLevelType w:val="hybridMultilevel"/>
    <w:tmpl w:val="7E08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92D38"/>
    <w:multiLevelType w:val="hybridMultilevel"/>
    <w:tmpl w:val="1A8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47D86"/>
    <w:multiLevelType w:val="hybridMultilevel"/>
    <w:tmpl w:val="CC9E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7126DD"/>
    <w:multiLevelType w:val="hybridMultilevel"/>
    <w:tmpl w:val="4198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24083"/>
    <w:multiLevelType w:val="hybridMultilevel"/>
    <w:tmpl w:val="5ADA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10"/>
  </w:num>
  <w:num w:numId="5">
    <w:abstractNumId w:val="0"/>
  </w:num>
  <w:num w:numId="6">
    <w:abstractNumId w:val="1"/>
  </w:num>
  <w:num w:numId="7">
    <w:abstractNumId w:val="7"/>
  </w:num>
  <w:num w:numId="8">
    <w:abstractNumId w:val="11"/>
  </w:num>
  <w:num w:numId="9">
    <w:abstractNumId w:val="4"/>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D4D"/>
    <w:rsid w:val="0001731E"/>
    <w:rsid w:val="00022BC8"/>
    <w:rsid w:val="000329A6"/>
    <w:rsid w:val="00032C30"/>
    <w:rsid w:val="00036A54"/>
    <w:rsid w:val="00066485"/>
    <w:rsid w:val="00075B5A"/>
    <w:rsid w:val="00083347"/>
    <w:rsid w:val="0009594C"/>
    <w:rsid w:val="00097073"/>
    <w:rsid w:val="000B4EF1"/>
    <w:rsid w:val="000D0117"/>
    <w:rsid w:val="000D4FA0"/>
    <w:rsid w:val="000E2061"/>
    <w:rsid w:val="000E3328"/>
    <w:rsid w:val="000E4ADA"/>
    <w:rsid w:val="000F7843"/>
    <w:rsid w:val="001034C3"/>
    <w:rsid w:val="00113331"/>
    <w:rsid w:val="00117D4D"/>
    <w:rsid w:val="0013738B"/>
    <w:rsid w:val="0014387D"/>
    <w:rsid w:val="001456BD"/>
    <w:rsid w:val="00151C4F"/>
    <w:rsid w:val="0015692E"/>
    <w:rsid w:val="00177038"/>
    <w:rsid w:val="001858EF"/>
    <w:rsid w:val="001A4667"/>
    <w:rsid w:val="001C721D"/>
    <w:rsid w:val="001D15DA"/>
    <w:rsid w:val="001E3E54"/>
    <w:rsid w:val="00201735"/>
    <w:rsid w:val="00204F0A"/>
    <w:rsid w:val="002111D4"/>
    <w:rsid w:val="002128E1"/>
    <w:rsid w:val="002161B4"/>
    <w:rsid w:val="002239A8"/>
    <w:rsid w:val="00234ECC"/>
    <w:rsid w:val="00255EDD"/>
    <w:rsid w:val="00256018"/>
    <w:rsid w:val="00267EC2"/>
    <w:rsid w:val="002759A2"/>
    <w:rsid w:val="0028793F"/>
    <w:rsid w:val="002952D9"/>
    <w:rsid w:val="00296D4E"/>
    <w:rsid w:val="002A07E5"/>
    <w:rsid w:val="002C7077"/>
    <w:rsid w:val="0031197B"/>
    <w:rsid w:val="00311AC9"/>
    <w:rsid w:val="00323E55"/>
    <w:rsid w:val="00327B91"/>
    <w:rsid w:val="00335D32"/>
    <w:rsid w:val="00337022"/>
    <w:rsid w:val="003428BE"/>
    <w:rsid w:val="00357E66"/>
    <w:rsid w:val="0036058F"/>
    <w:rsid w:val="003970F2"/>
    <w:rsid w:val="003A3EC0"/>
    <w:rsid w:val="003A5195"/>
    <w:rsid w:val="003A637C"/>
    <w:rsid w:val="003B69D8"/>
    <w:rsid w:val="003D070B"/>
    <w:rsid w:val="003D7B76"/>
    <w:rsid w:val="003F7201"/>
    <w:rsid w:val="00405CD2"/>
    <w:rsid w:val="00407EFB"/>
    <w:rsid w:val="004362B2"/>
    <w:rsid w:val="00444EB2"/>
    <w:rsid w:val="00446F32"/>
    <w:rsid w:val="0045203F"/>
    <w:rsid w:val="00454109"/>
    <w:rsid w:val="004566F8"/>
    <w:rsid w:val="00473B44"/>
    <w:rsid w:val="00477FD5"/>
    <w:rsid w:val="0048526D"/>
    <w:rsid w:val="0049417F"/>
    <w:rsid w:val="00497C12"/>
    <w:rsid w:val="004C3BEF"/>
    <w:rsid w:val="004C6CAC"/>
    <w:rsid w:val="004E477F"/>
    <w:rsid w:val="004E51B9"/>
    <w:rsid w:val="004E6669"/>
    <w:rsid w:val="00514ED8"/>
    <w:rsid w:val="00520951"/>
    <w:rsid w:val="00522315"/>
    <w:rsid w:val="005256DA"/>
    <w:rsid w:val="00536CF2"/>
    <w:rsid w:val="00540408"/>
    <w:rsid w:val="00542FDA"/>
    <w:rsid w:val="00543CC2"/>
    <w:rsid w:val="00545715"/>
    <w:rsid w:val="00550B75"/>
    <w:rsid w:val="00551658"/>
    <w:rsid w:val="005561F2"/>
    <w:rsid w:val="00570A29"/>
    <w:rsid w:val="00570C07"/>
    <w:rsid w:val="0059439A"/>
    <w:rsid w:val="00596512"/>
    <w:rsid w:val="005A39A8"/>
    <w:rsid w:val="005C6273"/>
    <w:rsid w:val="005E0768"/>
    <w:rsid w:val="005F24D4"/>
    <w:rsid w:val="0061483E"/>
    <w:rsid w:val="00616C31"/>
    <w:rsid w:val="00637A2F"/>
    <w:rsid w:val="0064315A"/>
    <w:rsid w:val="006623B7"/>
    <w:rsid w:val="0067102D"/>
    <w:rsid w:val="00683AC9"/>
    <w:rsid w:val="006962DD"/>
    <w:rsid w:val="006A1C1A"/>
    <w:rsid w:val="006A5E8E"/>
    <w:rsid w:val="006A6516"/>
    <w:rsid w:val="006C57CE"/>
    <w:rsid w:val="006D4C4A"/>
    <w:rsid w:val="006E55D3"/>
    <w:rsid w:val="006F3DF3"/>
    <w:rsid w:val="0070052A"/>
    <w:rsid w:val="0070714E"/>
    <w:rsid w:val="00707804"/>
    <w:rsid w:val="00712BA8"/>
    <w:rsid w:val="007136A2"/>
    <w:rsid w:val="00720CAF"/>
    <w:rsid w:val="0073491B"/>
    <w:rsid w:val="00740B5F"/>
    <w:rsid w:val="007470D4"/>
    <w:rsid w:val="007500B7"/>
    <w:rsid w:val="007518A0"/>
    <w:rsid w:val="00764DB8"/>
    <w:rsid w:val="00777EA8"/>
    <w:rsid w:val="00792036"/>
    <w:rsid w:val="007A1CAD"/>
    <w:rsid w:val="007A4FAB"/>
    <w:rsid w:val="007A6531"/>
    <w:rsid w:val="007B75B7"/>
    <w:rsid w:val="007C69C1"/>
    <w:rsid w:val="007D1F56"/>
    <w:rsid w:val="007E3525"/>
    <w:rsid w:val="007F1890"/>
    <w:rsid w:val="007F5152"/>
    <w:rsid w:val="00804B62"/>
    <w:rsid w:val="00807052"/>
    <w:rsid w:val="00814724"/>
    <w:rsid w:val="008152C3"/>
    <w:rsid w:val="00835B23"/>
    <w:rsid w:val="00844422"/>
    <w:rsid w:val="00851721"/>
    <w:rsid w:val="0085331F"/>
    <w:rsid w:val="00854635"/>
    <w:rsid w:val="00877FC5"/>
    <w:rsid w:val="0088482B"/>
    <w:rsid w:val="00887989"/>
    <w:rsid w:val="00890D26"/>
    <w:rsid w:val="008A47B8"/>
    <w:rsid w:val="008A5E80"/>
    <w:rsid w:val="008A7AF7"/>
    <w:rsid w:val="008B30C1"/>
    <w:rsid w:val="008B49C9"/>
    <w:rsid w:val="008B7A10"/>
    <w:rsid w:val="008C3645"/>
    <w:rsid w:val="008D2CB2"/>
    <w:rsid w:val="008D3898"/>
    <w:rsid w:val="008E030D"/>
    <w:rsid w:val="008E55C4"/>
    <w:rsid w:val="00921F84"/>
    <w:rsid w:val="00942803"/>
    <w:rsid w:val="00945AEC"/>
    <w:rsid w:val="00957DFC"/>
    <w:rsid w:val="00970943"/>
    <w:rsid w:val="009829B3"/>
    <w:rsid w:val="00993967"/>
    <w:rsid w:val="00996D0B"/>
    <w:rsid w:val="00997219"/>
    <w:rsid w:val="009B3B13"/>
    <w:rsid w:val="009B56E4"/>
    <w:rsid w:val="009B6C90"/>
    <w:rsid w:val="009C5B11"/>
    <w:rsid w:val="009E4650"/>
    <w:rsid w:val="00A0229C"/>
    <w:rsid w:val="00A023CD"/>
    <w:rsid w:val="00A11560"/>
    <w:rsid w:val="00A32442"/>
    <w:rsid w:val="00A609AE"/>
    <w:rsid w:val="00A76E57"/>
    <w:rsid w:val="00A95BCC"/>
    <w:rsid w:val="00A964C3"/>
    <w:rsid w:val="00A973E6"/>
    <w:rsid w:val="00AC7A39"/>
    <w:rsid w:val="00AD0110"/>
    <w:rsid w:val="00B17595"/>
    <w:rsid w:val="00B3318F"/>
    <w:rsid w:val="00B5677A"/>
    <w:rsid w:val="00B702E9"/>
    <w:rsid w:val="00B73D8F"/>
    <w:rsid w:val="00B762D9"/>
    <w:rsid w:val="00B772DF"/>
    <w:rsid w:val="00BA1E81"/>
    <w:rsid w:val="00BA3415"/>
    <w:rsid w:val="00BA6AEE"/>
    <w:rsid w:val="00BA7F32"/>
    <w:rsid w:val="00BB1442"/>
    <w:rsid w:val="00BC37CA"/>
    <w:rsid w:val="00BC4E07"/>
    <w:rsid w:val="00BD0095"/>
    <w:rsid w:val="00BD5AF7"/>
    <w:rsid w:val="00BE1E8C"/>
    <w:rsid w:val="00BE1F4D"/>
    <w:rsid w:val="00BE229A"/>
    <w:rsid w:val="00BE480A"/>
    <w:rsid w:val="00BF7659"/>
    <w:rsid w:val="00C11C95"/>
    <w:rsid w:val="00C14669"/>
    <w:rsid w:val="00C218AF"/>
    <w:rsid w:val="00C30C7D"/>
    <w:rsid w:val="00C30DF4"/>
    <w:rsid w:val="00C42A4A"/>
    <w:rsid w:val="00C45405"/>
    <w:rsid w:val="00C52FE8"/>
    <w:rsid w:val="00C66A17"/>
    <w:rsid w:val="00C86071"/>
    <w:rsid w:val="00CA4DD7"/>
    <w:rsid w:val="00CD048C"/>
    <w:rsid w:val="00D12A7D"/>
    <w:rsid w:val="00D22CF1"/>
    <w:rsid w:val="00D2314F"/>
    <w:rsid w:val="00D27756"/>
    <w:rsid w:val="00D329F4"/>
    <w:rsid w:val="00D42D3A"/>
    <w:rsid w:val="00D43C55"/>
    <w:rsid w:val="00D444B9"/>
    <w:rsid w:val="00D44F49"/>
    <w:rsid w:val="00D51D0C"/>
    <w:rsid w:val="00D63AC4"/>
    <w:rsid w:val="00D67A46"/>
    <w:rsid w:val="00D75C37"/>
    <w:rsid w:val="00D76AAD"/>
    <w:rsid w:val="00D9457D"/>
    <w:rsid w:val="00DB3193"/>
    <w:rsid w:val="00DD4FB9"/>
    <w:rsid w:val="00DF0062"/>
    <w:rsid w:val="00E312CF"/>
    <w:rsid w:val="00E33598"/>
    <w:rsid w:val="00E33C02"/>
    <w:rsid w:val="00E42D9D"/>
    <w:rsid w:val="00E55169"/>
    <w:rsid w:val="00E63C95"/>
    <w:rsid w:val="00E67D42"/>
    <w:rsid w:val="00EA5C8F"/>
    <w:rsid w:val="00EC35AF"/>
    <w:rsid w:val="00EC4E82"/>
    <w:rsid w:val="00EC5228"/>
    <w:rsid w:val="00ED4890"/>
    <w:rsid w:val="00ED7FB0"/>
    <w:rsid w:val="00EF3EE2"/>
    <w:rsid w:val="00F01511"/>
    <w:rsid w:val="00F01FE9"/>
    <w:rsid w:val="00F03284"/>
    <w:rsid w:val="00F224E7"/>
    <w:rsid w:val="00F32CBE"/>
    <w:rsid w:val="00F45588"/>
    <w:rsid w:val="00F56A2D"/>
    <w:rsid w:val="00F6043C"/>
    <w:rsid w:val="00F71382"/>
    <w:rsid w:val="00F81A23"/>
    <w:rsid w:val="00FC53F1"/>
    <w:rsid w:val="00FD299E"/>
    <w:rsid w:val="00FE2AB8"/>
    <w:rsid w:val="00FE3203"/>
    <w:rsid w:val="00FF0781"/>
    <w:rsid w:val="00FF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CA0F"/>
  <w15:docId w15:val="{15101343-8652-4119-9A4B-7924FD35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2DF"/>
    <w:pPr>
      <w:spacing w:after="0"/>
      <w:jc w:val="center"/>
      <w:outlineLvl w:val="0"/>
    </w:pPr>
    <w:rPr>
      <w:b/>
      <w:sz w:val="24"/>
      <w:szCs w:val="24"/>
    </w:rPr>
  </w:style>
  <w:style w:type="paragraph" w:styleId="Heading2">
    <w:name w:val="heading 2"/>
    <w:basedOn w:val="Normal"/>
    <w:next w:val="Normal"/>
    <w:link w:val="Heading2Char"/>
    <w:uiPriority w:val="9"/>
    <w:unhideWhenUsed/>
    <w:qFormat/>
    <w:rsid w:val="00B772DF"/>
    <w:pPr>
      <w:spacing w:after="0"/>
      <w:outlineLvl w:val="1"/>
    </w:pPr>
    <w:rPr>
      <w:b/>
      <w:i/>
      <w:sz w:val="24"/>
      <w:szCs w:val="24"/>
      <w:u w:val="single"/>
    </w:rPr>
  </w:style>
  <w:style w:type="paragraph" w:styleId="Heading3">
    <w:name w:val="heading 3"/>
    <w:basedOn w:val="Normal"/>
    <w:next w:val="Normal"/>
    <w:link w:val="Heading3Char"/>
    <w:uiPriority w:val="9"/>
    <w:unhideWhenUsed/>
    <w:qFormat/>
    <w:rsid w:val="00B772DF"/>
    <w:pPr>
      <w:spacing w:after="0"/>
      <w:outlineLvl w:val="2"/>
    </w:pPr>
    <w:rPr>
      <w:b/>
      <w:i/>
      <w:sz w:val="24"/>
      <w:szCs w:val="24"/>
    </w:rPr>
  </w:style>
  <w:style w:type="paragraph" w:styleId="Heading4">
    <w:name w:val="heading 4"/>
    <w:basedOn w:val="Normal"/>
    <w:next w:val="Normal"/>
    <w:link w:val="Heading4Char"/>
    <w:uiPriority w:val="9"/>
    <w:unhideWhenUsed/>
    <w:qFormat/>
    <w:rsid w:val="00B772DF"/>
    <w:pPr>
      <w:spacing w:after="0"/>
      <w:outlineLvl w:val="3"/>
    </w:pPr>
    <w:rPr>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7D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D4D"/>
    <w:rPr>
      <w:sz w:val="20"/>
      <w:szCs w:val="20"/>
    </w:rPr>
  </w:style>
  <w:style w:type="character" w:styleId="FootnoteReference">
    <w:name w:val="footnote reference"/>
    <w:basedOn w:val="DefaultParagraphFont"/>
    <w:uiPriority w:val="99"/>
    <w:semiHidden/>
    <w:unhideWhenUsed/>
    <w:rsid w:val="00117D4D"/>
    <w:rPr>
      <w:vertAlign w:val="superscript"/>
    </w:rPr>
  </w:style>
  <w:style w:type="character" w:styleId="Hyperlink">
    <w:name w:val="Hyperlink"/>
    <w:basedOn w:val="DefaultParagraphFont"/>
    <w:uiPriority w:val="99"/>
    <w:unhideWhenUsed/>
    <w:rsid w:val="00117D4D"/>
    <w:rPr>
      <w:color w:val="0000FF" w:themeColor="hyperlink"/>
      <w:u w:val="single"/>
    </w:rPr>
  </w:style>
  <w:style w:type="character" w:styleId="FollowedHyperlink">
    <w:name w:val="FollowedHyperlink"/>
    <w:basedOn w:val="DefaultParagraphFont"/>
    <w:uiPriority w:val="99"/>
    <w:semiHidden/>
    <w:unhideWhenUsed/>
    <w:rsid w:val="00117D4D"/>
    <w:rPr>
      <w:color w:val="800080" w:themeColor="followedHyperlink"/>
      <w:u w:val="single"/>
    </w:rPr>
  </w:style>
  <w:style w:type="paragraph" w:styleId="ListParagraph">
    <w:name w:val="List Paragraph"/>
    <w:basedOn w:val="Normal"/>
    <w:uiPriority w:val="34"/>
    <w:qFormat/>
    <w:rsid w:val="00E42D9D"/>
    <w:pPr>
      <w:ind w:left="720"/>
      <w:contextualSpacing/>
    </w:pPr>
  </w:style>
  <w:style w:type="paragraph" w:styleId="BalloonText">
    <w:name w:val="Balloon Text"/>
    <w:basedOn w:val="Normal"/>
    <w:link w:val="BalloonTextChar"/>
    <w:uiPriority w:val="99"/>
    <w:semiHidden/>
    <w:unhideWhenUsed/>
    <w:rsid w:val="00EC5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228"/>
    <w:rPr>
      <w:rFonts w:ascii="Tahoma" w:hAnsi="Tahoma" w:cs="Tahoma"/>
      <w:sz w:val="16"/>
      <w:szCs w:val="16"/>
    </w:rPr>
  </w:style>
  <w:style w:type="paragraph" w:styleId="Header">
    <w:name w:val="header"/>
    <w:basedOn w:val="Normal"/>
    <w:link w:val="HeaderChar"/>
    <w:uiPriority w:val="99"/>
    <w:unhideWhenUsed/>
    <w:rsid w:val="008A4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7B8"/>
  </w:style>
  <w:style w:type="paragraph" w:styleId="Footer">
    <w:name w:val="footer"/>
    <w:basedOn w:val="Normal"/>
    <w:link w:val="FooterChar"/>
    <w:uiPriority w:val="99"/>
    <w:unhideWhenUsed/>
    <w:rsid w:val="008A4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7B8"/>
  </w:style>
  <w:style w:type="character" w:customStyle="1" w:styleId="apple-converted-space">
    <w:name w:val="apple-converted-space"/>
    <w:basedOn w:val="DefaultParagraphFont"/>
    <w:rsid w:val="00BA3415"/>
  </w:style>
  <w:style w:type="character" w:customStyle="1" w:styleId="Heading1Char">
    <w:name w:val="Heading 1 Char"/>
    <w:basedOn w:val="DefaultParagraphFont"/>
    <w:link w:val="Heading1"/>
    <w:uiPriority w:val="9"/>
    <w:rsid w:val="00B772DF"/>
    <w:rPr>
      <w:b/>
      <w:sz w:val="24"/>
      <w:szCs w:val="24"/>
    </w:rPr>
  </w:style>
  <w:style w:type="character" w:customStyle="1" w:styleId="Heading2Char">
    <w:name w:val="Heading 2 Char"/>
    <w:basedOn w:val="DefaultParagraphFont"/>
    <w:link w:val="Heading2"/>
    <w:uiPriority w:val="9"/>
    <w:rsid w:val="00B772DF"/>
    <w:rPr>
      <w:b/>
      <w:i/>
      <w:sz w:val="24"/>
      <w:szCs w:val="24"/>
      <w:u w:val="single"/>
    </w:rPr>
  </w:style>
  <w:style w:type="table" w:styleId="GridTable4-Accent1">
    <w:name w:val="Grid Table 4 Accent 1"/>
    <w:basedOn w:val="TableNormal"/>
    <w:uiPriority w:val="49"/>
    <w:rsid w:val="00A0229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next w:val="GridTable4-Accent1"/>
    <w:uiPriority w:val="49"/>
    <w:rsid w:val="00B3318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CommentReference">
    <w:name w:val="annotation reference"/>
    <w:basedOn w:val="DefaultParagraphFont"/>
    <w:uiPriority w:val="99"/>
    <w:semiHidden/>
    <w:unhideWhenUsed/>
    <w:rsid w:val="005C6273"/>
    <w:rPr>
      <w:sz w:val="16"/>
      <w:szCs w:val="16"/>
    </w:rPr>
  </w:style>
  <w:style w:type="paragraph" w:styleId="CommentText">
    <w:name w:val="annotation text"/>
    <w:basedOn w:val="Normal"/>
    <w:link w:val="CommentTextChar"/>
    <w:uiPriority w:val="99"/>
    <w:semiHidden/>
    <w:unhideWhenUsed/>
    <w:rsid w:val="005C6273"/>
    <w:pPr>
      <w:spacing w:line="240" w:lineRule="auto"/>
    </w:pPr>
    <w:rPr>
      <w:sz w:val="20"/>
      <w:szCs w:val="20"/>
    </w:rPr>
  </w:style>
  <w:style w:type="character" w:customStyle="1" w:styleId="CommentTextChar">
    <w:name w:val="Comment Text Char"/>
    <w:basedOn w:val="DefaultParagraphFont"/>
    <w:link w:val="CommentText"/>
    <w:uiPriority w:val="99"/>
    <w:semiHidden/>
    <w:rsid w:val="005C6273"/>
    <w:rPr>
      <w:sz w:val="20"/>
      <w:szCs w:val="20"/>
    </w:rPr>
  </w:style>
  <w:style w:type="paragraph" w:styleId="CommentSubject">
    <w:name w:val="annotation subject"/>
    <w:basedOn w:val="CommentText"/>
    <w:next w:val="CommentText"/>
    <w:link w:val="CommentSubjectChar"/>
    <w:uiPriority w:val="99"/>
    <w:semiHidden/>
    <w:unhideWhenUsed/>
    <w:rsid w:val="005C6273"/>
    <w:rPr>
      <w:b/>
      <w:bCs/>
    </w:rPr>
  </w:style>
  <w:style w:type="character" w:customStyle="1" w:styleId="CommentSubjectChar">
    <w:name w:val="Comment Subject Char"/>
    <w:basedOn w:val="CommentTextChar"/>
    <w:link w:val="CommentSubject"/>
    <w:uiPriority w:val="99"/>
    <w:semiHidden/>
    <w:rsid w:val="005C6273"/>
    <w:rPr>
      <w:b/>
      <w:bCs/>
      <w:sz w:val="20"/>
      <w:szCs w:val="20"/>
    </w:rPr>
  </w:style>
  <w:style w:type="character" w:customStyle="1" w:styleId="Heading3Char">
    <w:name w:val="Heading 3 Char"/>
    <w:basedOn w:val="DefaultParagraphFont"/>
    <w:link w:val="Heading3"/>
    <w:uiPriority w:val="9"/>
    <w:rsid w:val="00B772DF"/>
    <w:rPr>
      <w:b/>
      <w:i/>
      <w:sz w:val="24"/>
      <w:szCs w:val="24"/>
    </w:rPr>
  </w:style>
  <w:style w:type="character" w:customStyle="1" w:styleId="Heading4Char">
    <w:name w:val="Heading 4 Char"/>
    <w:basedOn w:val="DefaultParagraphFont"/>
    <w:link w:val="Heading4"/>
    <w:uiPriority w:val="9"/>
    <w:rsid w:val="00B772DF"/>
    <w:rPr>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16038">
      <w:bodyDiv w:val="1"/>
      <w:marLeft w:val="0"/>
      <w:marRight w:val="0"/>
      <w:marTop w:val="0"/>
      <w:marBottom w:val="0"/>
      <w:divBdr>
        <w:top w:val="none" w:sz="0" w:space="0" w:color="auto"/>
        <w:left w:val="none" w:sz="0" w:space="0" w:color="auto"/>
        <w:bottom w:val="none" w:sz="0" w:space="0" w:color="auto"/>
        <w:right w:val="none" w:sz="0" w:space="0" w:color="auto"/>
      </w:divBdr>
      <w:divsChild>
        <w:div w:id="1230923184">
          <w:marLeft w:val="0"/>
          <w:marRight w:val="0"/>
          <w:marTop w:val="0"/>
          <w:marBottom w:val="0"/>
          <w:divBdr>
            <w:top w:val="none" w:sz="0" w:space="0" w:color="auto"/>
            <w:left w:val="none" w:sz="0" w:space="0" w:color="auto"/>
            <w:bottom w:val="none" w:sz="0" w:space="0" w:color="auto"/>
            <w:right w:val="none" w:sz="0" w:space="0" w:color="auto"/>
          </w:divBdr>
        </w:div>
      </w:divsChild>
    </w:div>
    <w:div w:id="1155344351">
      <w:bodyDiv w:val="1"/>
      <w:marLeft w:val="0"/>
      <w:marRight w:val="0"/>
      <w:marTop w:val="0"/>
      <w:marBottom w:val="0"/>
      <w:divBdr>
        <w:top w:val="none" w:sz="0" w:space="0" w:color="auto"/>
        <w:left w:val="none" w:sz="0" w:space="0" w:color="auto"/>
        <w:bottom w:val="none" w:sz="0" w:space="0" w:color="auto"/>
        <w:right w:val="none" w:sz="0" w:space="0" w:color="auto"/>
      </w:divBdr>
      <w:divsChild>
        <w:div w:id="2083286644">
          <w:marLeft w:val="0"/>
          <w:marRight w:val="0"/>
          <w:marTop w:val="0"/>
          <w:marBottom w:val="0"/>
          <w:divBdr>
            <w:top w:val="none" w:sz="0" w:space="0" w:color="auto"/>
            <w:left w:val="none" w:sz="0" w:space="0" w:color="auto"/>
            <w:bottom w:val="none" w:sz="0" w:space="0" w:color="auto"/>
            <w:right w:val="none" w:sz="0" w:space="0" w:color="auto"/>
          </w:divBdr>
        </w:div>
      </w:divsChild>
    </w:div>
    <w:div w:id="1601135565">
      <w:bodyDiv w:val="1"/>
      <w:marLeft w:val="0"/>
      <w:marRight w:val="0"/>
      <w:marTop w:val="0"/>
      <w:marBottom w:val="0"/>
      <w:divBdr>
        <w:top w:val="none" w:sz="0" w:space="0" w:color="auto"/>
        <w:left w:val="none" w:sz="0" w:space="0" w:color="auto"/>
        <w:bottom w:val="none" w:sz="0" w:space="0" w:color="auto"/>
        <w:right w:val="none" w:sz="0" w:space="0" w:color="auto"/>
      </w:divBdr>
    </w:div>
    <w:div w:id="1619145500">
      <w:bodyDiv w:val="1"/>
      <w:marLeft w:val="0"/>
      <w:marRight w:val="0"/>
      <w:marTop w:val="0"/>
      <w:marBottom w:val="0"/>
      <w:divBdr>
        <w:top w:val="none" w:sz="0" w:space="0" w:color="auto"/>
        <w:left w:val="none" w:sz="0" w:space="0" w:color="auto"/>
        <w:bottom w:val="none" w:sz="0" w:space="0" w:color="auto"/>
        <w:right w:val="none" w:sz="0" w:space="0" w:color="auto"/>
      </w:divBdr>
    </w:div>
    <w:div w:id="21117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acada.ksu.edu/portals/0/Clearinghouse/AdvisingIssues/documents/first-g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BAAA1-9350-475D-8FAF-09EF2A0B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10741</Words>
  <Characters>61224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71822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atesbuild</dc:creator>
  <cp:lastModifiedBy>Rachel E Church</cp:lastModifiedBy>
  <cp:revision>3</cp:revision>
  <cp:lastPrinted>2019-01-02T18:45:00Z</cp:lastPrinted>
  <dcterms:created xsi:type="dcterms:W3CDTF">2022-02-14T14:45:00Z</dcterms:created>
  <dcterms:modified xsi:type="dcterms:W3CDTF">2022-02-14T14:49:00Z</dcterms:modified>
</cp:coreProperties>
</file>