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992B45" w14:paraId="13807F69" w14:textId="77777777">
        <w:tc>
          <w:tcPr>
            <w:tcW w:w="10080" w:type="dxa"/>
            <w:shd w:val="clear" w:color="auto" w:fill="132644"/>
            <w:tcMar>
              <w:top w:w="520" w:type="dxa"/>
              <w:left w:w="420" w:type="dxa"/>
              <w:bottom w:w="520" w:type="dxa"/>
              <w:right w:w="420" w:type="dxa"/>
            </w:tcMar>
          </w:tcPr>
          <w:p w14:paraId="4B246B47" w14:textId="77777777" w:rsidR="00992B45" w:rsidRDefault="00E14B9D">
            <w:pPr>
              <w:spacing w:after="200"/>
            </w:pPr>
            <w:r>
              <w:rPr>
                <w:rFonts w:ascii="Verdana" w:eastAsia="Verdana" w:hAnsi="Verdana" w:cs="Verdana"/>
                <w:b/>
                <w:bCs/>
                <w:color w:val="FFFFFF"/>
                <w:spacing w:val="40"/>
                <w:sz w:val="18"/>
                <w:szCs w:val="18"/>
              </w:rPr>
              <w:t>ADMINISTRATIVE PRACTICE LETTER IV-H</w:t>
            </w:r>
          </w:p>
          <w:p w14:paraId="4F346E64" w14:textId="77777777" w:rsidR="00992B45" w:rsidRDefault="00E14B9D">
            <w:pPr>
              <w:spacing w:after="120"/>
            </w:pPr>
            <w:r>
              <w:rPr>
                <w:rFonts w:ascii="Palatino Linotype" w:eastAsia="Palatino Linotype" w:hAnsi="Palatino Linotype" w:cs="Palatino Linotype"/>
                <w:color w:val="FFFFFF"/>
                <w:sz w:val="48"/>
                <w:szCs w:val="48"/>
              </w:rPr>
              <w:t>Moving &amp; Relocation Expenses</w:t>
            </w:r>
          </w:p>
          <w:p w14:paraId="297BC5E0" w14:textId="77777777" w:rsidR="00992B45" w:rsidRDefault="00E14B9D">
            <w:pPr>
              <w:spacing w:after="240"/>
            </w:pPr>
            <w:r>
              <w:rPr>
                <w:rFonts w:ascii="Palatino Linotype" w:eastAsia="Palatino Linotype" w:hAnsi="Palatino Linotype" w:cs="Palatino Linotype"/>
                <w:color w:val="1178C5"/>
                <w:sz w:val="34"/>
                <w:szCs w:val="34"/>
              </w:rPr>
              <w:t>Questions &amp; Answers</w:t>
            </w:r>
          </w:p>
          <w:p w14:paraId="0C62EA29" w14:textId="77777777" w:rsidR="00992B45" w:rsidRDefault="00992B45">
            <w:pPr>
              <w:pBdr>
                <w:top w:val="single" w:sz="12" w:space="10" w:color="1178C5"/>
              </w:pBdr>
              <w:spacing w:before="60"/>
            </w:pPr>
          </w:p>
          <w:p w14:paraId="49BDDAD2" w14:textId="702AC9C8" w:rsidR="00992B45" w:rsidRDefault="00E14B9D">
            <w:pPr>
              <w:spacing w:before="200"/>
            </w:pPr>
            <w:r>
              <w:rPr>
                <w:color w:val="FFFFFF"/>
              </w:rPr>
              <w:t xml:space="preserve">A plain-language guide to the revised </w:t>
            </w:r>
            <w:r w:rsidR="002B1DE5">
              <w:rPr>
                <w:color w:val="FFFFFF"/>
              </w:rPr>
              <w:t>APL</w:t>
            </w:r>
            <w:r>
              <w:rPr>
                <w:color w:val="FFFFFF"/>
              </w:rPr>
              <w:t>, effective January 1, 2026</w:t>
            </w:r>
            <w:r w:rsidR="006457BC">
              <w:rPr>
                <w:color w:val="FFFFFF"/>
              </w:rPr>
              <w:t>.</w:t>
            </w:r>
          </w:p>
        </w:tc>
      </w:tr>
    </w:tbl>
    <w:p w14:paraId="43A49FCF" w14:textId="77777777" w:rsidR="00992B45" w:rsidRDefault="00992B45">
      <w:pPr>
        <w:spacing w:after="400"/>
      </w:pPr>
    </w:p>
    <w:tbl>
      <w:tblPr>
        <w:tblW w:w="10080" w:type="dxa"/>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CellMar>
          <w:left w:w="10" w:type="dxa"/>
          <w:right w:w="10" w:type="dxa"/>
        </w:tblCellMar>
        <w:tblLook w:val="0000" w:firstRow="0" w:lastRow="0" w:firstColumn="0" w:lastColumn="0" w:noHBand="0" w:noVBand="0"/>
      </w:tblPr>
      <w:tblGrid>
        <w:gridCol w:w="2400"/>
        <w:gridCol w:w="7680"/>
      </w:tblGrid>
      <w:tr w:rsidR="00992B45" w14:paraId="4C747464" w14:textId="77777777">
        <w:trPr>
          <w:tblHeader/>
        </w:trPr>
        <w:tc>
          <w:tcPr>
            <w:tcW w:w="2400" w:type="dxa"/>
            <w:shd w:val="clear" w:color="auto" w:fill="132644"/>
            <w:tcMar>
              <w:top w:w="100" w:type="dxa"/>
              <w:left w:w="140" w:type="dxa"/>
              <w:bottom w:w="100" w:type="dxa"/>
              <w:right w:w="140" w:type="dxa"/>
            </w:tcMar>
            <w:vAlign w:val="center"/>
          </w:tcPr>
          <w:p w14:paraId="1D9398AD" w14:textId="77777777" w:rsidR="00992B45" w:rsidRDefault="00E14B9D">
            <w:r>
              <w:rPr>
                <w:rFonts w:ascii="Verdana" w:eastAsia="Verdana" w:hAnsi="Verdana" w:cs="Verdana"/>
                <w:b/>
                <w:bCs/>
                <w:color w:val="FFFFFF"/>
                <w:sz w:val="20"/>
                <w:szCs w:val="20"/>
              </w:rPr>
              <w:t>Policy detail</w:t>
            </w:r>
          </w:p>
        </w:tc>
        <w:tc>
          <w:tcPr>
            <w:tcW w:w="7680" w:type="dxa"/>
            <w:shd w:val="clear" w:color="auto" w:fill="132644"/>
            <w:tcMar>
              <w:top w:w="100" w:type="dxa"/>
              <w:left w:w="140" w:type="dxa"/>
              <w:bottom w:w="100" w:type="dxa"/>
              <w:right w:w="140" w:type="dxa"/>
            </w:tcMar>
            <w:vAlign w:val="center"/>
          </w:tcPr>
          <w:p w14:paraId="4254DB78" w14:textId="77777777" w:rsidR="00992B45" w:rsidRDefault="00E14B9D">
            <w:r>
              <w:rPr>
                <w:rFonts w:ascii="Verdana" w:eastAsia="Verdana" w:hAnsi="Verdana" w:cs="Verdana"/>
                <w:b/>
                <w:bCs/>
                <w:color w:val="FFFFFF"/>
                <w:sz w:val="20"/>
                <w:szCs w:val="20"/>
              </w:rPr>
              <w:t>Summary</w:t>
            </w:r>
          </w:p>
        </w:tc>
      </w:tr>
      <w:tr w:rsidR="00992B45" w14:paraId="7CE5A4F4" w14:textId="77777777">
        <w:tc>
          <w:tcPr>
            <w:tcW w:w="2400" w:type="dxa"/>
            <w:shd w:val="clear" w:color="auto" w:fill="FFFFFF"/>
            <w:tcMar>
              <w:top w:w="100" w:type="dxa"/>
              <w:left w:w="140" w:type="dxa"/>
              <w:bottom w:w="100" w:type="dxa"/>
              <w:right w:w="140" w:type="dxa"/>
            </w:tcMar>
          </w:tcPr>
          <w:p w14:paraId="2AA20C74" w14:textId="77777777" w:rsidR="00992B45" w:rsidRDefault="00E14B9D">
            <w:pPr>
              <w:spacing w:line="264" w:lineRule="auto"/>
            </w:pPr>
            <w:r>
              <w:rPr>
                <w:b/>
                <w:bCs/>
                <w:sz w:val="20"/>
                <w:szCs w:val="20"/>
              </w:rPr>
              <w:t>Policy</w:t>
            </w:r>
          </w:p>
        </w:tc>
        <w:tc>
          <w:tcPr>
            <w:tcW w:w="7680" w:type="dxa"/>
            <w:shd w:val="clear" w:color="auto" w:fill="FFFFFF"/>
            <w:tcMar>
              <w:top w:w="100" w:type="dxa"/>
              <w:left w:w="140" w:type="dxa"/>
              <w:bottom w:w="100" w:type="dxa"/>
              <w:right w:w="140" w:type="dxa"/>
            </w:tcMar>
          </w:tcPr>
          <w:p w14:paraId="25C475BD" w14:textId="77777777" w:rsidR="00992B45" w:rsidRDefault="00E14B9D">
            <w:pPr>
              <w:spacing w:line="264" w:lineRule="auto"/>
            </w:pPr>
            <w:r>
              <w:rPr>
                <w:sz w:val="20"/>
                <w:szCs w:val="20"/>
              </w:rPr>
              <w:t>Administrative Practice Letter IV-H — Moving and Relocation Expenses</w:t>
            </w:r>
          </w:p>
        </w:tc>
      </w:tr>
      <w:tr w:rsidR="00992B45" w14:paraId="3EB9E7FC" w14:textId="77777777">
        <w:tc>
          <w:tcPr>
            <w:tcW w:w="2400" w:type="dxa"/>
            <w:shd w:val="clear" w:color="auto" w:fill="F0F0F0"/>
            <w:tcMar>
              <w:top w:w="100" w:type="dxa"/>
              <w:left w:w="140" w:type="dxa"/>
              <w:bottom w:w="100" w:type="dxa"/>
              <w:right w:w="140" w:type="dxa"/>
            </w:tcMar>
          </w:tcPr>
          <w:p w14:paraId="10F627EB" w14:textId="77777777" w:rsidR="00992B45" w:rsidRDefault="00E14B9D">
            <w:pPr>
              <w:spacing w:line="264" w:lineRule="auto"/>
            </w:pPr>
            <w:r>
              <w:rPr>
                <w:b/>
                <w:bCs/>
                <w:sz w:val="20"/>
                <w:szCs w:val="20"/>
              </w:rPr>
              <w:t>Effective date</w:t>
            </w:r>
          </w:p>
        </w:tc>
        <w:tc>
          <w:tcPr>
            <w:tcW w:w="7680" w:type="dxa"/>
            <w:shd w:val="clear" w:color="auto" w:fill="F0F0F0"/>
            <w:tcMar>
              <w:top w:w="100" w:type="dxa"/>
              <w:left w:w="140" w:type="dxa"/>
              <w:bottom w:w="100" w:type="dxa"/>
              <w:right w:w="140" w:type="dxa"/>
            </w:tcMar>
          </w:tcPr>
          <w:p w14:paraId="4E661ED6" w14:textId="77777777" w:rsidR="00992B45" w:rsidRDefault="00E14B9D">
            <w:pPr>
              <w:spacing w:line="264" w:lineRule="auto"/>
            </w:pPr>
            <w:r>
              <w:rPr>
                <w:sz w:val="20"/>
                <w:szCs w:val="20"/>
              </w:rPr>
              <w:t>January 1, 2026</w:t>
            </w:r>
          </w:p>
        </w:tc>
      </w:tr>
      <w:tr w:rsidR="00992B45" w14:paraId="4F7B6823" w14:textId="77777777">
        <w:tc>
          <w:tcPr>
            <w:tcW w:w="2400" w:type="dxa"/>
            <w:shd w:val="clear" w:color="auto" w:fill="FFFFFF"/>
            <w:tcMar>
              <w:top w:w="100" w:type="dxa"/>
              <w:left w:w="140" w:type="dxa"/>
              <w:bottom w:w="100" w:type="dxa"/>
              <w:right w:w="140" w:type="dxa"/>
            </w:tcMar>
          </w:tcPr>
          <w:p w14:paraId="7D058C21" w14:textId="77777777" w:rsidR="00992B45" w:rsidRDefault="00E14B9D">
            <w:pPr>
              <w:spacing w:line="264" w:lineRule="auto"/>
            </w:pPr>
            <w:r>
              <w:rPr>
                <w:b/>
                <w:bCs/>
                <w:sz w:val="20"/>
                <w:szCs w:val="20"/>
              </w:rPr>
              <w:t>Applies to</w:t>
            </w:r>
          </w:p>
        </w:tc>
        <w:tc>
          <w:tcPr>
            <w:tcW w:w="7680" w:type="dxa"/>
            <w:shd w:val="clear" w:color="auto" w:fill="FFFFFF"/>
            <w:tcMar>
              <w:top w:w="100" w:type="dxa"/>
              <w:left w:w="140" w:type="dxa"/>
              <w:bottom w:w="100" w:type="dxa"/>
              <w:right w:w="140" w:type="dxa"/>
            </w:tcMar>
          </w:tcPr>
          <w:p w14:paraId="58DDC92B" w14:textId="77777777" w:rsidR="00992B45" w:rsidRDefault="00E14B9D">
            <w:pPr>
              <w:spacing w:line="264" w:lineRule="auto"/>
            </w:pPr>
            <w:r>
              <w:rPr>
                <w:sz w:val="20"/>
                <w:szCs w:val="20"/>
              </w:rPr>
              <w:t>All University of Maine System universities, Governance and University Services, and any department or unit that authorizes, reimburses, or pays moving or relocation expenses</w:t>
            </w:r>
          </w:p>
        </w:tc>
      </w:tr>
      <w:tr w:rsidR="00992B45" w14:paraId="25E6FDFB" w14:textId="77777777">
        <w:tc>
          <w:tcPr>
            <w:tcW w:w="2400" w:type="dxa"/>
            <w:shd w:val="clear" w:color="auto" w:fill="F0F0F0"/>
            <w:tcMar>
              <w:top w:w="100" w:type="dxa"/>
              <w:left w:w="140" w:type="dxa"/>
              <w:bottom w:w="100" w:type="dxa"/>
              <w:right w:w="140" w:type="dxa"/>
            </w:tcMar>
          </w:tcPr>
          <w:p w14:paraId="4C56E7AC" w14:textId="77777777" w:rsidR="00992B45" w:rsidRDefault="00E14B9D">
            <w:pPr>
              <w:spacing w:line="264" w:lineRule="auto"/>
            </w:pPr>
            <w:r>
              <w:rPr>
                <w:b/>
                <w:bCs/>
                <w:sz w:val="20"/>
                <w:szCs w:val="20"/>
              </w:rPr>
              <w:t>Covers</w:t>
            </w:r>
          </w:p>
        </w:tc>
        <w:tc>
          <w:tcPr>
            <w:tcW w:w="7680" w:type="dxa"/>
            <w:shd w:val="clear" w:color="auto" w:fill="F0F0F0"/>
            <w:tcMar>
              <w:top w:w="100" w:type="dxa"/>
              <w:left w:w="140" w:type="dxa"/>
              <w:bottom w:w="100" w:type="dxa"/>
              <w:right w:w="140" w:type="dxa"/>
            </w:tcMar>
          </w:tcPr>
          <w:p w14:paraId="3D028CF9" w14:textId="77777777" w:rsidR="00992B45" w:rsidRDefault="00E14B9D">
            <w:pPr>
              <w:spacing w:line="264" w:lineRule="auto"/>
            </w:pPr>
            <w:r>
              <w:rPr>
                <w:sz w:val="20"/>
                <w:szCs w:val="20"/>
              </w:rPr>
              <w:t>Reimbursements, allowances, lump-sum payments, and any approved payment made to or on behalf of an employee or prospective employee</w:t>
            </w:r>
          </w:p>
        </w:tc>
      </w:tr>
      <w:tr w:rsidR="00992B45" w14:paraId="6328F493" w14:textId="77777777">
        <w:tc>
          <w:tcPr>
            <w:tcW w:w="2400" w:type="dxa"/>
            <w:shd w:val="clear" w:color="auto" w:fill="FFFFFF"/>
            <w:tcMar>
              <w:top w:w="100" w:type="dxa"/>
              <w:left w:w="140" w:type="dxa"/>
              <w:bottom w:w="100" w:type="dxa"/>
              <w:right w:w="140" w:type="dxa"/>
            </w:tcMar>
          </w:tcPr>
          <w:p w14:paraId="29AA51A3" w14:textId="77777777" w:rsidR="00992B45" w:rsidRDefault="00E14B9D">
            <w:pPr>
              <w:spacing w:line="264" w:lineRule="auto"/>
            </w:pPr>
            <w:r>
              <w:rPr>
                <w:b/>
                <w:bCs/>
                <w:sz w:val="20"/>
                <w:szCs w:val="20"/>
              </w:rPr>
              <w:t>Processed by</w:t>
            </w:r>
          </w:p>
        </w:tc>
        <w:tc>
          <w:tcPr>
            <w:tcW w:w="7680" w:type="dxa"/>
            <w:shd w:val="clear" w:color="auto" w:fill="FFFFFF"/>
            <w:tcMar>
              <w:top w:w="100" w:type="dxa"/>
              <w:left w:w="140" w:type="dxa"/>
              <w:bottom w:w="100" w:type="dxa"/>
              <w:right w:w="140" w:type="dxa"/>
            </w:tcMar>
          </w:tcPr>
          <w:p w14:paraId="060AB0B0" w14:textId="77777777" w:rsidR="00992B45" w:rsidRDefault="00E14B9D">
            <w:pPr>
              <w:spacing w:line="264" w:lineRule="auto"/>
            </w:pPr>
            <w:r>
              <w:rPr>
                <w:sz w:val="20"/>
                <w:szCs w:val="20"/>
              </w:rPr>
              <w:t>University Services Payroll Office, through the regular payroll cycle</w:t>
            </w:r>
          </w:p>
        </w:tc>
      </w:tr>
      <w:tr w:rsidR="00992B45" w14:paraId="0BFD1487" w14:textId="77777777">
        <w:tc>
          <w:tcPr>
            <w:tcW w:w="2400" w:type="dxa"/>
            <w:shd w:val="clear" w:color="auto" w:fill="F0F0F0"/>
            <w:tcMar>
              <w:top w:w="100" w:type="dxa"/>
              <w:left w:w="140" w:type="dxa"/>
              <w:bottom w:w="100" w:type="dxa"/>
              <w:right w:w="140" w:type="dxa"/>
            </w:tcMar>
          </w:tcPr>
          <w:p w14:paraId="353BA4CA" w14:textId="77777777" w:rsidR="00992B45" w:rsidRDefault="00E14B9D">
            <w:pPr>
              <w:spacing w:line="264" w:lineRule="auto"/>
            </w:pPr>
            <w:r>
              <w:rPr>
                <w:b/>
                <w:bCs/>
                <w:sz w:val="20"/>
                <w:szCs w:val="20"/>
              </w:rPr>
              <w:t>Approved by</w:t>
            </w:r>
          </w:p>
        </w:tc>
        <w:tc>
          <w:tcPr>
            <w:tcW w:w="7680" w:type="dxa"/>
            <w:shd w:val="clear" w:color="auto" w:fill="F0F0F0"/>
            <w:tcMar>
              <w:top w:w="100" w:type="dxa"/>
              <w:left w:w="140" w:type="dxa"/>
              <w:bottom w:w="100" w:type="dxa"/>
              <w:right w:w="140" w:type="dxa"/>
            </w:tcMar>
          </w:tcPr>
          <w:p w14:paraId="4C2D96C0" w14:textId="77777777" w:rsidR="00992B45" w:rsidRDefault="00E14B9D">
            <w:pPr>
              <w:spacing w:line="264" w:lineRule="auto"/>
            </w:pPr>
            <w:r>
              <w:rPr>
                <w:sz w:val="20"/>
                <w:szCs w:val="20"/>
              </w:rPr>
              <w:t>Vice Chancellor for Finance and Treasurer, University of Maine System</w:t>
            </w:r>
          </w:p>
        </w:tc>
      </w:tr>
      <w:tr w:rsidR="00992B45" w14:paraId="399FDF04" w14:textId="77777777">
        <w:tc>
          <w:tcPr>
            <w:tcW w:w="2400" w:type="dxa"/>
            <w:shd w:val="clear" w:color="auto" w:fill="FFFFFF"/>
            <w:tcMar>
              <w:top w:w="100" w:type="dxa"/>
              <w:left w:w="140" w:type="dxa"/>
              <w:bottom w:w="100" w:type="dxa"/>
              <w:right w:w="140" w:type="dxa"/>
            </w:tcMar>
          </w:tcPr>
          <w:p w14:paraId="07092B2E" w14:textId="77777777" w:rsidR="00992B45" w:rsidRDefault="00E14B9D">
            <w:pPr>
              <w:spacing w:line="264" w:lineRule="auto"/>
            </w:pPr>
            <w:r>
              <w:rPr>
                <w:b/>
                <w:bCs/>
                <w:sz w:val="20"/>
                <w:szCs w:val="20"/>
              </w:rPr>
              <w:t>Related policy</w:t>
            </w:r>
          </w:p>
        </w:tc>
        <w:tc>
          <w:tcPr>
            <w:tcW w:w="7680" w:type="dxa"/>
            <w:shd w:val="clear" w:color="auto" w:fill="FFFFFF"/>
            <w:tcMar>
              <w:top w:w="100" w:type="dxa"/>
              <w:left w:w="140" w:type="dxa"/>
              <w:bottom w:w="100" w:type="dxa"/>
              <w:right w:w="140" w:type="dxa"/>
            </w:tcMar>
          </w:tcPr>
          <w:p w14:paraId="05CA36AB" w14:textId="77777777" w:rsidR="00992B45" w:rsidRDefault="00E14B9D">
            <w:pPr>
              <w:spacing w:line="264" w:lineRule="auto"/>
            </w:pPr>
            <w:r>
              <w:rPr>
                <w:sz w:val="20"/>
                <w:szCs w:val="20"/>
              </w:rPr>
              <w:t>APL IV-I Use of University Funds</w:t>
            </w:r>
          </w:p>
        </w:tc>
      </w:tr>
    </w:tbl>
    <w:p w14:paraId="453B6C54" w14:textId="77777777" w:rsidR="00992B45" w:rsidRDefault="00992B45">
      <w:pPr>
        <w:spacing w:after="320"/>
      </w:pPr>
    </w:p>
    <w:tbl>
      <w:tblPr>
        <w:tblW w:w="10080" w:type="dxa"/>
        <w:tblBorders>
          <w:left w:val="single" w:sz="24" w:space="0" w:color="1178C5"/>
        </w:tblBorders>
        <w:tblCellMar>
          <w:left w:w="10" w:type="dxa"/>
          <w:right w:w="10" w:type="dxa"/>
        </w:tblCellMar>
        <w:tblLook w:val="0000" w:firstRow="0" w:lastRow="0" w:firstColumn="0" w:lastColumn="0" w:noHBand="0" w:noVBand="0"/>
      </w:tblPr>
      <w:tblGrid>
        <w:gridCol w:w="10080"/>
      </w:tblGrid>
      <w:tr w:rsidR="00992B45" w14:paraId="17C82ADB" w14:textId="77777777">
        <w:tc>
          <w:tcPr>
            <w:tcW w:w="10080" w:type="dxa"/>
            <w:shd w:val="clear" w:color="auto" w:fill="F0F0F0"/>
            <w:tcMar>
              <w:top w:w="160" w:type="dxa"/>
              <w:left w:w="220" w:type="dxa"/>
              <w:bottom w:w="160" w:type="dxa"/>
              <w:right w:w="220" w:type="dxa"/>
            </w:tcMar>
          </w:tcPr>
          <w:p w14:paraId="13B79E1F" w14:textId="77777777" w:rsidR="00992B45" w:rsidRDefault="00E14B9D">
            <w:pPr>
              <w:spacing w:after="60"/>
            </w:pPr>
            <w:r>
              <w:rPr>
                <w:rFonts w:ascii="Verdana" w:eastAsia="Verdana" w:hAnsi="Verdana" w:cs="Verdana"/>
                <w:b/>
                <w:bCs/>
                <w:color w:val="1178C5"/>
                <w:spacing w:val="20"/>
                <w:sz w:val="16"/>
                <w:szCs w:val="16"/>
              </w:rPr>
              <w:t>ABOUT THIS GUIDE</w:t>
            </w:r>
          </w:p>
          <w:p w14:paraId="71EC7818" w14:textId="6751C3F6" w:rsidR="00992B45" w:rsidRDefault="00E14B9D" w:rsidP="002B1DE5">
            <w:pPr>
              <w:spacing w:after="100" w:line="276" w:lineRule="auto"/>
            </w:pPr>
            <w:r>
              <w:rPr>
                <w:sz w:val="21"/>
                <w:szCs w:val="21"/>
              </w:rPr>
              <w:t>This Q&amp;A summarizes Administrative Practice Letter IV-H and is intended to help hiring departments, business officers, and employees apply it consistently.</w:t>
            </w:r>
          </w:p>
        </w:tc>
      </w:tr>
    </w:tbl>
    <w:p w14:paraId="7520CA07" w14:textId="77777777" w:rsidR="00992B45" w:rsidRDefault="00E14B9D">
      <w:r>
        <w:br w:type="page"/>
      </w:r>
    </w:p>
    <w:p w14:paraId="05F370C6" w14:textId="77777777" w:rsidR="00992B45" w:rsidRDefault="00E14B9D">
      <w:pPr>
        <w:pStyle w:val="Heading1"/>
        <w:pBdr>
          <w:bottom w:val="single" w:sz="18" w:space="6" w:color="1178C5"/>
        </w:pBdr>
        <w:spacing w:before="360" w:after="200"/>
      </w:pPr>
      <w:r>
        <w:rPr>
          <w:rFonts w:ascii="Palatino Linotype" w:eastAsia="Palatino Linotype" w:hAnsi="Palatino Linotype" w:cs="Palatino Linotype"/>
          <w:color w:val="132644"/>
          <w:sz w:val="30"/>
          <w:szCs w:val="30"/>
        </w:rPr>
        <w:lastRenderedPageBreak/>
        <w:t>1.  The basics</w:t>
      </w:r>
    </w:p>
    <w:p w14:paraId="285E77A2" w14:textId="20973077" w:rsidR="00992B45" w:rsidRDefault="00E14B9D">
      <w:pPr>
        <w:pStyle w:val="Heading2"/>
        <w:keepNext/>
        <w:spacing w:before="260" w:after="100"/>
      </w:pPr>
      <w:r>
        <w:rPr>
          <w:rFonts w:ascii="Verdana" w:eastAsia="Verdana" w:hAnsi="Verdana" w:cs="Verdana"/>
          <w:b/>
          <w:bCs/>
          <w:color w:val="1178C5"/>
          <w:sz w:val="21"/>
          <w:szCs w:val="21"/>
        </w:rPr>
        <w:t>Q</w:t>
      </w:r>
      <w:r w:rsidR="00FB66D1">
        <w:rPr>
          <w:rFonts w:ascii="Verdana" w:eastAsia="Verdana" w:hAnsi="Verdana" w:cs="Verdana"/>
          <w:b/>
          <w:bCs/>
          <w:color w:val="1178C5"/>
          <w:sz w:val="21"/>
          <w:szCs w:val="21"/>
        </w:rPr>
        <w:t>1</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Is the System required to pay moving expenses for a new hire?</w:t>
      </w:r>
    </w:p>
    <w:p w14:paraId="4B203A46" w14:textId="77777777" w:rsidR="00992B45" w:rsidRDefault="00E14B9D">
      <w:pPr>
        <w:spacing w:after="140" w:line="276" w:lineRule="auto"/>
      </w:pPr>
      <w:r>
        <w:t>No. The System may authorize these payments when they are necessary and appropriate to support hiring or another approved business need. Moving support is a discretionary recruiting tool, not an entitlement, and each payment must be properly authorized and documented.</w:t>
      </w:r>
    </w:p>
    <w:p w14:paraId="2E6860A7" w14:textId="77777777" w:rsidR="00992B45" w:rsidRDefault="00E14B9D">
      <w:pPr>
        <w:pStyle w:val="Heading1"/>
        <w:pBdr>
          <w:bottom w:val="single" w:sz="18" w:space="6" w:color="1178C5"/>
        </w:pBdr>
        <w:spacing w:before="360" w:after="200"/>
      </w:pPr>
      <w:r>
        <w:rPr>
          <w:rFonts w:ascii="Palatino Linotype" w:eastAsia="Palatino Linotype" w:hAnsi="Palatino Linotype" w:cs="Palatino Linotype"/>
          <w:color w:val="132644"/>
          <w:sz w:val="30"/>
          <w:szCs w:val="30"/>
        </w:rPr>
        <w:t>2.  Tax treatment</w:t>
      </w:r>
    </w:p>
    <w:p w14:paraId="7550BC9C" w14:textId="05152398" w:rsidR="00992B45" w:rsidRDefault="00E14B9D">
      <w:pPr>
        <w:pStyle w:val="Heading2"/>
        <w:keepNext/>
        <w:spacing w:before="260" w:after="100"/>
      </w:pPr>
      <w:r>
        <w:rPr>
          <w:rFonts w:ascii="Verdana" w:eastAsia="Verdana" w:hAnsi="Verdana" w:cs="Verdana"/>
          <w:b/>
          <w:bCs/>
          <w:color w:val="1178C5"/>
          <w:sz w:val="21"/>
          <w:szCs w:val="21"/>
        </w:rPr>
        <w:t>Q</w:t>
      </w:r>
      <w:r w:rsidR="00FB66D1">
        <w:rPr>
          <w:rFonts w:ascii="Verdana" w:eastAsia="Verdana" w:hAnsi="Verdana" w:cs="Verdana"/>
          <w:b/>
          <w:bCs/>
          <w:color w:val="1178C5"/>
          <w:sz w:val="21"/>
          <w:szCs w:val="21"/>
        </w:rPr>
        <w:t>2</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Are moving and relocation payments taxable?</w:t>
      </w:r>
    </w:p>
    <w:p w14:paraId="356093A0" w14:textId="170329E8" w:rsidR="00992B45" w:rsidRDefault="00E14B9D">
      <w:pPr>
        <w:spacing w:after="140" w:line="276" w:lineRule="auto"/>
      </w:pPr>
      <w:r>
        <w:t xml:space="preserve">Yes. Under current federal tax law, employer-paid moving and relocation expenses are generally </w:t>
      </w:r>
      <w:r>
        <w:rPr>
          <w:b/>
          <w:bCs/>
        </w:rPr>
        <w:t>taxable</w:t>
      </w:r>
      <w:r>
        <w:t xml:space="preserve"> to the employee. </w:t>
      </w:r>
    </w:p>
    <w:p w14:paraId="550C2AC7" w14:textId="6BBAD369" w:rsidR="00992B45" w:rsidRDefault="00E14B9D">
      <w:pPr>
        <w:pStyle w:val="Heading2"/>
        <w:keepNext/>
        <w:spacing w:before="260" w:after="100"/>
      </w:pPr>
      <w:r>
        <w:rPr>
          <w:rFonts w:ascii="Verdana" w:eastAsia="Verdana" w:hAnsi="Verdana" w:cs="Verdana"/>
          <w:b/>
          <w:bCs/>
          <w:color w:val="1178C5"/>
          <w:sz w:val="21"/>
          <w:szCs w:val="21"/>
        </w:rPr>
        <w:t>Q</w:t>
      </w:r>
      <w:r w:rsidR="00FB66D1">
        <w:rPr>
          <w:rFonts w:ascii="Verdana" w:eastAsia="Verdana" w:hAnsi="Verdana" w:cs="Verdana"/>
          <w:b/>
          <w:bCs/>
          <w:color w:val="1178C5"/>
          <w:sz w:val="21"/>
          <w:szCs w:val="21"/>
        </w:rPr>
        <w:t>3</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Which kinds of payments are taxable?</w:t>
      </w:r>
    </w:p>
    <w:p w14:paraId="4ED20356" w14:textId="77464B46" w:rsidR="00992B45" w:rsidRDefault="00E14B9D">
      <w:pPr>
        <w:spacing w:after="140" w:line="276" w:lineRule="auto"/>
      </w:pPr>
      <w:r>
        <w:t>All of them:</w:t>
      </w:r>
    </w:p>
    <w:p w14:paraId="69D6DB6C" w14:textId="77777777" w:rsidR="00992B45" w:rsidRDefault="00E14B9D">
      <w:pPr>
        <w:pStyle w:val="ListParagraph"/>
        <w:numPr>
          <w:ilvl w:val="0"/>
          <w:numId w:val="2"/>
        </w:numPr>
        <w:spacing w:after="80" w:line="276" w:lineRule="auto"/>
      </w:pPr>
      <w:r>
        <w:t>Amounts reimbursed directly to the employee</w:t>
      </w:r>
    </w:p>
    <w:p w14:paraId="72ACAEA0" w14:textId="77777777" w:rsidR="00992B45" w:rsidRDefault="00E14B9D">
      <w:pPr>
        <w:pStyle w:val="ListParagraph"/>
        <w:numPr>
          <w:ilvl w:val="0"/>
          <w:numId w:val="2"/>
        </w:numPr>
        <w:spacing w:after="80" w:line="276" w:lineRule="auto"/>
      </w:pPr>
      <w:r>
        <w:t>Allowances or lump-sum amounts paid to the employee</w:t>
      </w:r>
    </w:p>
    <w:p w14:paraId="65B41BA5" w14:textId="77777777" w:rsidR="00992B45" w:rsidRDefault="00E14B9D">
      <w:pPr>
        <w:pStyle w:val="ListParagraph"/>
        <w:numPr>
          <w:ilvl w:val="0"/>
          <w:numId w:val="2"/>
        </w:numPr>
        <w:spacing w:after="80" w:line="276" w:lineRule="auto"/>
      </w:pPr>
      <w:r>
        <w:t>Amounts paid to a third-party vendor on behalf of the employee</w:t>
      </w:r>
    </w:p>
    <w:p w14:paraId="49957BF5" w14:textId="77777777" w:rsidR="00992B45" w:rsidRDefault="00E14B9D">
      <w:pPr>
        <w:spacing w:after="140" w:line="276" w:lineRule="auto"/>
      </w:pPr>
      <w:r>
        <w:t>Routing a payment through a vendor rather than the employee does not change the tax result.</w:t>
      </w:r>
    </w:p>
    <w:p w14:paraId="06C138E1" w14:textId="293C7B41" w:rsidR="00992B45" w:rsidRDefault="00E14B9D">
      <w:pPr>
        <w:pStyle w:val="Heading2"/>
        <w:keepNext/>
        <w:spacing w:before="260" w:after="100"/>
      </w:pPr>
      <w:r>
        <w:rPr>
          <w:rFonts w:ascii="Verdana" w:eastAsia="Verdana" w:hAnsi="Verdana" w:cs="Verdana"/>
          <w:b/>
          <w:bCs/>
          <w:color w:val="1178C5"/>
          <w:sz w:val="21"/>
          <w:szCs w:val="21"/>
        </w:rPr>
        <w:t>Q</w:t>
      </w:r>
      <w:r w:rsidR="00FB66D1">
        <w:rPr>
          <w:rFonts w:ascii="Verdana" w:eastAsia="Verdana" w:hAnsi="Verdana" w:cs="Verdana"/>
          <w:b/>
          <w:bCs/>
          <w:color w:val="1178C5"/>
          <w:sz w:val="21"/>
          <w:szCs w:val="21"/>
        </w:rPr>
        <w:t>4</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Weren’t these payments excluded from income at one time?</w:t>
      </w:r>
    </w:p>
    <w:p w14:paraId="3DAFBF2B" w14:textId="77777777" w:rsidR="00992B45" w:rsidRDefault="00E14B9D">
      <w:pPr>
        <w:spacing w:after="140" w:line="276" w:lineRule="auto"/>
      </w:pPr>
      <w:r>
        <w:t>They were. The Tax Cuts and Jobs Act of 2017 suspended the exclusion from income for qualified moving expense reimbursements for most employees beginning January 1, 2018. Subsequent federal legislation made that treatment permanent for most employees.</w:t>
      </w:r>
    </w:p>
    <w:p w14:paraId="1A45ADA3" w14:textId="1850AA18" w:rsidR="00992B45" w:rsidRDefault="00E14B9D">
      <w:pPr>
        <w:pStyle w:val="Heading2"/>
        <w:keepNext/>
        <w:spacing w:before="260" w:after="100"/>
      </w:pPr>
      <w:r>
        <w:rPr>
          <w:rFonts w:ascii="Verdana" w:eastAsia="Verdana" w:hAnsi="Verdana" w:cs="Verdana"/>
          <w:b/>
          <w:bCs/>
          <w:color w:val="1178C5"/>
          <w:sz w:val="21"/>
          <w:szCs w:val="21"/>
        </w:rPr>
        <w:t>Q</w:t>
      </w:r>
      <w:r w:rsidR="00FB66D1">
        <w:rPr>
          <w:rFonts w:ascii="Verdana" w:eastAsia="Verdana" w:hAnsi="Verdana" w:cs="Verdana"/>
          <w:b/>
          <w:bCs/>
          <w:color w:val="1178C5"/>
          <w:sz w:val="21"/>
          <w:szCs w:val="21"/>
        </w:rPr>
        <w:t>5</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What withholding and reporting applies?</w:t>
      </w:r>
    </w:p>
    <w:p w14:paraId="7E2317F5" w14:textId="77777777" w:rsidR="00992B45" w:rsidRDefault="00E14B9D">
      <w:pPr>
        <w:spacing w:after="140" w:line="276" w:lineRule="auto"/>
      </w:pPr>
      <w:r>
        <w:t>Moving and relocation payments are treated as taxable wages and are subject to applicable federal, state, Social Security, and Medicare tax withholding and reporting.</w:t>
      </w:r>
    </w:p>
    <w:p w14:paraId="235B18BA" w14:textId="55562EE3" w:rsidR="00992B45" w:rsidRDefault="00E14B9D">
      <w:pPr>
        <w:pStyle w:val="Heading2"/>
        <w:keepNext/>
        <w:spacing w:before="260" w:after="100"/>
      </w:pPr>
      <w:r>
        <w:rPr>
          <w:rFonts w:ascii="Verdana" w:eastAsia="Verdana" w:hAnsi="Verdana" w:cs="Verdana"/>
          <w:b/>
          <w:bCs/>
          <w:color w:val="1178C5"/>
          <w:sz w:val="21"/>
          <w:szCs w:val="21"/>
        </w:rPr>
        <w:t>Q</w:t>
      </w:r>
      <w:r w:rsidR="00FB66D1">
        <w:rPr>
          <w:rFonts w:ascii="Verdana" w:eastAsia="Verdana" w:hAnsi="Verdana" w:cs="Verdana"/>
          <w:b/>
          <w:bCs/>
          <w:color w:val="1178C5"/>
          <w:sz w:val="21"/>
          <w:szCs w:val="21"/>
        </w:rPr>
        <w:t>6</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Are there any exceptions to taxability?</w:t>
      </w:r>
    </w:p>
    <w:p w14:paraId="78D061D2" w14:textId="1BE15211" w:rsidR="00992B45" w:rsidRDefault="00FB66D1">
      <w:pPr>
        <w:spacing w:after="140" w:line="276" w:lineRule="auto"/>
      </w:pPr>
      <w:r>
        <w:t>Yes, these l</w:t>
      </w:r>
      <w:r w:rsidR="00E14B9D">
        <w:t>imited ones, under federal law: certain active-duty members of the U.S. Armed Forces moving pursuant to military orders, and certain intelligence community employees.</w:t>
      </w:r>
    </w:p>
    <w:p w14:paraId="6D45B5B7" w14:textId="12151FB1" w:rsidR="00992B45" w:rsidRDefault="00E14B9D">
      <w:pPr>
        <w:pStyle w:val="Heading2"/>
        <w:keepNext/>
        <w:spacing w:before="260" w:after="100"/>
      </w:pPr>
      <w:r>
        <w:rPr>
          <w:rFonts w:ascii="Verdana" w:eastAsia="Verdana" w:hAnsi="Verdana" w:cs="Verdana"/>
          <w:b/>
          <w:bCs/>
          <w:color w:val="1178C5"/>
          <w:sz w:val="21"/>
          <w:szCs w:val="21"/>
        </w:rPr>
        <w:t>Q</w:t>
      </w:r>
      <w:r w:rsidR="00FB66D1">
        <w:rPr>
          <w:rFonts w:ascii="Verdana" w:eastAsia="Verdana" w:hAnsi="Verdana" w:cs="Verdana"/>
          <w:b/>
          <w:bCs/>
          <w:color w:val="1178C5"/>
          <w:sz w:val="21"/>
          <w:szCs w:val="21"/>
        </w:rPr>
        <w:t>7</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What if we believe a payment qualifies as non-taxable?</w:t>
      </w:r>
    </w:p>
    <w:p w14:paraId="26591436" w14:textId="541CB8A3" w:rsidR="00992B45" w:rsidRDefault="00E14B9D">
      <w:pPr>
        <w:spacing w:after="140" w:line="276" w:lineRule="auto"/>
      </w:pPr>
      <w:r>
        <w:t xml:space="preserve">Any request to treat a moving or relocation payment as non-taxable must be reviewed and approved by the University Services Payroll Office </w:t>
      </w:r>
      <w:r>
        <w:rPr>
          <w:b/>
          <w:bCs/>
        </w:rPr>
        <w:t>before payment is made</w:t>
      </w:r>
      <w:r>
        <w:t xml:space="preserve">. Do not assume an exception applies, and do not represent a payment as tax-free to a candidate </w:t>
      </w:r>
      <w:r w:rsidR="00FB66D1">
        <w:t xml:space="preserve">or employee </w:t>
      </w:r>
      <w:r>
        <w:t>before Payroll has confirmed it.</w:t>
      </w:r>
    </w:p>
    <w:p w14:paraId="4269104B" w14:textId="77777777" w:rsidR="00992B45" w:rsidRDefault="00992B45">
      <w:pPr>
        <w:spacing w:after="60"/>
      </w:pPr>
    </w:p>
    <w:tbl>
      <w:tblPr>
        <w:tblW w:w="10080" w:type="dxa"/>
        <w:tblBorders>
          <w:left w:val="single" w:sz="24" w:space="0" w:color="1178C5"/>
        </w:tblBorders>
        <w:tblCellMar>
          <w:left w:w="10" w:type="dxa"/>
          <w:right w:w="10" w:type="dxa"/>
        </w:tblCellMar>
        <w:tblLook w:val="0000" w:firstRow="0" w:lastRow="0" w:firstColumn="0" w:lastColumn="0" w:noHBand="0" w:noVBand="0"/>
      </w:tblPr>
      <w:tblGrid>
        <w:gridCol w:w="10080"/>
      </w:tblGrid>
      <w:tr w:rsidR="00992B45" w14:paraId="7B924A4F" w14:textId="77777777">
        <w:tc>
          <w:tcPr>
            <w:tcW w:w="10080" w:type="dxa"/>
            <w:shd w:val="clear" w:color="auto" w:fill="F0F0F0"/>
            <w:tcMar>
              <w:top w:w="160" w:type="dxa"/>
              <w:left w:w="220" w:type="dxa"/>
              <w:bottom w:w="160" w:type="dxa"/>
              <w:right w:w="220" w:type="dxa"/>
            </w:tcMar>
          </w:tcPr>
          <w:p w14:paraId="53A2DB52" w14:textId="702959E9" w:rsidR="00992B45" w:rsidRDefault="00E14B9D">
            <w:pPr>
              <w:spacing w:after="60"/>
            </w:pPr>
            <w:r>
              <w:rPr>
                <w:rFonts w:ascii="Verdana" w:eastAsia="Verdana" w:hAnsi="Verdana" w:cs="Verdana"/>
                <w:b/>
                <w:bCs/>
                <w:color w:val="1178C5"/>
                <w:spacing w:val="20"/>
                <w:sz w:val="16"/>
                <w:szCs w:val="16"/>
              </w:rPr>
              <w:t>TALKING TO CANDIDATES</w:t>
            </w:r>
          </w:p>
          <w:p w14:paraId="29C4BCF8" w14:textId="63579BBE" w:rsidR="00992B45" w:rsidRDefault="00E14B9D">
            <w:pPr>
              <w:spacing w:line="276" w:lineRule="auto"/>
            </w:pPr>
            <w:r>
              <w:rPr>
                <w:sz w:val="21"/>
                <w:szCs w:val="21"/>
              </w:rPr>
              <w:lastRenderedPageBreak/>
              <w:t xml:space="preserve">Because the payment is taxable wages, the amount a new hire </w:t>
            </w:r>
            <w:r w:rsidR="007364BE">
              <w:rPr>
                <w:sz w:val="21"/>
                <w:szCs w:val="21"/>
              </w:rPr>
              <w:t>receives</w:t>
            </w:r>
            <w:r>
              <w:rPr>
                <w:sz w:val="21"/>
                <w:szCs w:val="21"/>
              </w:rPr>
              <w:t xml:space="preserve"> will be less than the figure named in the offer. Departments should say so plainly at the offer stage so the candidate can plan. </w:t>
            </w:r>
            <w:r w:rsidR="00FB66D1">
              <w:rPr>
                <w:sz w:val="21"/>
                <w:szCs w:val="21"/>
              </w:rPr>
              <w:t xml:space="preserve">The University will </w:t>
            </w:r>
            <w:r w:rsidR="00FB66D1" w:rsidRPr="00FB66D1">
              <w:rPr>
                <w:b/>
                <w:bCs/>
                <w:sz w:val="21"/>
                <w:szCs w:val="21"/>
              </w:rPr>
              <w:t>not</w:t>
            </w:r>
            <w:r w:rsidR="00FB66D1">
              <w:rPr>
                <w:sz w:val="21"/>
                <w:szCs w:val="21"/>
              </w:rPr>
              <w:t xml:space="preserve"> </w:t>
            </w:r>
            <w:r>
              <w:rPr>
                <w:sz w:val="21"/>
                <w:szCs w:val="21"/>
              </w:rPr>
              <w:t>gross-up</w:t>
            </w:r>
            <w:r w:rsidR="00FB66D1">
              <w:rPr>
                <w:sz w:val="21"/>
                <w:szCs w:val="21"/>
              </w:rPr>
              <w:t xml:space="preserve"> for taxe</w:t>
            </w:r>
            <w:r>
              <w:rPr>
                <w:sz w:val="21"/>
                <w:szCs w:val="21"/>
              </w:rPr>
              <w:t>s</w:t>
            </w:r>
            <w:r w:rsidR="00FB66D1">
              <w:rPr>
                <w:sz w:val="21"/>
                <w:szCs w:val="21"/>
              </w:rPr>
              <w:t>. I</w:t>
            </w:r>
            <w:r>
              <w:rPr>
                <w:sz w:val="21"/>
                <w:szCs w:val="21"/>
              </w:rPr>
              <w:t xml:space="preserve">f a department </w:t>
            </w:r>
            <w:r w:rsidR="00FB66D1">
              <w:rPr>
                <w:sz w:val="21"/>
                <w:szCs w:val="21"/>
              </w:rPr>
              <w:t>has questions</w:t>
            </w:r>
            <w:r>
              <w:rPr>
                <w:sz w:val="21"/>
                <w:szCs w:val="21"/>
              </w:rPr>
              <w:t xml:space="preserve">, confirm the treatment with the University Services Payroll Office </w:t>
            </w:r>
            <w:r w:rsidRPr="00FB66D1">
              <w:rPr>
                <w:b/>
                <w:bCs/>
                <w:sz w:val="21"/>
                <w:szCs w:val="21"/>
              </w:rPr>
              <w:t>before</w:t>
            </w:r>
            <w:r>
              <w:rPr>
                <w:sz w:val="21"/>
                <w:szCs w:val="21"/>
              </w:rPr>
              <w:t xml:space="preserve"> making any commitment.</w:t>
            </w:r>
          </w:p>
        </w:tc>
      </w:tr>
    </w:tbl>
    <w:p w14:paraId="3639BF32" w14:textId="77777777" w:rsidR="00992B45" w:rsidRDefault="00E14B9D">
      <w:pPr>
        <w:pStyle w:val="Heading1"/>
        <w:pBdr>
          <w:bottom w:val="single" w:sz="18" w:space="6" w:color="1178C5"/>
        </w:pBdr>
        <w:spacing w:before="360" w:after="200"/>
      </w:pPr>
      <w:r>
        <w:rPr>
          <w:rFonts w:ascii="Palatino Linotype" w:eastAsia="Palatino Linotype" w:hAnsi="Palatino Linotype" w:cs="Palatino Linotype"/>
          <w:color w:val="132644"/>
          <w:sz w:val="30"/>
          <w:szCs w:val="30"/>
        </w:rPr>
        <w:lastRenderedPageBreak/>
        <w:t>3.  What expenses can be covered</w:t>
      </w:r>
    </w:p>
    <w:p w14:paraId="6068BCCD" w14:textId="28C7B451" w:rsidR="00992B45" w:rsidRDefault="00E14B9D">
      <w:pPr>
        <w:pStyle w:val="Heading2"/>
        <w:keepNext/>
        <w:spacing w:before="260" w:after="100"/>
      </w:pPr>
      <w:r>
        <w:rPr>
          <w:rFonts w:ascii="Verdana" w:eastAsia="Verdana" w:hAnsi="Verdana" w:cs="Verdana"/>
          <w:b/>
          <w:bCs/>
          <w:color w:val="1178C5"/>
          <w:sz w:val="21"/>
          <w:szCs w:val="21"/>
        </w:rPr>
        <w:t>Q</w:t>
      </w:r>
      <w:r w:rsidR="00FB66D1">
        <w:rPr>
          <w:rFonts w:ascii="Verdana" w:eastAsia="Verdana" w:hAnsi="Verdana" w:cs="Verdana"/>
          <w:b/>
          <w:bCs/>
          <w:color w:val="1178C5"/>
          <w:sz w:val="21"/>
          <w:szCs w:val="21"/>
        </w:rPr>
        <w:t>8</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What counts as a moving or relocation expense?</w:t>
      </w:r>
    </w:p>
    <w:p w14:paraId="2D1FE3EF" w14:textId="77777777" w:rsidR="00992B45" w:rsidRDefault="00E14B9D">
      <w:pPr>
        <w:spacing w:after="140" w:line="276" w:lineRule="auto"/>
      </w:pPr>
      <w:r>
        <w:t>For purposes of this APL, appropriate and reasonable expenses may include:</w:t>
      </w:r>
    </w:p>
    <w:p w14:paraId="3B780B09" w14:textId="77777777" w:rsidR="00992B45" w:rsidRDefault="00E14B9D">
      <w:pPr>
        <w:pStyle w:val="ListParagraph"/>
        <w:numPr>
          <w:ilvl w:val="0"/>
          <w:numId w:val="2"/>
        </w:numPr>
        <w:spacing w:after="80" w:line="276" w:lineRule="auto"/>
      </w:pPr>
      <w:r>
        <w:t>Transportation of household goods and personal effects</w:t>
      </w:r>
    </w:p>
    <w:p w14:paraId="074C2F7D" w14:textId="77777777" w:rsidR="00992B45" w:rsidRDefault="00E14B9D">
      <w:pPr>
        <w:pStyle w:val="ListParagraph"/>
        <w:numPr>
          <w:ilvl w:val="0"/>
          <w:numId w:val="2"/>
        </w:numPr>
        <w:spacing w:after="80" w:line="276" w:lineRule="auto"/>
      </w:pPr>
      <w:r>
        <w:t>Packing, crating, shipping, storage, and delivery charges</w:t>
      </w:r>
    </w:p>
    <w:p w14:paraId="10C69260" w14:textId="77777777" w:rsidR="00992B45" w:rsidRDefault="00E14B9D">
      <w:pPr>
        <w:pStyle w:val="ListParagraph"/>
        <w:numPr>
          <w:ilvl w:val="0"/>
          <w:numId w:val="2"/>
        </w:numPr>
        <w:spacing w:after="80" w:line="276" w:lineRule="auto"/>
      </w:pPr>
      <w:r>
        <w:t>Travel, lodging, mileage, or transportation costs related to relocation</w:t>
      </w:r>
    </w:p>
    <w:p w14:paraId="2CEA16B0" w14:textId="77777777" w:rsidR="00992B45" w:rsidRDefault="00E14B9D">
      <w:pPr>
        <w:pStyle w:val="ListParagraph"/>
        <w:numPr>
          <w:ilvl w:val="0"/>
          <w:numId w:val="2"/>
        </w:numPr>
        <w:spacing w:after="80" w:line="276" w:lineRule="auto"/>
      </w:pPr>
      <w:r>
        <w:t>Temporary housing or house-hunting expenses</w:t>
      </w:r>
    </w:p>
    <w:p w14:paraId="2B751F0D" w14:textId="77777777" w:rsidR="00992B45" w:rsidRDefault="00E14B9D">
      <w:pPr>
        <w:pStyle w:val="ListParagraph"/>
        <w:numPr>
          <w:ilvl w:val="0"/>
          <w:numId w:val="2"/>
        </w:numPr>
        <w:spacing w:after="80" w:line="276" w:lineRule="auto"/>
      </w:pPr>
      <w:r>
        <w:t>Relocation allowances or lump-sum payments</w:t>
      </w:r>
    </w:p>
    <w:p w14:paraId="473509A4" w14:textId="35A5A9D4" w:rsidR="00992B45" w:rsidRDefault="00E14B9D">
      <w:pPr>
        <w:pStyle w:val="Heading2"/>
        <w:keepNext/>
        <w:spacing w:before="260" w:after="100"/>
      </w:pPr>
      <w:r>
        <w:rPr>
          <w:rFonts w:ascii="Verdana" w:eastAsia="Verdana" w:hAnsi="Verdana" w:cs="Verdana"/>
          <w:b/>
          <w:bCs/>
          <w:color w:val="1178C5"/>
          <w:sz w:val="21"/>
          <w:szCs w:val="21"/>
        </w:rPr>
        <w:t>Q</w:t>
      </w:r>
      <w:r w:rsidR="00FB66D1">
        <w:rPr>
          <w:rFonts w:ascii="Verdana" w:eastAsia="Verdana" w:hAnsi="Verdana" w:cs="Verdana"/>
          <w:b/>
          <w:bCs/>
          <w:color w:val="1178C5"/>
          <w:sz w:val="21"/>
          <w:szCs w:val="21"/>
        </w:rPr>
        <w:t>9</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Is that list exhaustive?</w:t>
      </w:r>
    </w:p>
    <w:p w14:paraId="58BFC333" w14:textId="77C292D6" w:rsidR="00992B45" w:rsidRDefault="00E14B9D">
      <w:pPr>
        <w:spacing w:after="140" w:line="276" w:lineRule="auto"/>
      </w:pPr>
      <w:r>
        <w:t>No</w:t>
      </w:r>
      <w:r w:rsidR="00FB66D1">
        <w:t>.</w:t>
      </w:r>
      <w:r>
        <w:t xml:space="preserve"> The controlling test is that the expense is </w:t>
      </w:r>
      <w:r w:rsidRPr="00C21196">
        <w:rPr>
          <w:b/>
          <w:bCs/>
        </w:rPr>
        <w:t>appropriate and reasonable</w:t>
      </w:r>
      <w:r>
        <w:t>, approved in accordance with applicable University requirements, and consistent with APL IV-I Use of University Funds.</w:t>
      </w:r>
    </w:p>
    <w:p w14:paraId="4FB06793" w14:textId="1E1AF552" w:rsidR="00992B45" w:rsidRDefault="00E14B9D">
      <w:pPr>
        <w:pStyle w:val="Heading2"/>
        <w:keepNext/>
        <w:spacing w:before="260" w:after="100"/>
      </w:pPr>
      <w:r>
        <w:rPr>
          <w:rFonts w:ascii="Verdana" w:eastAsia="Verdana" w:hAnsi="Verdana" w:cs="Verdana"/>
          <w:b/>
          <w:bCs/>
          <w:color w:val="1178C5"/>
          <w:sz w:val="21"/>
          <w:szCs w:val="21"/>
        </w:rPr>
        <w:t>Q1</w:t>
      </w:r>
      <w:r w:rsidR="00FB66D1">
        <w:rPr>
          <w:rFonts w:ascii="Verdana" w:eastAsia="Verdana" w:hAnsi="Verdana" w:cs="Verdana"/>
          <w:b/>
          <w:bCs/>
          <w:color w:val="1178C5"/>
          <w:sz w:val="21"/>
          <w:szCs w:val="21"/>
        </w:rPr>
        <w:t>0</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Is there a System-wide dollar limit?</w:t>
      </w:r>
    </w:p>
    <w:p w14:paraId="3D824965" w14:textId="77777777" w:rsidR="00992B45" w:rsidRDefault="00E14B9D">
      <w:pPr>
        <w:spacing w:after="140" w:line="276" w:lineRule="auto"/>
      </w:pPr>
      <w:r>
        <w:t>The APL does not set one. The amount is established by the hiring department and documented in the employee’s contractual Moving and Relocation Expense agreement. It must be reasonable and approved in accordance with applicable University requirements.</w:t>
      </w:r>
    </w:p>
    <w:p w14:paraId="0D3A77B6" w14:textId="77777777" w:rsidR="00992B45" w:rsidRDefault="00E14B9D">
      <w:pPr>
        <w:pStyle w:val="Heading1"/>
        <w:pBdr>
          <w:bottom w:val="single" w:sz="18" w:space="6" w:color="1178C5"/>
        </w:pBdr>
        <w:spacing w:before="360" w:after="200"/>
      </w:pPr>
      <w:r>
        <w:rPr>
          <w:rFonts w:ascii="Palatino Linotype" w:eastAsia="Palatino Linotype" w:hAnsi="Palatino Linotype" w:cs="Palatino Linotype"/>
          <w:color w:val="132644"/>
          <w:sz w:val="30"/>
          <w:szCs w:val="30"/>
        </w:rPr>
        <w:t>4.  Approvals, forms, and processing</w:t>
      </w:r>
    </w:p>
    <w:p w14:paraId="170F411C" w14:textId="0F40B43A" w:rsidR="00992B45" w:rsidRDefault="00E14B9D">
      <w:pPr>
        <w:pStyle w:val="Heading2"/>
        <w:keepNext/>
        <w:spacing w:before="260" w:after="100"/>
      </w:pPr>
      <w:r>
        <w:rPr>
          <w:rFonts w:ascii="Verdana" w:eastAsia="Verdana" w:hAnsi="Verdana" w:cs="Verdana"/>
          <w:b/>
          <w:bCs/>
          <w:color w:val="1178C5"/>
          <w:sz w:val="21"/>
          <w:szCs w:val="21"/>
        </w:rPr>
        <w:t>Q1</w:t>
      </w:r>
      <w:r w:rsidR="00C21196">
        <w:rPr>
          <w:rFonts w:ascii="Verdana" w:eastAsia="Verdana" w:hAnsi="Verdana" w:cs="Verdana"/>
          <w:b/>
          <w:bCs/>
          <w:color w:val="1178C5"/>
          <w:sz w:val="21"/>
          <w:szCs w:val="21"/>
        </w:rPr>
        <w:t>1</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How is a request submitted?</w:t>
      </w:r>
    </w:p>
    <w:p w14:paraId="3F41874B" w14:textId="77777777" w:rsidR="00992B45" w:rsidRDefault="00E14B9D">
      <w:pPr>
        <w:spacing w:after="140" w:line="276" w:lineRule="auto"/>
      </w:pPr>
      <w:r>
        <w:t xml:space="preserve">All requests for moving and relocation expense reimbursements go to the University Services Payroll Office, using the </w:t>
      </w:r>
      <w:r w:rsidRPr="00C21196">
        <w:rPr>
          <w:i/>
          <w:iCs/>
        </w:rPr>
        <w:t xml:space="preserve">Moving/Relocation Reimbursement and Allowance Request </w:t>
      </w:r>
      <w:r w:rsidRPr="00C21196">
        <w:t>form</w:t>
      </w:r>
      <w:r>
        <w:t xml:space="preserve"> included with the APL — and only after all required approvals have been obtained.</w:t>
      </w:r>
    </w:p>
    <w:p w14:paraId="4FF023F5" w14:textId="283162E3" w:rsidR="00992B45" w:rsidRDefault="00E14B9D">
      <w:pPr>
        <w:pStyle w:val="Heading2"/>
        <w:keepNext/>
        <w:spacing w:before="260" w:after="100"/>
      </w:pPr>
      <w:r>
        <w:rPr>
          <w:rFonts w:ascii="Verdana" w:eastAsia="Verdana" w:hAnsi="Verdana" w:cs="Verdana"/>
          <w:b/>
          <w:bCs/>
          <w:color w:val="1178C5"/>
          <w:sz w:val="21"/>
          <w:szCs w:val="21"/>
        </w:rPr>
        <w:t>Q1</w:t>
      </w:r>
      <w:r w:rsidR="00C21196">
        <w:rPr>
          <w:rFonts w:ascii="Verdana" w:eastAsia="Verdana" w:hAnsi="Verdana" w:cs="Verdana"/>
          <w:b/>
          <w:bCs/>
          <w:color w:val="1178C5"/>
          <w:sz w:val="21"/>
          <w:szCs w:val="21"/>
        </w:rPr>
        <w:t>2</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What documentation has to accompany the request</w:t>
      </w:r>
      <w:r w:rsidR="00C21196">
        <w:rPr>
          <w:rFonts w:ascii="Verdana" w:eastAsia="Verdana" w:hAnsi="Verdana" w:cs="Verdana"/>
          <w:b/>
          <w:bCs/>
          <w:color w:val="132644"/>
          <w:sz w:val="21"/>
          <w:szCs w:val="21"/>
        </w:rPr>
        <w:t xml:space="preserve"> form</w:t>
      </w:r>
      <w:r>
        <w:rPr>
          <w:rFonts w:ascii="Verdana" w:eastAsia="Verdana" w:hAnsi="Verdana" w:cs="Verdana"/>
          <w:b/>
          <w:bCs/>
          <w:color w:val="132644"/>
          <w:sz w:val="21"/>
          <w:szCs w:val="21"/>
        </w:rPr>
        <w:t>?</w:t>
      </w:r>
    </w:p>
    <w:p w14:paraId="4AA0546E" w14:textId="2D2A30D1" w:rsidR="00992B45" w:rsidRDefault="00E14B9D">
      <w:pPr>
        <w:spacing w:after="140" w:line="276" w:lineRule="auto"/>
      </w:pPr>
      <w:r>
        <w:t xml:space="preserve">Each request </w:t>
      </w:r>
      <w:r w:rsidR="00C21196">
        <w:t xml:space="preserve">form </w:t>
      </w:r>
      <w:r>
        <w:t xml:space="preserve">must include the employee’s contractual Moving and Relocation Expense agreement, along with any other documentation the department requires. Requests for reimbursement of actual expenses must also </w:t>
      </w:r>
      <w:r w:rsidR="00C21196">
        <w:t xml:space="preserve">include </w:t>
      </w:r>
      <w:r>
        <w:t xml:space="preserve">the supporting documentation </w:t>
      </w:r>
      <w:r w:rsidR="00C21196">
        <w:t xml:space="preserve">(e.g., receipts, vendor invoices) </w:t>
      </w:r>
      <w:r>
        <w:t>for those expenses.</w:t>
      </w:r>
    </w:p>
    <w:p w14:paraId="03D3E56B" w14:textId="11B1BFD5" w:rsidR="00992B45" w:rsidRDefault="00E14B9D">
      <w:pPr>
        <w:pStyle w:val="Heading2"/>
        <w:keepNext/>
        <w:spacing w:before="260" w:after="100"/>
      </w:pPr>
      <w:r>
        <w:rPr>
          <w:rFonts w:ascii="Verdana" w:eastAsia="Verdana" w:hAnsi="Verdana" w:cs="Verdana"/>
          <w:b/>
          <w:bCs/>
          <w:color w:val="1178C5"/>
          <w:sz w:val="21"/>
          <w:szCs w:val="21"/>
        </w:rPr>
        <w:t>Q1</w:t>
      </w:r>
      <w:r w:rsidR="00C21196">
        <w:rPr>
          <w:rFonts w:ascii="Verdana" w:eastAsia="Verdana" w:hAnsi="Verdana" w:cs="Verdana"/>
          <w:b/>
          <w:bCs/>
          <w:color w:val="1178C5"/>
          <w:sz w:val="21"/>
          <w:szCs w:val="21"/>
        </w:rPr>
        <w:t>3</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Can we submit the form while approvals are still pending?</w:t>
      </w:r>
    </w:p>
    <w:p w14:paraId="7314EB19" w14:textId="77777777" w:rsidR="00992B45" w:rsidRDefault="00E14B9D">
      <w:pPr>
        <w:spacing w:after="140" w:line="276" w:lineRule="auto"/>
      </w:pPr>
      <w:r>
        <w:t>No. The APL is sequential: obtain every required approval first, then submit. Submitting early creates rework and delays payment to the employee.</w:t>
      </w:r>
    </w:p>
    <w:p w14:paraId="048C04E3" w14:textId="38636C00" w:rsidR="00992B45" w:rsidRDefault="00E14B9D">
      <w:pPr>
        <w:pStyle w:val="Heading2"/>
        <w:keepNext/>
        <w:spacing w:before="260" w:after="100"/>
      </w:pPr>
      <w:r>
        <w:rPr>
          <w:rFonts w:ascii="Verdana" w:eastAsia="Verdana" w:hAnsi="Verdana" w:cs="Verdana"/>
          <w:b/>
          <w:bCs/>
          <w:color w:val="1178C5"/>
          <w:sz w:val="21"/>
          <w:szCs w:val="21"/>
        </w:rPr>
        <w:t>Q1</w:t>
      </w:r>
      <w:r w:rsidR="00C21196">
        <w:rPr>
          <w:rFonts w:ascii="Verdana" w:eastAsia="Verdana" w:hAnsi="Verdana" w:cs="Verdana"/>
          <w:b/>
          <w:bCs/>
          <w:color w:val="1178C5"/>
          <w:sz w:val="21"/>
          <w:szCs w:val="21"/>
        </w:rPr>
        <w:t>4</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How and when is the payment made?</w:t>
      </w:r>
    </w:p>
    <w:p w14:paraId="0AA43409" w14:textId="77777777" w:rsidR="00992B45" w:rsidRDefault="00E14B9D">
      <w:pPr>
        <w:spacing w:after="140" w:line="276" w:lineRule="auto"/>
      </w:pPr>
      <w:r>
        <w:t xml:space="preserve">Approved reimbursements are processed through the regular payroll cycle in a timely manner. That routing is deliberate — it is what produces proper tax reporting and correct assignment of the expense to the appropriate </w:t>
      </w:r>
      <w:proofErr w:type="spellStart"/>
      <w:r>
        <w:t>ChartFields</w:t>
      </w:r>
      <w:proofErr w:type="spellEnd"/>
      <w:r>
        <w:t>.</w:t>
      </w:r>
    </w:p>
    <w:p w14:paraId="586D0041" w14:textId="1680BA4D" w:rsidR="00992B45" w:rsidRDefault="00E14B9D">
      <w:pPr>
        <w:pStyle w:val="Heading2"/>
        <w:keepNext/>
        <w:spacing w:before="260" w:after="100"/>
      </w:pPr>
      <w:r>
        <w:rPr>
          <w:rFonts w:ascii="Verdana" w:eastAsia="Verdana" w:hAnsi="Verdana" w:cs="Verdana"/>
          <w:b/>
          <w:bCs/>
          <w:color w:val="1178C5"/>
          <w:sz w:val="21"/>
          <w:szCs w:val="21"/>
        </w:rPr>
        <w:t>Q1</w:t>
      </w:r>
      <w:r w:rsidR="00C21196">
        <w:rPr>
          <w:rFonts w:ascii="Verdana" w:eastAsia="Verdana" w:hAnsi="Verdana" w:cs="Verdana"/>
          <w:b/>
          <w:bCs/>
          <w:color w:val="1178C5"/>
          <w:sz w:val="21"/>
          <w:szCs w:val="21"/>
        </w:rPr>
        <w:t>5</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Why payroll rather than an expense reimbursement or accounts payable?</w:t>
      </w:r>
    </w:p>
    <w:p w14:paraId="68AFA649" w14:textId="41F0376C" w:rsidR="00992B45" w:rsidRDefault="00E14B9D">
      <w:pPr>
        <w:spacing w:after="140" w:line="276" w:lineRule="auto"/>
      </w:pPr>
      <w:r>
        <w:t xml:space="preserve">Because these are taxable wages, not business expense reimbursements. Only the payroll process applies the correct withholding, reports the payment properly, and </w:t>
      </w:r>
      <w:r w:rsidR="00C21196">
        <w:t>puts</w:t>
      </w:r>
      <w:r>
        <w:t xml:space="preserve"> the expense in the right </w:t>
      </w:r>
      <w:proofErr w:type="spellStart"/>
      <w:r>
        <w:t>ChartFields</w:t>
      </w:r>
      <w:proofErr w:type="spellEnd"/>
      <w:r>
        <w:t xml:space="preserve">. Processing a moving payment outside </w:t>
      </w:r>
      <w:r w:rsidR="00C21196">
        <w:t>P</w:t>
      </w:r>
      <w:r>
        <w:t>ayroll creates a tax reporting problem that has to be corrected later.</w:t>
      </w:r>
    </w:p>
    <w:p w14:paraId="358B3535" w14:textId="05AC0879" w:rsidR="00992B45" w:rsidRDefault="00E14B9D">
      <w:pPr>
        <w:pStyle w:val="Heading2"/>
        <w:keepNext/>
        <w:spacing w:before="260" w:after="100"/>
      </w:pPr>
      <w:r>
        <w:rPr>
          <w:rFonts w:ascii="Verdana" w:eastAsia="Verdana" w:hAnsi="Verdana" w:cs="Verdana"/>
          <w:b/>
          <w:bCs/>
          <w:color w:val="1178C5"/>
          <w:sz w:val="21"/>
          <w:szCs w:val="21"/>
        </w:rPr>
        <w:t>Q1</w:t>
      </w:r>
      <w:r w:rsidR="00C21196">
        <w:rPr>
          <w:rFonts w:ascii="Verdana" w:eastAsia="Verdana" w:hAnsi="Verdana" w:cs="Verdana"/>
          <w:b/>
          <w:bCs/>
          <w:color w:val="1178C5"/>
          <w:sz w:val="21"/>
          <w:szCs w:val="21"/>
        </w:rPr>
        <w:t>6</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How long does it take?</w:t>
      </w:r>
    </w:p>
    <w:p w14:paraId="3885014E" w14:textId="378AF563" w:rsidR="00992B45" w:rsidRDefault="00E14B9D">
      <w:pPr>
        <w:spacing w:after="140" w:line="276" w:lineRule="auto"/>
      </w:pPr>
      <w:r>
        <w:t xml:space="preserve">The APL commits to processing through the regular payroll cycle in a timely manner rather than a fixed turnaround. Practically, the timing depends on when a complete, fully approved request reaches Payroll relative to the payroll calendar. </w:t>
      </w:r>
    </w:p>
    <w:p w14:paraId="618FD903" w14:textId="77777777" w:rsidR="00992B45" w:rsidRDefault="00E14B9D">
      <w:pPr>
        <w:pStyle w:val="Heading1"/>
        <w:pBdr>
          <w:bottom w:val="single" w:sz="18" w:space="6" w:color="1178C5"/>
        </w:pBdr>
        <w:spacing w:before="360" w:after="200"/>
      </w:pPr>
      <w:r>
        <w:rPr>
          <w:rFonts w:ascii="Palatino Linotype" w:eastAsia="Palatino Linotype" w:hAnsi="Palatino Linotype" w:cs="Palatino Linotype"/>
          <w:color w:val="132644"/>
          <w:sz w:val="30"/>
          <w:szCs w:val="30"/>
        </w:rPr>
        <w:t>5.  Reimbursement or allowance</w:t>
      </w:r>
    </w:p>
    <w:p w14:paraId="66853376" w14:textId="5E87C7B5" w:rsidR="00992B45" w:rsidRDefault="00E14B9D">
      <w:pPr>
        <w:pStyle w:val="Heading2"/>
        <w:keepNext/>
        <w:spacing w:before="260" w:after="100"/>
      </w:pPr>
      <w:r>
        <w:rPr>
          <w:rFonts w:ascii="Verdana" w:eastAsia="Verdana" w:hAnsi="Verdana" w:cs="Verdana"/>
          <w:b/>
          <w:bCs/>
          <w:color w:val="1178C5"/>
          <w:sz w:val="21"/>
          <w:szCs w:val="21"/>
        </w:rPr>
        <w:t>Q</w:t>
      </w:r>
      <w:r w:rsidR="00C21196">
        <w:rPr>
          <w:rFonts w:ascii="Verdana" w:eastAsia="Verdana" w:hAnsi="Verdana" w:cs="Verdana"/>
          <w:b/>
          <w:bCs/>
          <w:color w:val="1178C5"/>
          <w:sz w:val="21"/>
          <w:szCs w:val="21"/>
        </w:rPr>
        <w:t>17</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What is the difference between the two?</w:t>
      </w:r>
    </w:p>
    <w:p w14:paraId="1F141ADF" w14:textId="77777777" w:rsidR="00992B45" w:rsidRDefault="00E14B9D">
      <w:pPr>
        <w:spacing w:after="140" w:line="276" w:lineRule="auto"/>
      </w:pPr>
      <w:r>
        <w:t>A reimbursement pays back actual moving and relocation expenses the employee incurred and documented. An allowance is an amount authorized to assist with moving and relocation costs. Hiring departments may authorize either.</w:t>
      </w:r>
    </w:p>
    <w:p w14:paraId="6157B128" w14:textId="60C3377F" w:rsidR="00992B45" w:rsidRDefault="00E14B9D">
      <w:pPr>
        <w:pStyle w:val="Heading2"/>
        <w:keepNext/>
        <w:spacing w:before="260" w:after="100"/>
      </w:pPr>
      <w:r>
        <w:rPr>
          <w:rFonts w:ascii="Verdana" w:eastAsia="Verdana" w:hAnsi="Verdana" w:cs="Verdana"/>
          <w:b/>
          <w:bCs/>
          <w:color w:val="1178C5"/>
          <w:sz w:val="21"/>
          <w:szCs w:val="21"/>
        </w:rPr>
        <w:t>Q</w:t>
      </w:r>
      <w:r w:rsidR="00C21196">
        <w:rPr>
          <w:rFonts w:ascii="Verdana" w:eastAsia="Verdana" w:hAnsi="Verdana" w:cs="Verdana"/>
          <w:b/>
          <w:bCs/>
          <w:color w:val="1178C5"/>
          <w:sz w:val="21"/>
          <w:szCs w:val="21"/>
        </w:rPr>
        <w:t>18</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How does a department choose?</w:t>
      </w:r>
    </w:p>
    <w:p w14:paraId="7C3424B1" w14:textId="77777777" w:rsidR="00992B45" w:rsidRDefault="00E14B9D">
      <w:pPr>
        <w:spacing w:after="140" w:line="276" w:lineRule="auto"/>
      </w:pPr>
      <w:r>
        <w:t>Either approach is permitted, provided the payment is reasonable and approved in accordance with applicable University requirements. Reimbursement ties the cost to documented actuals; an allowance gives the employee flexibility and gives the department a fixed, predictable number.</w:t>
      </w:r>
    </w:p>
    <w:p w14:paraId="7770A058" w14:textId="7F90F24C" w:rsidR="00992B45" w:rsidRDefault="00E14B9D">
      <w:pPr>
        <w:pStyle w:val="Heading2"/>
        <w:keepNext/>
        <w:spacing w:before="260" w:after="100"/>
      </w:pPr>
      <w:r>
        <w:rPr>
          <w:rFonts w:ascii="Verdana" w:eastAsia="Verdana" w:hAnsi="Verdana" w:cs="Verdana"/>
          <w:b/>
          <w:bCs/>
          <w:color w:val="1178C5"/>
          <w:sz w:val="21"/>
          <w:szCs w:val="21"/>
        </w:rPr>
        <w:t>Q</w:t>
      </w:r>
      <w:r w:rsidR="00C21196">
        <w:rPr>
          <w:rFonts w:ascii="Verdana" w:eastAsia="Verdana" w:hAnsi="Verdana" w:cs="Verdana"/>
          <w:b/>
          <w:bCs/>
          <w:color w:val="1178C5"/>
          <w:sz w:val="21"/>
          <w:szCs w:val="21"/>
        </w:rPr>
        <w:t>19</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Is one treated more favorabl</w:t>
      </w:r>
      <w:r w:rsidR="009B2239">
        <w:rPr>
          <w:rFonts w:ascii="Verdana" w:eastAsia="Verdana" w:hAnsi="Verdana" w:cs="Verdana"/>
          <w:b/>
          <w:bCs/>
          <w:color w:val="132644"/>
          <w:sz w:val="21"/>
          <w:szCs w:val="21"/>
        </w:rPr>
        <w:t>e</w:t>
      </w:r>
      <w:r>
        <w:rPr>
          <w:rFonts w:ascii="Verdana" w:eastAsia="Verdana" w:hAnsi="Verdana" w:cs="Verdana"/>
          <w:b/>
          <w:bCs/>
          <w:color w:val="132644"/>
          <w:sz w:val="21"/>
          <w:szCs w:val="21"/>
        </w:rPr>
        <w:t xml:space="preserve"> for tax purposes?</w:t>
      </w:r>
    </w:p>
    <w:p w14:paraId="36C44E86" w14:textId="77777777" w:rsidR="00992B45" w:rsidRDefault="00E14B9D">
      <w:pPr>
        <w:spacing w:after="140" w:line="276" w:lineRule="auto"/>
      </w:pPr>
      <w:r>
        <w:t>No. Both are taxable wages subject to applicable withholding and reporting. The choice is an administrative and budgeting decision, not a tax-planning one.</w:t>
      </w:r>
    </w:p>
    <w:p w14:paraId="24053C94" w14:textId="200AE7B2" w:rsidR="00992B45" w:rsidRDefault="00E14B9D">
      <w:pPr>
        <w:pStyle w:val="Heading2"/>
        <w:keepNext/>
        <w:spacing w:before="260" w:after="100"/>
      </w:pPr>
      <w:r>
        <w:rPr>
          <w:rFonts w:ascii="Verdana" w:eastAsia="Verdana" w:hAnsi="Verdana" w:cs="Verdana"/>
          <w:b/>
          <w:bCs/>
          <w:color w:val="1178C5"/>
          <w:sz w:val="21"/>
          <w:szCs w:val="21"/>
        </w:rPr>
        <w:t>Q</w:t>
      </w:r>
      <w:r w:rsidR="00C21196">
        <w:rPr>
          <w:rFonts w:ascii="Verdana" w:eastAsia="Verdana" w:hAnsi="Verdana" w:cs="Verdana"/>
          <w:b/>
          <w:bCs/>
          <w:color w:val="1178C5"/>
          <w:sz w:val="21"/>
          <w:szCs w:val="21"/>
        </w:rPr>
        <w:t>20</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Do both use the same form?</w:t>
      </w:r>
    </w:p>
    <w:p w14:paraId="77F1C1B2" w14:textId="77777777" w:rsidR="00992B45" w:rsidRDefault="00E14B9D">
      <w:pPr>
        <w:spacing w:after="140" w:line="276" w:lineRule="auto"/>
      </w:pPr>
      <w:r>
        <w:t xml:space="preserve">Yes. Requests for reimbursement of actual expenses and requests for allowances are both submitted to Payroll on the approved </w:t>
      </w:r>
      <w:r w:rsidRPr="009B2239">
        <w:rPr>
          <w:i/>
          <w:iCs/>
        </w:rPr>
        <w:t>Moving/Relocation Reimbursement and Allowance Request</w:t>
      </w:r>
      <w:r>
        <w:t xml:space="preserve"> form, with any required supporting documentation.</w:t>
      </w:r>
    </w:p>
    <w:p w14:paraId="10A0B1E4" w14:textId="77777777" w:rsidR="00992B45" w:rsidRDefault="00992B45">
      <w:pPr>
        <w:spacing w:after="120"/>
      </w:pPr>
    </w:p>
    <w:tbl>
      <w:tblPr>
        <w:tblW w:w="10080" w:type="dxa"/>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CellMar>
          <w:left w:w="10" w:type="dxa"/>
          <w:right w:w="10" w:type="dxa"/>
        </w:tblCellMar>
        <w:tblLook w:val="0000" w:firstRow="0" w:lastRow="0" w:firstColumn="0" w:lastColumn="0" w:noHBand="0" w:noVBand="0"/>
      </w:tblPr>
      <w:tblGrid>
        <w:gridCol w:w="2100"/>
        <w:gridCol w:w="3990"/>
        <w:gridCol w:w="3990"/>
      </w:tblGrid>
      <w:tr w:rsidR="00992B45" w14:paraId="19D648CF" w14:textId="77777777">
        <w:trPr>
          <w:tblHeader/>
        </w:trPr>
        <w:tc>
          <w:tcPr>
            <w:tcW w:w="2100" w:type="dxa"/>
            <w:shd w:val="clear" w:color="auto" w:fill="132644"/>
            <w:tcMar>
              <w:top w:w="100" w:type="dxa"/>
              <w:left w:w="140" w:type="dxa"/>
              <w:bottom w:w="100" w:type="dxa"/>
              <w:right w:w="140" w:type="dxa"/>
            </w:tcMar>
            <w:vAlign w:val="center"/>
          </w:tcPr>
          <w:p w14:paraId="7FD544C7" w14:textId="77777777" w:rsidR="00992B45" w:rsidRDefault="00992B45"/>
        </w:tc>
        <w:tc>
          <w:tcPr>
            <w:tcW w:w="3990" w:type="dxa"/>
            <w:shd w:val="clear" w:color="auto" w:fill="132644"/>
            <w:tcMar>
              <w:top w:w="100" w:type="dxa"/>
              <w:left w:w="140" w:type="dxa"/>
              <w:bottom w:w="100" w:type="dxa"/>
              <w:right w:w="140" w:type="dxa"/>
            </w:tcMar>
            <w:vAlign w:val="center"/>
          </w:tcPr>
          <w:p w14:paraId="33BC750A" w14:textId="77777777" w:rsidR="00992B45" w:rsidRDefault="00E14B9D">
            <w:r>
              <w:rPr>
                <w:rFonts w:ascii="Verdana" w:eastAsia="Verdana" w:hAnsi="Verdana" w:cs="Verdana"/>
                <w:b/>
                <w:bCs/>
                <w:color w:val="FFFFFF"/>
                <w:sz w:val="20"/>
                <w:szCs w:val="20"/>
              </w:rPr>
              <w:t>Reimbursement</w:t>
            </w:r>
          </w:p>
        </w:tc>
        <w:tc>
          <w:tcPr>
            <w:tcW w:w="3990" w:type="dxa"/>
            <w:shd w:val="clear" w:color="auto" w:fill="132644"/>
            <w:tcMar>
              <w:top w:w="100" w:type="dxa"/>
              <w:left w:w="140" w:type="dxa"/>
              <w:bottom w:w="100" w:type="dxa"/>
              <w:right w:w="140" w:type="dxa"/>
            </w:tcMar>
            <w:vAlign w:val="center"/>
          </w:tcPr>
          <w:p w14:paraId="5FE2C617" w14:textId="77777777" w:rsidR="00992B45" w:rsidRDefault="00E14B9D">
            <w:r>
              <w:rPr>
                <w:rFonts w:ascii="Verdana" w:eastAsia="Verdana" w:hAnsi="Verdana" w:cs="Verdana"/>
                <w:b/>
                <w:bCs/>
                <w:color w:val="FFFFFF"/>
                <w:sz w:val="20"/>
                <w:szCs w:val="20"/>
              </w:rPr>
              <w:t>Allowance</w:t>
            </w:r>
          </w:p>
        </w:tc>
      </w:tr>
      <w:tr w:rsidR="00992B45" w14:paraId="0567FC7A" w14:textId="77777777">
        <w:tc>
          <w:tcPr>
            <w:tcW w:w="2100" w:type="dxa"/>
            <w:shd w:val="clear" w:color="auto" w:fill="FFFFFF"/>
            <w:tcMar>
              <w:top w:w="100" w:type="dxa"/>
              <w:left w:w="140" w:type="dxa"/>
              <w:bottom w:w="100" w:type="dxa"/>
              <w:right w:w="140" w:type="dxa"/>
            </w:tcMar>
          </w:tcPr>
          <w:p w14:paraId="4CB3E89E" w14:textId="77777777" w:rsidR="00992B45" w:rsidRDefault="00E14B9D">
            <w:pPr>
              <w:spacing w:line="264" w:lineRule="auto"/>
            </w:pPr>
            <w:r>
              <w:rPr>
                <w:b/>
                <w:bCs/>
                <w:sz w:val="20"/>
                <w:szCs w:val="20"/>
              </w:rPr>
              <w:t>What it is</w:t>
            </w:r>
          </w:p>
        </w:tc>
        <w:tc>
          <w:tcPr>
            <w:tcW w:w="3990" w:type="dxa"/>
            <w:shd w:val="clear" w:color="auto" w:fill="FFFFFF"/>
            <w:tcMar>
              <w:top w:w="100" w:type="dxa"/>
              <w:left w:w="140" w:type="dxa"/>
              <w:bottom w:w="100" w:type="dxa"/>
              <w:right w:w="140" w:type="dxa"/>
            </w:tcMar>
          </w:tcPr>
          <w:p w14:paraId="2CEFD0D0" w14:textId="77777777" w:rsidR="00992B45" w:rsidRDefault="00E14B9D">
            <w:pPr>
              <w:spacing w:line="264" w:lineRule="auto"/>
            </w:pPr>
            <w:r>
              <w:rPr>
                <w:sz w:val="20"/>
                <w:szCs w:val="20"/>
              </w:rPr>
              <w:t>Repayment of actual, documented expenses</w:t>
            </w:r>
          </w:p>
        </w:tc>
        <w:tc>
          <w:tcPr>
            <w:tcW w:w="3990" w:type="dxa"/>
            <w:shd w:val="clear" w:color="auto" w:fill="FFFFFF"/>
            <w:tcMar>
              <w:top w:w="100" w:type="dxa"/>
              <w:left w:w="140" w:type="dxa"/>
              <w:bottom w:w="100" w:type="dxa"/>
              <w:right w:w="140" w:type="dxa"/>
            </w:tcMar>
          </w:tcPr>
          <w:p w14:paraId="072A861F" w14:textId="77777777" w:rsidR="00992B45" w:rsidRDefault="00E14B9D">
            <w:pPr>
              <w:spacing w:line="264" w:lineRule="auto"/>
            </w:pPr>
            <w:r>
              <w:rPr>
                <w:sz w:val="20"/>
                <w:szCs w:val="20"/>
              </w:rPr>
              <w:t>A set amount to assist with moving costs</w:t>
            </w:r>
          </w:p>
        </w:tc>
      </w:tr>
      <w:tr w:rsidR="00992B45" w14:paraId="4704A3F3" w14:textId="77777777">
        <w:tc>
          <w:tcPr>
            <w:tcW w:w="2100" w:type="dxa"/>
            <w:shd w:val="clear" w:color="auto" w:fill="F0F0F0"/>
            <w:tcMar>
              <w:top w:w="100" w:type="dxa"/>
              <w:left w:w="140" w:type="dxa"/>
              <w:bottom w:w="100" w:type="dxa"/>
              <w:right w:w="140" w:type="dxa"/>
            </w:tcMar>
          </w:tcPr>
          <w:p w14:paraId="014D840E" w14:textId="77777777" w:rsidR="00992B45" w:rsidRDefault="00E14B9D">
            <w:pPr>
              <w:spacing w:line="264" w:lineRule="auto"/>
            </w:pPr>
            <w:r>
              <w:rPr>
                <w:b/>
                <w:bCs/>
                <w:sz w:val="20"/>
                <w:szCs w:val="20"/>
              </w:rPr>
              <w:t>Documentation</w:t>
            </w:r>
          </w:p>
        </w:tc>
        <w:tc>
          <w:tcPr>
            <w:tcW w:w="3990" w:type="dxa"/>
            <w:shd w:val="clear" w:color="auto" w:fill="F0F0F0"/>
            <w:tcMar>
              <w:top w:w="100" w:type="dxa"/>
              <w:left w:w="140" w:type="dxa"/>
              <w:bottom w:w="100" w:type="dxa"/>
              <w:right w:w="140" w:type="dxa"/>
            </w:tcMar>
          </w:tcPr>
          <w:p w14:paraId="15CFB540" w14:textId="77777777" w:rsidR="00992B45" w:rsidRDefault="00E14B9D">
            <w:pPr>
              <w:spacing w:line="264" w:lineRule="auto"/>
            </w:pPr>
            <w:r>
              <w:rPr>
                <w:sz w:val="20"/>
                <w:szCs w:val="20"/>
              </w:rPr>
              <w:t>Agreement plus supporting expense documentation</w:t>
            </w:r>
          </w:p>
        </w:tc>
        <w:tc>
          <w:tcPr>
            <w:tcW w:w="3990" w:type="dxa"/>
            <w:shd w:val="clear" w:color="auto" w:fill="F0F0F0"/>
            <w:tcMar>
              <w:top w:w="100" w:type="dxa"/>
              <w:left w:w="140" w:type="dxa"/>
              <w:bottom w:w="100" w:type="dxa"/>
              <w:right w:w="140" w:type="dxa"/>
            </w:tcMar>
          </w:tcPr>
          <w:p w14:paraId="5C691983" w14:textId="77777777" w:rsidR="00992B45" w:rsidRDefault="00E14B9D">
            <w:pPr>
              <w:spacing w:line="264" w:lineRule="auto"/>
            </w:pPr>
            <w:r>
              <w:rPr>
                <w:sz w:val="20"/>
                <w:szCs w:val="20"/>
              </w:rPr>
              <w:t>Agreement plus any documentation the department requires</w:t>
            </w:r>
          </w:p>
        </w:tc>
      </w:tr>
      <w:tr w:rsidR="00992B45" w14:paraId="02EF7A07" w14:textId="77777777">
        <w:tc>
          <w:tcPr>
            <w:tcW w:w="2100" w:type="dxa"/>
            <w:shd w:val="clear" w:color="auto" w:fill="FFFFFF"/>
            <w:tcMar>
              <w:top w:w="100" w:type="dxa"/>
              <w:left w:w="140" w:type="dxa"/>
              <w:bottom w:w="100" w:type="dxa"/>
              <w:right w:w="140" w:type="dxa"/>
            </w:tcMar>
          </w:tcPr>
          <w:p w14:paraId="18126BE9" w14:textId="77777777" w:rsidR="00992B45" w:rsidRDefault="00E14B9D">
            <w:pPr>
              <w:spacing w:line="264" w:lineRule="auto"/>
            </w:pPr>
            <w:r>
              <w:rPr>
                <w:b/>
                <w:bCs/>
                <w:sz w:val="20"/>
                <w:szCs w:val="20"/>
              </w:rPr>
              <w:t>Form</w:t>
            </w:r>
          </w:p>
        </w:tc>
        <w:tc>
          <w:tcPr>
            <w:tcW w:w="3990" w:type="dxa"/>
            <w:shd w:val="clear" w:color="auto" w:fill="FFFFFF"/>
            <w:tcMar>
              <w:top w:w="100" w:type="dxa"/>
              <w:left w:w="140" w:type="dxa"/>
              <w:bottom w:w="100" w:type="dxa"/>
              <w:right w:w="140" w:type="dxa"/>
            </w:tcMar>
          </w:tcPr>
          <w:p w14:paraId="15C279D4" w14:textId="77777777" w:rsidR="00992B45" w:rsidRDefault="00E14B9D">
            <w:pPr>
              <w:spacing w:line="264" w:lineRule="auto"/>
            </w:pPr>
            <w:r>
              <w:rPr>
                <w:sz w:val="20"/>
                <w:szCs w:val="20"/>
              </w:rPr>
              <w:t>Moving/Relocation Reimbursement and Allowance Request form</w:t>
            </w:r>
          </w:p>
        </w:tc>
        <w:tc>
          <w:tcPr>
            <w:tcW w:w="3990" w:type="dxa"/>
            <w:shd w:val="clear" w:color="auto" w:fill="FFFFFF"/>
            <w:tcMar>
              <w:top w:w="100" w:type="dxa"/>
              <w:left w:w="140" w:type="dxa"/>
              <w:bottom w:w="100" w:type="dxa"/>
              <w:right w:w="140" w:type="dxa"/>
            </w:tcMar>
          </w:tcPr>
          <w:p w14:paraId="60C8659F" w14:textId="77777777" w:rsidR="00992B45" w:rsidRDefault="00E14B9D">
            <w:pPr>
              <w:spacing w:line="264" w:lineRule="auto"/>
            </w:pPr>
            <w:r>
              <w:rPr>
                <w:sz w:val="20"/>
                <w:szCs w:val="20"/>
              </w:rPr>
              <w:t>Same form</w:t>
            </w:r>
          </w:p>
        </w:tc>
      </w:tr>
      <w:tr w:rsidR="00992B45" w14:paraId="6276E1C6" w14:textId="77777777">
        <w:tc>
          <w:tcPr>
            <w:tcW w:w="2100" w:type="dxa"/>
            <w:shd w:val="clear" w:color="auto" w:fill="F0F0F0"/>
            <w:tcMar>
              <w:top w:w="100" w:type="dxa"/>
              <w:left w:w="140" w:type="dxa"/>
              <w:bottom w:w="100" w:type="dxa"/>
              <w:right w:w="140" w:type="dxa"/>
            </w:tcMar>
          </w:tcPr>
          <w:p w14:paraId="38291C49" w14:textId="77777777" w:rsidR="00992B45" w:rsidRDefault="00E14B9D">
            <w:pPr>
              <w:spacing w:line="264" w:lineRule="auto"/>
            </w:pPr>
            <w:r>
              <w:rPr>
                <w:b/>
                <w:bCs/>
                <w:sz w:val="20"/>
                <w:szCs w:val="20"/>
              </w:rPr>
              <w:t>Tax treatment</w:t>
            </w:r>
          </w:p>
        </w:tc>
        <w:tc>
          <w:tcPr>
            <w:tcW w:w="3990" w:type="dxa"/>
            <w:shd w:val="clear" w:color="auto" w:fill="F0F0F0"/>
            <w:tcMar>
              <w:top w:w="100" w:type="dxa"/>
              <w:left w:w="140" w:type="dxa"/>
              <w:bottom w:w="100" w:type="dxa"/>
              <w:right w:w="140" w:type="dxa"/>
            </w:tcMar>
          </w:tcPr>
          <w:p w14:paraId="1C2EE9C7" w14:textId="77777777" w:rsidR="00992B45" w:rsidRDefault="00E14B9D">
            <w:pPr>
              <w:spacing w:line="264" w:lineRule="auto"/>
            </w:pPr>
            <w:r>
              <w:rPr>
                <w:sz w:val="20"/>
                <w:szCs w:val="20"/>
              </w:rPr>
              <w:t>Taxable wages</w:t>
            </w:r>
          </w:p>
        </w:tc>
        <w:tc>
          <w:tcPr>
            <w:tcW w:w="3990" w:type="dxa"/>
            <w:shd w:val="clear" w:color="auto" w:fill="F0F0F0"/>
            <w:tcMar>
              <w:top w:w="100" w:type="dxa"/>
              <w:left w:w="140" w:type="dxa"/>
              <w:bottom w:w="100" w:type="dxa"/>
              <w:right w:w="140" w:type="dxa"/>
            </w:tcMar>
          </w:tcPr>
          <w:p w14:paraId="4ECB25D3" w14:textId="77777777" w:rsidR="00992B45" w:rsidRDefault="00E14B9D">
            <w:pPr>
              <w:spacing w:line="264" w:lineRule="auto"/>
            </w:pPr>
            <w:r>
              <w:rPr>
                <w:sz w:val="20"/>
                <w:szCs w:val="20"/>
              </w:rPr>
              <w:t>Taxable wages</w:t>
            </w:r>
          </w:p>
        </w:tc>
      </w:tr>
      <w:tr w:rsidR="00992B45" w14:paraId="6F63F98E" w14:textId="77777777">
        <w:tc>
          <w:tcPr>
            <w:tcW w:w="2100" w:type="dxa"/>
            <w:shd w:val="clear" w:color="auto" w:fill="FFFFFF"/>
            <w:tcMar>
              <w:top w:w="100" w:type="dxa"/>
              <w:left w:w="140" w:type="dxa"/>
              <w:bottom w:w="100" w:type="dxa"/>
              <w:right w:w="140" w:type="dxa"/>
            </w:tcMar>
          </w:tcPr>
          <w:p w14:paraId="05C045C5" w14:textId="77777777" w:rsidR="00992B45" w:rsidRDefault="00E14B9D">
            <w:pPr>
              <w:spacing w:line="264" w:lineRule="auto"/>
            </w:pPr>
            <w:r>
              <w:rPr>
                <w:b/>
                <w:bCs/>
                <w:sz w:val="20"/>
                <w:szCs w:val="20"/>
              </w:rPr>
              <w:t>Processed through</w:t>
            </w:r>
          </w:p>
        </w:tc>
        <w:tc>
          <w:tcPr>
            <w:tcW w:w="3990" w:type="dxa"/>
            <w:shd w:val="clear" w:color="auto" w:fill="FFFFFF"/>
            <w:tcMar>
              <w:top w:w="100" w:type="dxa"/>
              <w:left w:w="140" w:type="dxa"/>
              <w:bottom w:w="100" w:type="dxa"/>
              <w:right w:w="140" w:type="dxa"/>
            </w:tcMar>
          </w:tcPr>
          <w:p w14:paraId="3C414C11" w14:textId="77777777" w:rsidR="00992B45" w:rsidRDefault="00E14B9D">
            <w:pPr>
              <w:spacing w:line="264" w:lineRule="auto"/>
            </w:pPr>
            <w:r>
              <w:rPr>
                <w:sz w:val="20"/>
                <w:szCs w:val="20"/>
              </w:rPr>
              <w:t>Regular payroll cycle</w:t>
            </w:r>
          </w:p>
        </w:tc>
        <w:tc>
          <w:tcPr>
            <w:tcW w:w="3990" w:type="dxa"/>
            <w:shd w:val="clear" w:color="auto" w:fill="FFFFFF"/>
            <w:tcMar>
              <w:top w:w="100" w:type="dxa"/>
              <w:left w:w="140" w:type="dxa"/>
              <w:bottom w:w="100" w:type="dxa"/>
              <w:right w:w="140" w:type="dxa"/>
            </w:tcMar>
          </w:tcPr>
          <w:p w14:paraId="300FF62D" w14:textId="77777777" w:rsidR="00992B45" w:rsidRDefault="00E14B9D">
            <w:pPr>
              <w:spacing w:line="264" w:lineRule="auto"/>
            </w:pPr>
            <w:r>
              <w:rPr>
                <w:sz w:val="20"/>
                <w:szCs w:val="20"/>
              </w:rPr>
              <w:t>Regular payroll cycle</w:t>
            </w:r>
          </w:p>
        </w:tc>
      </w:tr>
    </w:tbl>
    <w:p w14:paraId="6969BB4A" w14:textId="76AC53A7" w:rsidR="00992B45" w:rsidRDefault="00992B45"/>
    <w:p w14:paraId="1842E5B8" w14:textId="77777777" w:rsidR="00992B45" w:rsidRDefault="00E14B9D">
      <w:pPr>
        <w:pStyle w:val="Heading1"/>
        <w:pBdr>
          <w:bottom w:val="single" w:sz="18" w:space="6" w:color="1178C5"/>
        </w:pBdr>
        <w:spacing w:before="360" w:after="200"/>
      </w:pPr>
      <w:r>
        <w:rPr>
          <w:rFonts w:ascii="Palatino Linotype" w:eastAsia="Palatino Linotype" w:hAnsi="Palatino Linotype" w:cs="Palatino Linotype"/>
          <w:color w:val="132644"/>
          <w:sz w:val="30"/>
          <w:szCs w:val="30"/>
        </w:rPr>
        <w:t>6.  Third-party vendors</w:t>
      </w:r>
    </w:p>
    <w:p w14:paraId="59738388" w14:textId="7037589A" w:rsidR="00992B45" w:rsidRDefault="00E14B9D">
      <w:pPr>
        <w:pStyle w:val="Heading2"/>
        <w:keepNext/>
        <w:spacing w:before="260" w:after="100"/>
      </w:pPr>
      <w:r>
        <w:rPr>
          <w:rFonts w:ascii="Verdana" w:eastAsia="Verdana" w:hAnsi="Verdana" w:cs="Verdana"/>
          <w:b/>
          <w:bCs/>
          <w:color w:val="1178C5"/>
          <w:sz w:val="21"/>
          <w:szCs w:val="21"/>
        </w:rPr>
        <w:t>Q2</w:t>
      </w:r>
      <w:r w:rsidR="009B2239">
        <w:rPr>
          <w:rFonts w:ascii="Verdana" w:eastAsia="Verdana" w:hAnsi="Verdana" w:cs="Verdana"/>
          <w:b/>
          <w:bCs/>
          <w:color w:val="1178C5"/>
          <w:sz w:val="21"/>
          <w:szCs w:val="21"/>
        </w:rPr>
        <w:t>1</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Can we pay a moving company directly through Procurement?</w:t>
      </w:r>
    </w:p>
    <w:p w14:paraId="3F89E162" w14:textId="1C5D3246" w:rsidR="00992B45" w:rsidRDefault="00E14B9D">
      <w:pPr>
        <w:spacing w:after="140" w:line="276" w:lineRule="auto"/>
      </w:pPr>
      <w:r>
        <w:t xml:space="preserve">No. Third-party vendor payments related to employee moving and relocation expenses must be </w:t>
      </w:r>
      <w:r>
        <w:rPr>
          <w:b/>
          <w:bCs/>
        </w:rPr>
        <w:t>paid directly by the employee</w:t>
      </w:r>
      <w:r>
        <w:t xml:space="preserve"> and may </w:t>
      </w:r>
      <w:r>
        <w:rPr>
          <w:b/>
          <w:bCs/>
        </w:rPr>
        <w:t>not</w:t>
      </w:r>
      <w:r>
        <w:t xml:space="preserve"> be processed through Procurement. </w:t>
      </w:r>
    </w:p>
    <w:p w14:paraId="27983270" w14:textId="6EE2DE62" w:rsidR="00992B45" w:rsidRDefault="00E14B9D">
      <w:pPr>
        <w:pStyle w:val="Heading2"/>
        <w:keepNext/>
        <w:spacing w:before="260" w:after="100"/>
      </w:pPr>
      <w:r>
        <w:rPr>
          <w:rFonts w:ascii="Verdana" w:eastAsia="Verdana" w:hAnsi="Verdana" w:cs="Verdana"/>
          <w:b/>
          <w:bCs/>
          <w:color w:val="1178C5"/>
          <w:sz w:val="21"/>
          <w:szCs w:val="21"/>
        </w:rPr>
        <w:t>Q2</w:t>
      </w:r>
      <w:r w:rsidR="009B2239">
        <w:rPr>
          <w:rFonts w:ascii="Verdana" w:eastAsia="Verdana" w:hAnsi="Verdana" w:cs="Verdana"/>
          <w:b/>
          <w:bCs/>
          <w:color w:val="1178C5"/>
          <w:sz w:val="21"/>
          <w:szCs w:val="21"/>
        </w:rPr>
        <w:t>2</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So how does the vendor get paid?</w:t>
      </w:r>
    </w:p>
    <w:p w14:paraId="14D3B141" w14:textId="77777777" w:rsidR="00992B45" w:rsidRDefault="00E14B9D">
      <w:pPr>
        <w:spacing w:after="140" w:line="276" w:lineRule="auto"/>
      </w:pPr>
      <w:r>
        <w:t>The employee pays the vendor directly and is then reimbursed — or receives an allowance — through the process described in this APL. Departments should make that sequence clear to the employee up front so they can plan for the out-of-pocket outlay and its timing.</w:t>
      </w:r>
    </w:p>
    <w:p w14:paraId="1843D7CB" w14:textId="3E494808" w:rsidR="00992B45" w:rsidRDefault="00E14B9D">
      <w:pPr>
        <w:pStyle w:val="Heading2"/>
        <w:keepNext/>
        <w:spacing w:before="260" w:after="100"/>
      </w:pPr>
      <w:r>
        <w:rPr>
          <w:rFonts w:ascii="Verdana" w:eastAsia="Verdana" w:hAnsi="Verdana" w:cs="Verdana"/>
          <w:b/>
          <w:bCs/>
          <w:color w:val="1178C5"/>
          <w:sz w:val="21"/>
          <w:szCs w:val="21"/>
        </w:rPr>
        <w:t>Q2</w:t>
      </w:r>
      <w:r w:rsidR="009B2239">
        <w:rPr>
          <w:rFonts w:ascii="Verdana" w:eastAsia="Verdana" w:hAnsi="Verdana" w:cs="Verdana"/>
          <w:b/>
          <w:bCs/>
          <w:color w:val="1178C5"/>
          <w:sz w:val="21"/>
          <w:szCs w:val="21"/>
        </w:rPr>
        <w:t>3</w:t>
      </w:r>
      <w:r>
        <w:rPr>
          <w:rFonts w:ascii="Verdana" w:eastAsia="Verdana" w:hAnsi="Verdana" w:cs="Verdana"/>
          <w:b/>
          <w:bCs/>
          <w:color w:val="1178C5"/>
          <w:sz w:val="21"/>
          <w:szCs w:val="21"/>
        </w:rPr>
        <w:t xml:space="preserve">.  </w:t>
      </w:r>
      <w:r>
        <w:rPr>
          <w:rFonts w:ascii="Verdana" w:eastAsia="Verdana" w:hAnsi="Verdana" w:cs="Verdana"/>
          <w:b/>
          <w:bCs/>
          <w:color w:val="132644"/>
          <w:sz w:val="21"/>
          <w:szCs w:val="21"/>
        </w:rPr>
        <w:t>What if a department has already engaged a vendor or issued a purchase order?</w:t>
      </w:r>
    </w:p>
    <w:p w14:paraId="7DBA3DAA" w14:textId="77777777" w:rsidR="00992B45" w:rsidRDefault="00E14B9D">
      <w:pPr>
        <w:spacing w:after="140" w:line="276" w:lineRule="auto"/>
      </w:pPr>
      <w:r>
        <w:t>Stop and contact the University Services Payroll Office before the invoice is paid. Vendor arrangements routed through Procurement are not permitted under the revised APL, and unwinding one after payment is considerably harder than correcting it beforehand.</w:t>
      </w:r>
    </w:p>
    <w:p w14:paraId="6CDCA86D" w14:textId="77777777" w:rsidR="00992B45" w:rsidRDefault="00E14B9D">
      <w:pPr>
        <w:pStyle w:val="Heading1"/>
        <w:pBdr>
          <w:bottom w:val="single" w:sz="18" w:space="6" w:color="1178C5"/>
        </w:pBdr>
        <w:spacing w:before="360" w:after="200"/>
      </w:pPr>
      <w:r>
        <w:rPr>
          <w:rFonts w:ascii="Palatino Linotype" w:eastAsia="Palatino Linotype" w:hAnsi="Palatino Linotype" w:cs="Palatino Linotype"/>
          <w:color w:val="132644"/>
          <w:sz w:val="30"/>
          <w:szCs w:val="30"/>
        </w:rPr>
        <w:t>7.  Getting it right the first time</w:t>
      </w:r>
    </w:p>
    <w:p w14:paraId="68365F99" w14:textId="276F5DBC" w:rsidR="00992B45" w:rsidRDefault="00E14B9D">
      <w:pPr>
        <w:spacing w:after="140" w:line="276" w:lineRule="auto"/>
      </w:pPr>
      <w:r>
        <w:t>The most common problems are procedural rather than substantive</w:t>
      </w:r>
      <w:r w:rsidR="009B2239">
        <w:t>. Getting it right the first time reduces unnecessary administrative burden.</w:t>
      </w:r>
    </w:p>
    <w:p w14:paraId="08FE501F" w14:textId="77777777" w:rsidR="00992B45" w:rsidRDefault="00992B45">
      <w:pPr>
        <w:spacing w:after="80"/>
      </w:pPr>
    </w:p>
    <w:tbl>
      <w:tblPr>
        <w:tblW w:w="10080" w:type="dxa"/>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CellMar>
          <w:left w:w="10" w:type="dxa"/>
          <w:right w:w="10" w:type="dxa"/>
        </w:tblCellMar>
        <w:tblLook w:val="0000" w:firstRow="0" w:lastRow="0" w:firstColumn="0" w:lastColumn="0" w:noHBand="0" w:noVBand="0"/>
      </w:tblPr>
      <w:tblGrid>
        <w:gridCol w:w="1000"/>
        <w:gridCol w:w="9080"/>
      </w:tblGrid>
      <w:tr w:rsidR="00992B45" w14:paraId="0EF4DF20" w14:textId="77777777">
        <w:trPr>
          <w:tblHeader/>
        </w:trPr>
        <w:tc>
          <w:tcPr>
            <w:tcW w:w="1000" w:type="dxa"/>
            <w:shd w:val="clear" w:color="auto" w:fill="132644"/>
            <w:tcMar>
              <w:top w:w="100" w:type="dxa"/>
              <w:left w:w="140" w:type="dxa"/>
              <w:bottom w:w="100" w:type="dxa"/>
              <w:right w:w="140" w:type="dxa"/>
            </w:tcMar>
            <w:vAlign w:val="center"/>
          </w:tcPr>
          <w:p w14:paraId="1F545914" w14:textId="77777777" w:rsidR="00992B45" w:rsidRDefault="00E14B9D">
            <w:r>
              <w:rPr>
                <w:rFonts w:ascii="Verdana" w:eastAsia="Verdana" w:hAnsi="Verdana" w:cs="Verdana"/>
                <w:b/>
                <w:bCs/>
                <w:color w:val="FFFFFF"/>
                <w:sz w:val="20"/>
                <w:szCs w:val="20"/>
              </w:rPr>
              <w:t>Step</w:t>
            </w:r>
          </w:p>
        </w:tc>
        <w:tc>
          <w:tcPr>
            <w:tcW w:w="9080" w:type="dxa"/>
            <w:shd w:val="clear" w:color="auto" w:fill="132644"/>
            <w:tcMar>
              <w:top w:w="100" w:type="dxa"/>
              <w:left w:w="140" w:type="dxa"/>
              <w:bottom w:w="100" w:type="dxa"/>
              <w:right w:w="140" w:type="dxa"/>
            </w:tcMar>
            <w:vAlign w:val="center"/>
          </w:tcPr>
          <w:p w14:paraId="01EA275D" w14:textId="77777777" w:rsidR="00992B45" w:rsidRDefault="00E14B9D">
            <w:r>
              <w:rPr>
                <w:rFonts w:ascii="Verdana" w:eastAsia="Verdana" w:hAnsi="Verdana" w:cs="Verdana"/>
                <w:b/>
                <w:bCs/>
                <w:color w:val="FFFFFF"/>
                <w:sz w:val="20"/>
                <w:szCs w:val="20"/>
              </w:rPr>
              <w:t>What has to happen</w:t>
            </w:r>
          </w:p>
        </w:tc>
      </w:tr>
      <w:tr w:rsidR="00992B45" w14:paraId="70D790D3" w14:textId="77777777">
        <w:tc>
          <w:tcPr>
            <w:tcW w:w="1000" w:type="dxa"/>
            <w:shd w:val="clear" w:color="auto" w:fill="FFFFFF"/>
            <w:tcMar>
              <w:top w:w="100" w:type="dxa"/>
              <w:left w:w="140" w:type="dxa"/>
              <w:bottom w:w="100" w:type="dxa"/>
              <w:right w:w="140" w:type="dxa"/>
            </w:tcMar>
          </w:tcPr>
          <w:p w14:paraId="632074EA" w14:textId="77777777" w:rsidR="00992B45" w:rsidRDefault="00E14B9D">
            <w:pPr>
              <w:spacing w:line="264" w:lineRule="auto"/>
            </w:pPr>
            <w:r>
              <w:rPr>
                <w:b/>
                <w:bCs/>
                <w:sz w:val="20"/>
                <w:szCs w:val="20"/>
              </w:rPr>
              <w:t>1</w:t>
            </w:r>
          </w:p>
        </w:tc>
        <w:tc>
          <w:tcPr>
            <w:tcW w:w="9080" w:type="dxa"/>
            <w:shd w:val="clear" w:color="auto" w:fill="FFFFFF"/>
            <w:tcMar>
              <w:top w:w="100" w:type="dxa"/>
              <w:left w:w="140" w:type="dxa"/>
              <w:bottom w:w="100" w:type="dxa"/>
              <w:right w:w="140" w:type="dxa"/>
            </w:tcMar>
          </w:tcPr>
          <w:p w14:paraId="6F321EE1" w14:textId="1D728BDE" w:rsidR="00992B45" w:rsidRDefault="00E14B9D">
            <w:pPr>
              <w:spacing w:line="264" w:lineRule="auto"/>
            </w:pPr>
            <w:r>
              <w:rPr>
                <w:sz w:val="20"/>
                <w:szCs w:val="20"/>
              </w:rPr>
              <w:t xml:space="preserve">Confirm moving support is necessary and appropriate to the </w:t>
            </w:r>
            <w:r w:rsidR="009B2239">
              <w:rPr>
                <w:sz w:val="20"/>
                <w:szCs w:val="20"/>
              </w:rPr>
              <w:t>hire and</w:t>
            </w:r>
            <w:r>
              <w:rPr>
                <w:sz w:val="20"/>
                <w:szCs w:val="20"/>
              </w:rPr>
              <w:t xml:space="preserve"> determine whether the department will offer reimbursement of actuals or an allowance.</w:t>
            </w:r>
          </w:p>
        </w:tc>
      </w:tr>
      <w:tr w:rsidR="00992B45" w14:paraId="3642A5B2" w14:textId="77777777">
        <w:tc>
          <w:tcPr>
            <w:tcW w:w="1000" w:type="dxa"/>
            <w:shd w:val="clear" w:color="auto" w:fill="F0F0F0"/>
            <w:tcMar>
              <w:top w:w="100" w:type="dxa"/>
              <w:left w:w="140" w:type="dxa"/>
              <w:bottom w:w="100" w:type="dxa"/>
              <w:right w:w="140" w:type="dxa"/>
            </w:tcMar>
          </w:tcPr>
          <w:p w14:paraId="18DBEEDB" w14:textId="77777777" w:rsidR="00992B45" w:rsidRDefault="00E14B9D">
            <w:pPr>
              <w:spacing w:line="264" w:lineRule="auto"/>
            </w:pPr>
            <w:r>
              <w:rPr>
                <w:b/>
                <w:bCs/>
                <w:sz w:val="20"/>
                <w:szCs w:val="20"/>
              </w:rPr>
              <w:t>2</w:t>
            </w:r>
          </w:p>
        </w:tc>
        <w:tc>
          <w:tcPr>
            <w:tcW w:w="9080" w:type="dxa"/>
            <w:shd w:val="clear" w:color="auto" w:fill="F0F0F0"/>
            <w:tcMar>
              <w:top w:w="100" w:type="dxa"/>
              <w:left w:w="140" w:type="dxa"/>
              <w:bottom w:w="100" w:type="dxa"/>
              <w:right w:w="140" w:type="dxa"/>
            </w:tcMar>
          </w:tcPr>
          <w:p w14:paraId="4867194E" w14:textId="24BA565C" w:rsidR="00992B45" w:rsidRDefault="00E14B9D">
            <w:pPr>
              <w:spacing w:line="264" w:lineRule="auto"/>
            </w:pPr>
            <w:r>
              <w:rPr>
                <w:sz w:val="20"/>
                <w:szCs w:val="20"/>
              </w:rPr>
              <w:t>Document the commitment in the employee’s contractual Moving and Relocation Expense agreement</w:t>
            </w:r>
            <w:r w:rsidR="009B2239">
              <w:rPr>
                <w:sz w:val="20"/>
                <w:szCs w:val="20"/>
              </w:rPr>
              <w:t xml:space="preserve">. Ensure the amount is </w:t>
            </w:r>
            <w:r w:rsidRPr="009B2239">
              <w:rPr>
                <w:b/>
                <w:bCs/>
                <w:sz w:val="20"/>
                <w:szCs w:val="20"/>
              </w:rPr>
              <w:t>reasonable</w:t>
            </w:r>
            <w:r>
              <w:rPr>
                <w:sz w:val="20"/>
                <w:szCs w:val="20"/>
              </w:rPr>
              <w:t>.</w:t>
            </w:r>
          </w:p>
        </w:tc>
      </w:tr>
      <w:tr w:rsidR="00992B45" w14:paraId="5EDBC11E" w14:textId="77777777">
        <w:tc>
          <w:tcPr>
            <w:tcW w:w="1000" w:type="dxa"/>
            <w:shd w:val="clear" w:color="auto" w:fill="FFFFFF"/>
            <w:tcMar>
              <w:top w:w="100" w:type="dxa"/>
              <w:left w:w="140" w:type="dxa"/>
              <w:bottom w:w="100" w:type="dxa"/>
              <w:right w:w="140" w:type="dxa"/>
            </w:tcMar>
          </w:tcPr>
          <w:p w14:paraId="35DB67C5" w14:textId="77777777" w:rsidR="00992B45" w:rsidRDefault="00E14B9D">
            <w:pPr>
              <w:spacing w:line="264" w:lineRule="auto"/>
            </w:pPr>
            <w:r>
              <w:rPr>
                <w:b/>
                <w:bCs/>
                <w:sz w:val="20"/>
                <w:szCs w:val="20"/>
              </w:rPr>
              <w:t>3</w:t>
            </w:r>
          </w:p>
        </w:tc>
        <w:tc>
          <w:tcPr>
            <w:tcW w:w="9080" w:type="dxa"/>
            <w:shd w:val="clear" w:color="auto" w:fill="FFFFFF"/>
            <w:tcMar>
              <w:top w:w="100" w:type="dxa"/>
              <w:left w:w="140" w:type="dxa"/>
              <w:bottom w:w="100" w:type="dxa"/>
              <w:right w:w="140" w:type="dxa"/>
            </w:tcMar>
          </w:tcPr>
          <w:p w14:paraId="3D28BCB2" w14:textId="77777777" w:rsidR="00992B45" w:rsidRDefault="00E14B9D">
            <w:pPr>
              <w:spacing w:line="264" w:lineRule="auto"/>
            </w:pPr>
            <w:r>
              <w:rPr>
                <w:sz w:val="20"/>
                <w:szCs w:val="20"/>
              </w:rPr>
              <w:t>Tell the employee plainly that the payment is taxable wages and that they will pay any third-party vendor directly.</w:t>
            </w:r>
          </w:p>
        </w:tc>
      </w:tr>
      <w:tr w:rsidR="00992B45" w14:paraId="7C177113" w14:textId="77777777">
        <w:tc>
          <w:tcPr>
            <w:tcW w:w="1000" w:type="dxa"/>
            <w:shd w:val="clear" w:color="auto" w:fill="F0F0F0"/>
            <w:tcMar>
              <w:top w:w="100" w:type="dxa"/>
              <w:left w:w="140" w:type="dxa"/>
              <w:bottom w:w="100" w:type="dxa"/>
              <w:right w:w="140" w:type="dxa"/>
            </w:tcMar>
          </w:tcPr>
          <w:p w14:paraId="2F8C8E8A" w14:textId="77777777" w:rsidR="00992B45" w:rsidRDefault="00E14B9D">
            <w:pPr>
              <w:spacing w:line="264" w:lineRule="auto"/>
            </w:pPr>
            <w:r>
              <w:rPr>
                <w:b/>
                <w:bCs/>
                <w:sz w:val="20"/>
                <w:szCs w:val="20"/>
              </w:rPr>
              <w:t>4</w:t>
            </w:r>
          </w:p>
        </w:tc>
        <w:tc>
          <w:tcPr>
            <w:tcW w:w="9080" w:type="dxa"/>
            <w:shd w:val="clear" w:color="auto" w:fill="F0F0F0"/>
            <w:tcMar>
              <w:top w:w="100" w:type="dxa"/>
              <w:left w:w="140" w:type="dxa"/>
              <w:bottom w:w="100" w:type="dxa"/>
              <w:right w:w="140" w:type="dxa"/>
            </w:tcMar>
          </w:tcPr>
          <w:p w14:paraId="3E451A87" w14:textId="317CF3C9" w:rsidR="00992B45" w:rsidRDefault="00E14B9D">
            <w:pPr>
              <w:spacing w:line="264" w:lineRule="auto"/>
            </w:pPr>
            <w:r>
              <w:rPr>
                <w:sz w:val="20"/>
                <w:szCs w:val="20"/>
              </w:rPr>
              <w:t xml:space="preserve">Obtain every required approval before </w:t>
            </w:r>
            <w:r w:rsidR="009B2239">
              <w:rPr>
                <w:sz w:val="20"/>
                <w:szCs w:val="20"/>
              </w:rPr>
              <w:t xml:space="preserve">submitting </w:t>
            </w:r>
            <w:r>
              <w:rPr>
                <w:sz w:val="20"/>
                <w:szCs w:val="20"/>
              </w:rPr>
              <w:t>anything.</w:t>
            </w:r>
          </w:p>
        </w:tc>
      </w:tr>
      <w:tr w:rsidR="00992B45" w14:paraId="288D22E2" w14:textId="77777777">
        <w:tc>
          <w:tcPr>
            <w:tcW w:w="1000" w:type="dxa"/>
            <w:shd w:val="clear" w:color="auto" w:fill="FFFFFF"/>
            <w:tcMar>
              <w:top w:w="100" w:type="dxa"/>
              <w:left w:w="140" w:type="dxa"/>
              <w:bottom w:w="100" w:type="dxa"/>
              <w:right w:w="140" w:type="dxa"/>
            </w:tcMar>
          </w:tcPr>
          <w:p w14:paraId="2A59E369" w14:textId="77777777" w:rsidR="00992B45" w:rsidRDefault="00E14B9D">
            <w:pPr>
              <w:spacing w:line="264" w:lineRule="auto"/>
            </w:pPr>
            <w:r>
              <w:rPr>
                <w:b/>
                <w:bCs/>
                <w:sz w:val="20"/>
                <w:szCs w:val="20"/>
              </w:rPr>
              <w:t>5</w:t>
            </w:r>
          </w:p>
        </w:tc>
        <w:tc>
          <w:tcPr>
            <w:tcW w:w="9080" w:type="dxa"/>
            <w:shd w:val="clear" w:color="auto" w:fill="FFFFFF"/>
            <w:tcMar>
              <w:top w:w="100" w:type="dxa"/>
              <w:left w:w="140" w:type="dxa"/>
              <w:bottom w:w="100" w:type="dxa"/>
              <w:right w:w="140" w:type="dxa"/>
            </w:tcMar>
          </w:tcPr>
          <w:p w14:paraId="5575F036" w14:textId="77777777" w:rsidR="00992B45" w:rsidRDefault="00E14B9D">
            <w:pPr>
              <w:spacing w:line="264" w:lineRule="auto"/>
            </w:pPr>
            <w:r>
              <w:rPr>
                <w:sz w:val="20"/>
                <w:szCs w:val="20"/>
              </w:rPr>
              <w:t xml:space="preserve">Complete the </w:t>
            </w:r>
            <w:r w:rsidRPr="009B2239">
              <w:rPr>
                <w:i/>
                <w:iCs/>
                <w:sz w:val="20"/>
                <w:szCs w:val="20"/>
              </w:rPr>
              <w:t xml:space="preserve">Moving/Relocation Reimbursement and Allowance Request </w:t>
            </w:r>
            <w:r>
              <w:rPr>
                <w:sz w:val="20"/>
                <w:szCs w:val="20"/>
              </w:rPr>
              <w:t>form and attach the agreement plus any required supporting documentation.</w:t>
            </w:r>
          </w:p>
        </w:tc>
      </w:tr>
      <w:tr w:rsidR="00992B45" w14:paraId="312B3EBD" w14:textId="77777777">
        <w:tc>
          <w:tcPr>
            <w:tcW w:w="1000" w:type="dxa"/>
            <w:shd w:val="clear" w:color="auto" w:fill="F0F0F0"/>
            <w:tcMar>
              <w:top w:w="100" w:type="dxa"/>
              <w:left w:w="140" w:type="dxa"/>
              <w:bottom w:w="100" w:type="dxa"/>
              <w:right w:w="140" w:type="dxa"/>
            </w:tcMar>
          </w:tcPr>
          <w:p w14:paraId="497FF4B8" w14:textId="77777777" w:rsidR="00992B45" w:rsidRDefault="00E14B9D">
            <w:pPr>
              <w:spacing w:line="264" w:lineRule="auto"/>
            </w:pPr>
            <w:r>
              <w:rPr>
                <w:b/>
                <w:bCs/>
                <w:sz w:val="20"/>
                <w:szCs w:val="20"/>
              </w:rPr>
              <w:t>6</w:t>
            </w:r>
          </w:p>
        </w:tc>
        <w:tc>
          <w:tcPr>
            <w:tcW w:w="9080" w:type="dxa"/>
            <w:shd w:val="clear" w:color="auto" w:fill="F0F0F0"/>
            <w:tcMar>
              <w:top w:w="100" w:type="dxa"/>
              <w:left w:w="140" w:type="dxa"/>
              <w:bottom w:w="100" w:type="dxa"/>
              <w:right w:w="140" w:type="dxa"/>
            </w:tcMar>
          </w:tcPr>
          <w:p w14:paraId="4CDC0EA9" w14:textId="77777777" w:rsidR="00992B45" w:rsidRDefault="00E14B9D">
            <w:pPr>
              <w:spacing w:line="264" w:lineRule="auto"/>
            </w:pPr>
            <w:r>
              <w:rPr>
                <w:sz w:val="20"/>
                <w:szCs w:val="20"/>
              </w:rPr>
              <w:t>Submit the package to the University Services Payroll Office.</w:t>
            </w:r>
          </w:p>
        </w:tc>
      </w:tr>
      <w:tr w:rsidR="00992B45" w14:paraId="0D1D9F9C" w14:textId="77777777">
        <w:tc>
          <w:tcPr>
            <w:tcW w:w="1000" w:type="dxa"/>
            <w:shd w:val="clear" w:color="auto" w:fill="FFFFFF"/>
            <w:tcMar>
              <w:top w:w="100" w:type="dxa"/>
              <w:left w:w="140" w:type="dxa"/>
              <w:bottom w:w="100" w:type="dxa"/>
              <w:right w:w="140" w:type="dxa"/>
            </w:tcMar>
          </w:tcPr>
          <w:p w14:paraId="6312AE3A" w14:textId="77777777" w:rsidR="00992B45" w:rsidRDefault="00E14B9D">
            <w:pPr>
              <w:spacing w:line="264" w:lineRule="auto"/>
            </w:pPr>
            <w:r>
              <w:rPr>
                <w:b/>
                <w:bCs/>
                <w:sz w:val="20"/>
                <w:szCs w:val="20"/>
              </w:rPr>
              <w:t>7</w:t>
            </w:r>
          </w:p>
        </w:tc>
        <w:tc>
          <w:tcPr>
            <w:tcW w:w="9080" w:type="dxa"/>
            <w:shd w:val="clear" w:color="auto" w:fill="FFFFFF"/>
            <w:tcMar>
              <w:top w:w="100" w:type="dxa"/>
              <w:left w:w="140" w:type="dxa"/>
              <w:bottom w:w="100" w:type="dxa"/>
              <w:right w:w="140" w:type="dxa"/>
            </w:tcMar>
          </w:tcPr>
          <w:p w14:paraId="5EB2D18B" w14:textId="77777777" w:rsidR="00992B45" w:rsidRDefault="00E14B9D">
            <w:pPr>
              <w:spacing w:line="264" w:lineRule="auto"/>
            </w:pPr>
            <w:r>
              <w:rPr>
                <w:sz w:val="20"/>
                <w:szCs w:val="20"/>
              </w:rPr>
              <w:t xml:space="preserve">Payroll processes the payment through the regular payroll cycle, applying withholding and assigning the expense to the appropriate </w:t>
            </w:r>
            <w:proofErr w:type="spellStart"/>
            <w:r>
              <w:rPr>
                <w:sz w:val="20"/>
                <w:szCs w:val="20"/>
              </w:rPr>
              <w:t>ChartFields</w:t>
            </w:r>
            <w:proofErr w:type="spellEnd"/>
            <w:r>
              <w:rPr>
                <w:sz w:val="20"/>
                <w:szCs w:val="20"/>
              </w:rPr>
              <w:t>.</w:t>
            </w:r>
          </w:p>
        </w:tc>
      </w:tr>
    </w:tbl>
    <w:p w14:paraId="78F0C4C3" w14:textId="77777777" w:rsidR="00992B45" w:rsidRDefault="00E14B9D">
      <w:pPr>
        <w:pStyle w:val="Heading1"/>
        <w:pBdr>
          <w:bottom w:val="single" w:sz="18" w:space="6" w:color="1178C5"/>
        </w:pBdr>
        <w:spacing w:before="360" w:after="200"/>
      </w:pPr>
      <w:r>
        <w:rPr>
          <w:rFonts w:ascii="Palatino Linotype" w:eastAsia="Palatino Linotype" w:hAnsi="Palatino Linotype" w:cs="Palatino Linotype"/>
          <w:color w:val="132644"/>
          <w:sz w:val="30"/>
          <w:szCs w:val="30"/>
        </w:rPr>
        <w:t>8.  Where to go next</w:t>
      </w:r>
    </w:p>
    <w:p w14:paraId="47B97476" w14:textId="33C0E4DC" w:rsidR="00992B45" w:rsidRDefault="00E14B9D">
      <w:pPr>
        <w:spacing w:after="140" w:line="276" w:lineRule="auto"/>
      </w:pPr>
      <w:r>
        <w:t>Questions about taxability, non-taxable exception requests, forms, or payroll timing should go to the University Services Payroll Office. Questions about whether a particular expense is an appropriate use of University funds should be raised with your business officer, with reference to APL IV-I.</w:t>
      </w:r>
    </w:p>
    <w:p w14:paraId="45A3B0C2" w14:textId="77777777" w:rsidR="009B2239" w:rsidRDefault="009B2239">
      <w:pPr>
        <w:spacing w:after="140" w:line="276" w:lineRule="auto"/>
      </w:pPr>
    </w:p>
    <w:tbl>
      <w:tblPr>
        <w:tblW w:w="10080" w:type="dxa"/>
        <w:tblBorders>
          <w:left w:val="single" w:sz="24" w:space="0" w:color="1178C5"/>
        </w:tblBorders>
        <w:tblCellMar>
          <w:left w:w="10" w:type="dxa"/>
          <w:right w:w="10" w:type="dxa"/>
        </w:tblCellMar>
        <w:tblLook w:val="0000" w:firstRow="0" w:lastRow="0" w:firstColumn="0" w:lastColumn="0" w:noHBand="0" w:noVBand="0"/>
      </w:tblPr>
      <w:tblGrid>
        <w:gridCol w:w="10080"/>
      </w:tblGrid>
      <w:tr w:rsidR="00992B45" w14:paraId="267F328B" w14:textId="77777777">
        <w:tc>
          <w:tcPr>
            <w:tcW w:w="10080" w:type="dxa"/>
            <w:shd w:val="clear" w:color="auto" w:fill="F0F0F0"/>
            <w:tcMar>
              <w:top w:w="160" w:type="dxa"/>
              <w:left w:w="220" w:type="dxa"/>
              <w:bottom w:w="160" w:type="dxa"/>
              <w:right w:w="220" w:type="dxa"/>
            </w:tcMar>
          </w:tcPr>
          <w:p w14:paraId="70796C22" w14:textId="77777777" w:rsidR="00992B45" w:rsidRDefault="00E14B9D">
            <w:pPr>
              <w:spacing w:after="60"/>
            </w:pPr>
            <w:r>
              <w:rPr>
                <w:rFonts w:ascii="Verdana" w:eastAsia="Verdana" w:hAnsi="Verdana" w:cs="Verdana"/>
                <w:b/>
                <w:bCs/>
                <w:color w:val="1178C5"/>
                <w:spacing w:val="20"/>
                <w:sz w:val="16"/>
                <w:szCs w:val="16"/>
              </w:rPr>
              <w:t>GOVERNING AUTHORITY</w:t>
            </w:r>
          </w:p>
          <w:p w14:paraId="7D364843" w14:textId="77777777" w:rsidR="00992B45" w:rsidRDefault="00E14B9D">
            <w:pPr>
              <w:spacing w:line="276" w:lineRule="auto"/>
            </w:pPr>
            <w:r>
              <w:rPr>
                <w:sz w:val="21"/>
                <w:szCs w:val="21"/>
              </w:rPr>
              <w:t>Administrative Practice Letter IV-H has been approved by the Vice Chancellor for Finance and Treasurer of the University of Maine System and is effective January 1, 2026. This Q&amp;A is an explanatory companion; the APL itself is the authoritative statement of policy.</w:t>
            </w:r>
          </w:p>
        </w:tc>
      </w:tr>
    </w:tbl>
    <w:p w14:paraId="78C2D03D" w14:textId="77777777" w:rsidR="00E14B9D" w:rsidRDefault="00E14B9D"/>
    <w:sectPr w:rsidR="00E14B9D">
      <w:headerReference w:type="default" r:id="rId7"/>
      <w:footerReference w:type="default" r:id="rId8"/>
      <w:headerReference w:type="first" r:id="rId9"/>
      <w:footerReference w:type="first" r:id="rId10"/>
      <w:pgSz w:w="12240" w:h="15840"/>
      <w:pgMar w:top="1080" w:right="1080" w:bottom="1080" w:left="1080" w:header="62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A77BA" w14:textId="77777777" w:rsidR="00D55C2E" w:rsidRDefault="00D55C2E">
      <w:r>
        <w:separator/>
      </w:r>
    </w:p>
  </w:endnote>
  <w:endnote w:type="continuationSeparator" w:id="0">
    <w:p w14:paraId="74B06DE1" w14:textId="77777777" w:rsidR="00D55C2E" w:rsidRDefault="00D55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F05B" w14:textId="33D9E22F" w:rsidR="00992B45" w:rsidRDefault="00E14B9D">
    <w:pPr>
      <w:pBdr>
        <w:top w:val="single" w:sz="8" w:space="6" w:color="1178C5"/>
      </w:pBdr>
      <w:tabs>
        <w:tab w:val="right" w:pos="10080"/>
      </w:tabs>
      <w:spacing w:before="40"/>
    </w:pPr>
    <w:r>
      <w:rPr>
        <w:sz w:val="16"/>
        <w:szCs w:val="16"/>
      </w:rPr>
      <w:t>Maine’s Public Universities  │  University of Maine System</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2B1DE5">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E85A" w14:textId="77777777" w:rsidR="00992B45" w:rsidRDefault="00992B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C2DEB" w14:textId="77777777" w:rsidR="00D55C2E" w:rsidRDefault="00D55C2E">
      <w:r>
        <w:separator/>
      </w:r>
    </w:p>
  </w:footnote>
  <w:footnote w:type="continuationSeparator" w:id="0">
    <w:p w14:paraId="758AC577" w14:textId="77777777" w:rsidR="00D55C2E" w:rsidRDefault="00D55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E70A" w14:textId="77777777" w:rsidR="00992B45" w:rsidRDefault="00E14B9D">
    <w:pPr>
      <w:pBdr>
        <w:bottom w:val="single" w:sz="8" w:space="5" w:color="1178C5"/>
      </w:pBdr>
      <w:spacing w:after="40"/>
    </w:pPr>
    <w:r>
      <w:rPr>
        <w:rFonts w:ascii="Verdana" w:eastAsia="Verdana" w:hAnsi="Verdana" w:cs="Verdana"/>
        <w:b/>
        <w:bCs/>
        <w:sz w:val="16"/>
        <w:szCs w:val="16"/>
      </w:rPr>
      <w:t>APL IV-H  │  Moving &amp; Relocation Expenses  │  Questions &amp; Answers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9AA4" w14:textId="77777777" w:rsidR="00992B45" w:rsidRDefault="00992B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F4BF4"/>
    <w:multiLevelType w:val="hybridMultilevel"/>
    <w:tmpl w:val="4F44737C"/>
    <w:lvl w:ilvl="0" w:tplc="C930C6A2">
      <w:start w:val="1"/>
      <w:numFmt w:val="bullet"/>
      <w:lvlText w:val="•"/>
      <w:lvlJc w:val="left"/>
      <w:pPr>
        <w:ind w:left="460" w:hanging="260"/>
      </w:pPr>
      <w:rPr>
        <w:rFonts w:ascii="Aptos" w:eastAsia="Aptos" w:hAnsi="Aptos" w:cs="Aptos"/>
        <w:color w:val="1178C5"/>
        <w:sz w:val="22"/>
        <w:szCs w:val="22"/>
      </w:rPr>
    </w:lvl>
    <w:lvl w:ilvl="1" w:tplc="BD5A9B90">
      <w:numFmt w:val="decimal"/>
      <w:lvlText w:val=""/>
      <w:lvlJc w:val="left"/>
    </w:lvl>
    <w:lvl w:ilvl="2" w:tplc="64A6D1B4">
      <w:numFmt w:val="decimal"/>
      <w:lvlText w:val=""/>
      <w:lvlJc w:val="left"/>
    </w:lvl>
    <w:lvl w:ilvl="3" w:tplc="95A21324">
      <w:numFmt w:val="decimal"/>
      <w:lvlText w:val=""/>
      <w:lvlJc w:val="left"/>
    </w:lvl>
    <w:lvl w:ilvl="4" w:tplc="D4206C80">
      <w:numFmt w:val="decimal"/>
      <w:lvlText w:val=""/>
      <w:lvlJc w:val="left"/>
    </w:lvl>
    <w:lvl w:ilvl="5" w:tplc="C3F66522">
      <w:numFmt w:val="decimal"/>
      <w:lvlText w:val=""/>
      <w:lvlJc w:val="left"/>
    </w:lvl>
    <w:lvl w:ilvl="6" w:tplc="42788BCC">
      <w:numFmt w:val="decimal"/>
      <w:lvlText w:val=""/>
      <w:lvlJc w:val="left"/>
    </w:lvl>
    <w:lvl w:ilvl="7" w:tplc="B95EE700">
      <w:numFmt w:val="decimal"/>
      <w:lvlText w:val=""/>
      <w:lvlJc w:val="left"/>
    </w:lvl>
    <w:lvl w:ilvl="8" w:tplc="90BE5E20">
      <w:numFmt w:val="decimal"/>
      <w:lvlText w:val=""/>
      <w:lvlJc w:val="left"/>
    </w:lvl>
  </w:abstractNum>
  <w:abstractNum w:abstractNumId="1" w15:restartNumberingAfterBreak="0">
    <w:nsid w:val="3EF1694B"/>
    <w:multiLevelType w:val="hybridMultilevel"/>
    <w:tmpl w:val="F918A084"/>
    <w:lvl w:ilvl="0" w:tplc="96D4F2DE">
      <w:start w:val="1"/>
      <w:numFmt w:val="bullet"/>
      <w:lvlText w:val="●"/>
      <w:lvlJc w:val="left"/>
      <w:pPr>
        <w:ind w:left="720" w:hanging="360"/>
      </w:pPr>
    </w:lvl>
    <w:lvl w:ilvl="1" w:tplc="C1C09DEE">
      <w:start w:val="1"/>
      <w:numFmt w:val="bullet"/>
      <w:lvlText w:val="○"/>
      <w:lvlJc w:val="left"/>
      <w:pPr>
        <w:ind w:left="1440" w:hanging="360"/>
      </w:pPr>
    </w:lvl>
    <w:lvl w:ilvl="2" w:tplc="1938E41C">
      <w:start w:val="1"/>
      <w:numFmt w:val="bullet"/>
      <w:lvlText w:val="■"/>
      <w:lvlJc w:val="left"/>
      <w:pPr>
        <w:ind w:left="2160" w:hanging="360"/>
      </w:pPr>
    </w:lvl>
    <w:lvl w:ilvl="3" w:tplc="9AC28B5A">
      <w:start w:val="1"/>
      <w:numFmt w:val="bullet"/>
      <w:lvlText w:val="●"/>
      <w:lvlJc w:val="left"/>
      <w:pPr>
        <w:ind w:left="2880" w:hanging="360"/>
      </w:pPr>
    </w:lvl>
    <w:lvl w:ilvl="4" w:tplc="6A1AFFC8">
      <w:start w:val="1"/>
      <w:numFmt w:val="bullet"/>
      <w:lvlText w:val="○"/>
      <w:lvlJc w:val="left"/>
      <w:pPr>
        <w:ind w:left="3600" w:hanging="360"/>
      </w:pPr>
    </w:lvl>
    <w:lvl w:ilvl="5" w:tplc="5A4A2F0A">
      <w:start w:val="1"/>
      <w:numFmt w:val="bullet"/>
      <w:lvlText w:val="■"/>
      <w:lvlJc w:val="left"/>
      <w:pPr>
        <w:ind w:left="4320" w:hanging="360"/>
      </w:pPr>
    </w:lvl>
    <w:lvl w:ilvl="6" w:tplc="E862B810">
      <w:start w:val="1"/>
      <w:numFmt w:val="bullet"/>
      <w:lvlText w:val="●"/>
      <w:lvlJc w:val="left"/>
      <w:pPr>
        <w:ind w:left="5040" w:hanging="360"/>
      </w:pPr>
    </w:lvl>
    <w:lvl w:ilvl="7" w:tplc="F00E011A">
      <w:start w:val="1"/>
      <w:numFmt w:val="bullet"/>
      <w:lvlText w:val="●"/>
      <w:lvlJc w:val="left"/>
      <w:pPr>
        <w:ind w:left="5760" w:hanging="360"/>
      </w:pPr>
    </w:lvl>
    <w:lvl w:ilvl="8" w:tplc="954CF564">
      <w:start w:val="1"/>
      <w:numFmt w:val="bullet"/>
      <w:lvlText w:val="●"/>
      <w:lvlJc w:val="left"/>
      <w:pPr>
        <w:ind w:left="6480" w:hanging="360"/>
      </w:pPr>
    </w:lvl>
  </w:abstractNum>
  <w:num w:numId="1" w16cid:durableId="506212108">
    <w:abstractNumId w:val="1"/>
    <w:lvlOverride w:ilvl="0">
      <w:startOverride w:val="1"/>
    </w:lvlOverride>
  </w:num>
  <w:num w:numId="2" w16cid:durableId="4228037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B45"/>
    <w:rsid w:val="002B1DE5"/>
    <w:rsid w:val="00450694"/>
    <w:rsid w:val="006457BC"/>
    <w:rsid w:val="007364BE"/>
    <w:rsid w:val="00992B45"/>
    <w:rsid w:val="009B2239"/>
    <w:rsid w:val="00C21196"/>
    <w:rsid w:val="00D0103B"/>
    <w:rsid w:val="00D55C2E"/>
    <w:rsid w:val="00E14B9D"/>
    <w:rsid w:val="00E241CA"/>
    <w:rsid w:val="00FB6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C5D08"/>
  <w15:docId w15:val="{F19AAAEB-7DDB-4137-815A-63FDF3EE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132644"/>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APL IV-H Moving and Relocation Expenses — Questions &amp; Answers</vt:lpstr>
    </vt:vector>
  </TitlesOfParts>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APL IV-H Moving and Relocation Expenses — Questions &amp; Answers</dc:title>
  <dc:creator>University of Maine System</dc:creator>
  <dc:description>Plain-language Q&amp;A on Administrative Practice Letter IV-H, effective January 1, 2026</dc:description>
  <cp:lastModifiedBy>Angela P Michaud</cp:lastModifiedBy>
  <cp:revision>2</cp:revision>
  <dcterms:created xsi:type="dcterms:W3CDTF">2026-08-03T14:15:00Z</dcterms:created>
  <dcterms:modified xsi:type="dcterms:W3CDTF">2026-08-03T14:15:00Z</dcterms:modified>
</cp:coreProperties>
</file>